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8" w:lineRule="exact"/>
        <w:rPr>
          <w:sz w:val="24"/>
          <w:szCs w:val="24"/>
          <w:color w:val="auto"/>
        </w:rPr>
      </w:pPr>
    </w:p>
    <w:p>
      <w:pPr>
        <w:ind w:left="1120"/>
        <w:spacing w:after="0"/>
        <w:rPr>
          <w:sz w:val="20"/>
          <w:szCs w:val="20"/>
          <w:color w:val="auto"/>
        </w:rPr>
      </w:pPr>
      <w:r>
        <w:rPr>
          <w:rFonts w:ascii="Arial" w:cs="Arial" w:eastAsia="Arial" w:hAnsi="Arial"/>
          <w:sz w:val="13"/>
          <w:szCs w:val="13"/>
          <w:b w:val="1"/>
          <w:bCs w:val="1"/>
          <w:color w:val="auto"/>
        </w:rPr>
        <w:t>(Mark One)</w:t>
      </w:r>
    </w:p>
    <w:p>
      <w:pPr>
        <w:spacing w:after="0" w:line="44" w:lineRule="exact"/>
        <w:rPr>
          <w:sz w:val="24"/>
          <w:szCs w:val="24"/>
          <w:color w:val="auto"/>
        </w:rPr>
      </w:pPr>
    </w:p>
    <w:p>
      <w:pPr>
        <w:jc w:val="center"/>
        <w:ind w:left="4140" w:right="1840" w:hanging="2849"/>
        <w:spacing w:after="0" w:line="275" w:lineRule="auto"/>
        <w:tabs>
          <w:tab w:leader="none" w:pos="167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jc w:val="center"/>
        <w:ind w:left="3800" w:right="1500" w:hanging="2489"/>
        <w:spacing w:after="0" w:line="316" w:lineRule="auto"/>
        <w:tabs>
          <w:tab w:leader="none" w:pos="168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14"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________________________________________________</w:t>
      </w:r>
    </w:p>
    <w:p>
      <w:pPr>
        <w:jc w:val="center"/>
        <w:spacing w:after="0"/>
        <w:rPr>
          <w:sz w:val="20"/>
          <w:szCs w:val="20"/>
          <w:color w:val="auto"/>
        </w:rPr>
      </w:pPr>
      <w:r>
        <w:rPr>
          <w:rFonts w:ascii="Arial" w:cs="Arial" w:eastAsia="Arial" w:hAnsi="Arial"/>
          <w:sz w:val="32"/>
          <w:szCs w:val="32"/>
          <w:b w:val="1"/>
          <w:bCs w:val="1"/>
          <w:color w:val="auto"/>
        </w:rPr>
        <w:t>VICI PROPERTIES INC.</w:t>
      </w:r>
    </w:p>
    <w:p>
      <w:pPr>
        <w:jc w:val="center"/>
        <w:spacing w:after="0" w:line="236" w:lineRule="auto"/>
        <w:rPr>
          <w:sz w:val="20"/>
          <w:szCs w:val="20"/>
          <w:color w:val="auto"/>
        </w:rPr>
      </w:pPr>
      <w:r>
        <w:rPr>
          <w:rFonts w:ascii="Arial" w:cs="Arial" w:eastAsia="Arial" w:hAnsi="Arial"/>
          <w:sz w:val="16"/>
          <w:szCs w:val="16"/>
          <w:b w:val="1"/>
          <w:bCs w:val="1"/>
          <w:color w:val="auto"/>
        </w:rPr>
        <w:t>(Exact name of registrant as specified in its charter)</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________________________________________________</w:t>
      </w:r>
    </w:p>
    <w:p>
      <w:pPr>
        <w:sectPr>
          <w:pgSz w:w="11900" w:h="16838" w:orient="portrait"/>
          <w:cols w:equalWidth="0" w:num="1">
            <w:col w:w="11420"/>
          </w:cols>
          <w:pgMar w:left="240" w:top="823" w:right="239" w:bottom="1440" w:gutter="0" w:footer="0" w:header="0"/>
        </w:sectPr>
      </w:pPr>
    </w:p>
    <w:p>
      <w:pPr>
        <w:spacing w:after="0" w:line="217" w:lineRule="exact"/>
        <w:rPr>
          <w:sz w:val="24"/>
          <w:szCs w:val="24"/>
          <w:color w:val="auto"/>
        </w:rPr>
      </w:pPr>
    </w:p>
    <w:p>
      <w:pPr>
        <w:ind w:left="30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81-4177147</w:t>
      </w:r>
    </w:p>
    <w:p>
      <w:pPr>
        <w:spacing w:after="0" w:line="100" w:lineRule="exact"/>
        <w:rPr>
          <w:sz w:val="24"/>
          <w:szCs w:val="24"/>
          <w:color w:val="auto"/>
        </w:rPr>
      </w:pPr>
    </w:p>
    <w:p>
      <w:pPr>
        <w:sectPr>
          <w:pgSz w:w="11900" w:h="16838" w:orient="portrait"/>
          <w:cols w:equalWidth="0" w:num="2">
            <w:col w:w="6940" w:space="720"/>
            <w:col w:w="3760"/>
          </w:cols>
          <w:pgMar w:left="240" w:top="823" w:right="239" w:bottom="1440" w:gutter="0" w:footer="0" w:header="0"/>
          <w:type w:val="continuous"/>
        </w:sectPr>
      </w:pPr>
    </w:p>
    <w:p>
      <w:pPr>
        <w:ind w:left="15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2" w:lineRule="exact"/>
        <w:rPr>
          <w:sz w:val="24"/>
          <w:szCs w:val="24"/>
          <w:color w:val="auto"/>
        </w:rPr>
      </w:pPr>
    </w:p>
    <w:p>
      <w:pPr>
        <w:sectPr>
          <w:pgSz w:w="11900" w:h="16838" w:orient="portrait"/>
          <w:cols w:equalWidth="0" w:num="2">
            <w:col w:w="6220" w:space="720"/>
            <w:col w:w="4480"/>
          </w:cols>
          <w:pgMar w:left="240" w:top="82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6" w:lineRule="exact"/>
        <w:rPr>
          <w:sz w:val="24"/>
          <w:szCs w:val="24"/>
          <w:color w:val="auto"/>
        </w:rPr>
      </w:pPr>
    </w:p>
    <w:tbl>
      <w:tblPr>
        <w:tblLayout w:type="fixed"/>
        <w:tblInd w:w="112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w:t>
            </w:r>
          </w:p>
        </w:tc>
      </w:tr>
      <w:tr>
        <w:trPr>
          <w:trHeight w:val="210"/>
        </w:trPr>
        <w:tc>
          <w:tcPr>
            <w:tcW w:w="3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Title of each class</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Trading Symbol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registered</w:t>
            </w:r>
          </w:p>
        </w:tc>
      </w:tr>
      <w:tr>
        <w:trPr>
          <w:trHeight w:val="33"/>
        </w:trPr>
        <w:tc>
          <w:tcPr>
            <w:tcW w:w="2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7"/>
        </w:trPr>
        <w:tc>
          <w:tcPr>
            <w:tcW w:w="3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Common stock, $0.01 par value</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VICI</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420"/>
          </w:cols>
          <w:pgMar w:left="240" w:top="823" w:right="239" w:bottom="1440" w:gutter="0" w:footer="0" w:header="0"/>
          <w:type w:val="continuous"/>
        </w:sectPr>
      </w:pPr>
    </w:p>
    <w:p>
      <w:pPr>
        <w:spacing w:after="0" w:line="95"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4">
            <w:col w:w="7360" w:space="80"/>
            <w:col w:w="140" w:space="140"/>
            <w:col w:w="180" w:space="60"/>
            <w:col w:w="3460"/>
          </w:cols>
          <w:pgMar w:left="240" w:top="823" w:right="239" w:bottom="144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3" w:lineRule="exact"/>
        <w:rPr>
          <w:sz w:val="24"/>
          <w:szCs w:val="24"/>
          <w:color w:val="auto"/>
        </w:rPr>
      </w:pPr>
    </w:p>
    <w:p>
      <w:pPr>
        <w:sectPr>
          <w:pgSz w:w="11900" w:h="16838" w:orient="portrait"/>
          <w:cols w:equalWidth="0" w:num="4">
            <w:col w:w="7500" w:space="60"/>
            <w:col w:w="140" w:space="140"/>
            <w:col w:w="180" w:space="80"/>
            <w:col w:w="3320"/>
          </w:cols>
          <w:pgMar w:left="240" w:top="823" w:right="239" w:bottom="1440" w:gutter="0" w:footer="0" w:header="0"/>
          <w:type w:val="continuous"/>
        </w:sect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23" w:right="239" w:bottom="1440" w:gutter="0" w:footer="0" w:header="0"/>
          <w:type w:val="continuous"/>
        </w:sectPr>
      </w:pPr>
    </w:p>
    <w:p>
      <w:pPr>
        <w:spacing w:after="0" w:line="147" w:lineRule="exact"/>
        <w:rPr>
          <w:sz w:val="24"/>
          <w:szCs w:val="24"/>
          <w:color w:val="auto"/>
        </w:rPr>
      </w:pPr>
    </w:p>
    <w:p>
      <w:pPr>
        <w:ind w:left="20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600" w:space="720"/>
            <w:col w:w="4060" w:space="720"/>
            <w:col w:w="3140" w:space="720"/>
            <w:col w:w="460"/>
          </w:cols>
          <w:pgMar w:left="240" w:top="823" w:right="239" w:bottom="1440" w:gutter="0" w:footer="0" w:header="0"/>
          <w:type w:val="continuous"/>
        </w:sectPr>
      </w:pPr>
    </w:p>
    <w:p>
      <w:pPr>
        <w:spacing w:after="0" w:line="41" w:lineRule="exact"/>
        <w:rPr>
          <w:sz w:val="24"/>
          <w:szCs w:val="24"/>
          <w:color w:val="auto"/>
        </w:rPr>
      </w:pPr>
    </w:p>
    <w:p>
      <w:pPr>
        <w:ind w:left="2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600" w:space="720"/>
            <w:col w:w="4060" w:space="720"/>
            <w:col w:w="3140" w:space="720"/>
            <w:col w:w="460"/>
          </w:cols>
          <w:pgMar w:left="240" w:top="823" w:right="239" w:bottom="1440" w:gutter="0" w:footer="0" w:header="0"/>
          <w:type w:val="continuous"/>
        </w:sectPr>
      </w:pPr>
    </w:p>
    <w:p>
      <w:pPr>
        <w:spacing w:after="0" w:line="41" w:lineRule="exact"/>
        <w:rPr>
          <w:sz w:val="24"/>
          <w:szCs w:val="24"/>
          <w:color w:val="auto"/>
        </w:rPr>
      </w:pPr>
    </w:p>
    <w:p>
      <w:pPr>
        <w:ind w:left="71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2">
            <w:col w:w="10240" w:space="720"/>
            <w:col w:w="460"/>
          </w:cols>
          <w:pgMar w:left="240" w:top="823" w:right="239" w:bottom="1440" w:gutter="0" w:footer="0" w:header="0"/>
          <w:type w:val="continuous"/>
        </w:sectPr>
      </w:pPr>
    </w:p>
    <w:p>
      <w:pPr>
        <w:ind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8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As of June 28, 2019 (the last business day of the registrant's most recently completed second fiscal quarter), the aggregate market value of the common stock held by non-affiliates of the registrant was approximately $10.1 billion, based on the closing price of the common stock as reported on the NYSE on that date.</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19, 2020, the registrant had 468,491,573 shares of common stock outstanding.</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Company’s definitive proxy statement relating to the 2020 Annual Meeting of Stockholders, to be filed with the Securities and Exchange Commission within 120 days after the end of the calendar year to which this report relates, are incorporated by reference into Part III, Items 10-14 of this Annual Report on Form 10-K as indicated herein.</w:t>
      </w:r>
    </w:p>
    <w:p>
      <w:pPr>
        <w:sectPr>
          <w:pgSz w:w="11900" w:h="16838" w:orient="portrait"/>
          <w:cols w:equalWidth="0" w:num="1">
            <w:col w:w="11420"/>
          </w:cols>
          <w:pgMar w:left="240" w:top="82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60" w:type="dxa"/>
            <w:vAlign w:val="bottom"/>
            <w:gridSpan w:val="11"/>
          </w:tcPr>
          <w:p>
            <w:pPr>
              <w:ind w:left="60"/>
              <w:spacing w:after="0"/>
              <w:rPr>
                <w:sz w:val="20"/>
                <w:szCs w:val="20"/>
                <w:color w:val="auto"/>
              </w:rPr>
            </w:pPr>
            <w:r>
              <w:rPr>
                <w:rFonts w:ascii="Arial" w:cs="Arial" w:eastAsia="Arial" w:hAnsi="Arial"/>
                <w:sz w:val="20"/>
                <w:szCs w:val="20"/>
                <w:b w:val="1"/>
                <w:bCs w:val="1"/>
                <w:color w:val="auto"/>
              </w:rPr>
              <w:t>TABLE OF CONTENTS</w:t>
            </w:r>
          </w:p>
        </w:tc>
        <w:tc>
          <w:tcPr>
            <w:tcW w:w="920" w:type="dxa"/>
            <w:vAlign w:val="bottom"/>
            <w:gridSpan w:val="5"/>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458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160" w:type="dxa"/>
            <w:vAlign w:val="bottom"/>
            <w:tcBorders>
              <w:top w:val="single" w:sz="8" w:color="auto"/>
              <w:bottom w:val="single" w:sz="8" w:color="auto"/>
            </w:tcBorders>
            <w:gridSpan w:val="5"/>
            <w:vMerge w:val="restart"/>
          </w:tcPr>
          <w:p>
            <w:pPr>
              <w:spacing w:after="0"/>
              <w:rPr>
                <w:sz w:val="4"/>
                <w:szCs w:val="4"/>
                <w:color w:val="auto"/>
              </w:rPr>
            </w:pPr>
          </w:p>
        </w:tc>
        <w:tc>
          <w:tcPr>
            <w:tcW w:w="3700" w:type="dxa"/>
            <w:vAlign w:val="bottom"/>
            <w:gridSpan w:val="6"/>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80" w:type="dxa"/>
            <w:vAlign w:val="bottom"/>
            <w:gridSpan w:val="14"/>
            <w:vMerge w:val="continue"/>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3700" w:type="dxa"/>
            <w:vAlign w:val="bottom"/>
            <w:gridSpan w:val="6"/>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Item 1 – Business</w:t>
              </w:r>
            </w:hyperlink>
          </w:p>
        </w:tc>
        <w:tc>
          <w:tcPr>
            <w:tcW w:w="8240" w:type="dxa"/>
            <w:vAlign w:val="bottom"/>
            <w:gridSpan w:val="22"/>
          </w:tcPr>
          <w:p>
            <w:pPr>
              <w:spacing w:after="0"/>
              <w:rPr>
                <w:sz w:val="21"/>
                <w:szCs w:val="21"/>
                <w:color w:val="auto"/>
              </w:rPr>
            </w:pPr>
          </w:p>
        </w:tc>
        <w:tc>
          <w:tcPr>
            <w:tcW w:w="500" w:type="dxa"/>
            <w:vAlign w:val="bottom"/>
            <w:gridSpan w:val="3"/>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1A – Risk Factors</w:t>
              </w:r>
            </w:hyperlink>
          </w:p>
        </w:tc>
        <w:tc>
          <w:tcPr>
            <w:tcW w:w="7840" w:type="dxa"/>
            <w:vAlign w:val="bottom"/>
            <w:gridSpan w:val="20"/>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0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1B – Unresolved Staff Comments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 – Properties</w:t>
              </w:r>
            </w:hyperlink>
          </w:p>
        </w:tc>
        <w:tc>
          <w:tcPr>
            <w:tcW w:w="6720" w:type="dxa"/>
            <w:vAlign w:val="bottom"/>
            <w:gridSpan w:val="1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4"/>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Item 3 – Legal Proceedings</w:t>
              </w:r>
            </w:hyperlink>
          </w:p>
        </w:tc>
        <w:tc>
          <w:tcPr>
            <w:tcW w:w="7540" w:type="dxa"/>
            <w:vAlign w:val="bottom"/>
            <w:gridSpan w:val="19"/>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0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 – Mine Safety Disclosures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Part II</w:t>
              </w:r>
            </w:hyperlink>
          </w:p>
        </w:tc>
        <w:tc>
          <w:tcPr>
            <w:tcW w:w="2380" w:type="dxa"/>
            <w:vAlign w:val="bottom"/>
            <w:tcBorders>
              <w:top w:val="single" w:sz="8" w:color="0000EE"/>
            </w:tcBorders>
            <w:gridSpan w:val="7"/>
          </w:tcPr>
          <w:p>
            <w:pPr>
              <w:spacing w:after="0"/>
              <w:rPr>
                <w:sz w:val="24"/>
                <w:szCs w:val="24"/>
                <w:color w:val="auto"/>
              </w:rPr>
            </w:pPr>
          </w:p>
        </w:tc>
        <w:tc>
          <w:tcPr>
            <w:tcW w:w="712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60" w:type="dxa"/>
            <w:vAlign w:val="bottom"/>
            <w:gridSpan w:val="2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 – Market for the Registrant’s Common Equity, Related Stockholder Matters and Issuer Purchases of Equity Securities</w:t>
              </w:r>
            </w:hyperlink>
          </w:p>
        </w:tc>
        <w:tc>
          <w:tcPr>
            <w:tcW w:w="540" w:type="dxa"/>
            <w:vAlign w:val="bottom"/>
          </w:tcPr>
          <w:p>
            <w:pPr>
              <w:spacing w:after="0"/>
              <w:rPr>
                <w:sz w:val="19"/>
                <w:szCs w:val="19"/>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6 – Selected Financial Data</w:t>
              </w:r>
            </w:hyperlink>
          </w:p>
        </w:tc>
        <w:tc>
          <w:tcPr>
            <w:tcW w:w="540" w:type="dxa"/>
            <w:vAlign w:val="bottom"/>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19"/>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7 – 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7A – Quantitative and Qualitative Disclosures About Market Risk</w:t>
              </w:r>
            </w:hyperlink>
          </w:p>
        </w:tc>
        <w:tc>
          <w:tcPr>
            <w:tcW w:w="242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00" w:type="dxa"/>
            <w:vAlign w:val="bottom"/>
            <w:gridSpan w:val="1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8 – Financial Statements and Supplementary Data</w:t>
              </w:r>
            </w:hyperlink>
          </w:p>
        </w:tc>
        <w:tc>
          <w:tcPr>
            <w:tcW w:w="4400" w:type="dxa"/>
            <w:vAlign w:val="bottom"/>
            <w:gridSpan w:val="7"/>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100" w:type="dxa"/>
            <w:vAlign w:val="bottom"/>
            <w:gridSpan w:val="20"/>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Item 9 – Changes in and Disagreements with Accountants on Accounting and Financial Disclosure</w:t>
              </w:r>
            </w:hyperlink>
          </w:p>
        </w:tc>
        <w:tc>
          <w:tcPr>
            <w:tcW w:w="2400" w:type="dxa"/>
            <w:vAlign w:val="bottom"/>
            <w:gridSpan w:val="3"/>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Item 9A – Controls and Procedures</w:t>
              </w:r>
            </w:hyperlink>
          </w:p>
        </w:tc>
        <w:tc>
          <w:tcPr>
            <w:tcW w:w="4600" w:type="dxa"/>
            <w:vAlign w:val="bottom"/>
            <w:gridSpan w:val="12"/>
          </w:tcPr>
          <w:p>
            <w:pPr>
              <w:spacing w:after="0"/>
              <w:rPr>
                <w:sz w:val="21"/>
                <w:szCs w:val="21"/>
                <w:color w:val="auto"/>
              </w:rPr>
            </w:pPr>
          </w:p>
        </w:tc>
        <w:tc>
          <w:tcPr>
            <w:tcW w:w="2400" w:type="dxa"/>
            <w:vAlign w:val="bottom"/>
            <w:gridSpan w:val="3"/>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9B – Other Information</w:t>
              </w:r>
            </w:hyperlink>
          </w:p>
        </w:tc>
        <w:tc>
          <w:tcPr>
            <w:tcW w:w="7000" w:type="dxa"/>
            <w:vAlign w:val="bottom"/>
            <w:gridSpan w:val="15"/>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Part III</w:t>
              </w:r>
            </w:hyperlink>
          </w:p>
        </w:tc>
        <w:tc>
          <w:tcPr>
            <w:tcW w:w="2060" w:type="dxa"/>
            <w:vAlign w:val="bottom"/>
            <w:tcBorders>
              <w:top w:val="single" w:sz="8" w:color="0000EE"/>
            </w:tcBorders>
            <w:gridSpan w:val="5"/>
          </w:tcPr>
          <w:p>
            <w:pPr>
              <w:spacing w:after="0"/>
              <w:rPr>
                <w:sz w:val="24"/>
                <w:szCs w:val="24"/>
                <w:color w:val="auto"/>
              </w:rPr>
            </w:pPr>
          </w:p>
        </w:tc>
        <w:tc>
          <w:tcPr>
            <w:tcW w:w="7440" w:type="dxa"/>
            <w:vAlign w:val="bottom"/>
            <w:gridSpan w:val="18"/>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50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10 – Directors, Executive Officers and Corporate Governance</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11 – Executive Compensation</w:t>
              </w:r>
            </w:hyperlink>
          </w:p>
        </w:tc>
        <w:tc>
          <w:tcPr>
            <w:tcW w:w="4700" w:type="dxa"/>
            <w:vAlign w:val="bottom"/>
            <w:gridSpan w:val="8"/>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50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12 – Security Ownership of Certain Beneficial Owners and Management and Related Stockholder Matters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60" w:type="dxa"/>
            <w:vAlign w:val="bottom"/>
            <w:gridSpan w:val="18"/>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13 – Certain Relationships and Related Transactions, and Director Independence</w:t>
              </w:r>
            </w:hyperlink>
          </w:p>
        </w:tc>
        <w:tc>
          <w:tcPr>
            <w:tcW w:w="1840" w:type="dxa"/>
            <w:vAlign w:val="bottom"/>
            <w:gridSpan w:val="3"/>
          </w:tcPr>
          <w:p>
            <w:pPr>
              <w:spacing w:after="0"/>
              <w:rPr>
                <w:sz w:val="21"/>
                <w:szCs w:val="21"/>
                <w:color w:val="auto"/>
              </w:rPr>
            </w:pPr>
          </w:p>
        </w:tc>
        <w:tc>
          <w:tcPr>
            <w:tcW w:w="1500" w:type="dxa"/>
            <w:vAlign w:val="bottom"/>
            <w:gridSpan w:val="2"/>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6"/>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6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14 – Principal Accounting Fees and Services</w:t>
              </w:r>
            </w:hyperlink>
          </w:p>
        </w:tc>
        <w:tc>
          <w:tcPr>
            <w:tcW w:w="3340" w:type="dxa"/>
            <w:vAlign w:val="bottom"/>
            <w:gridSpan w:val="5"/>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IV</w:t>
              </w:r>
            </w:hyperlink>
          </w:p>
        </w:tc>
        <w:tc>
          <w:tcPr>
            <w:tcW w:w="3580" w:type="dxa"/>
            <w:vAlign w:val="bottom"/>
            <w:tcBorders>
              <w:top w:val="single" w:sz="8" w:color="0000EE"/>
            </w:tcBorders>
            <w:gridSpan w:val="11"/>
          </w:tcPr>
          <w:p>
            <w:pPr>
              <w:spacing w:after="0"/>
              <w:rPr>
                <w:sz w:val="24"/>
                <w:szCs w:val="24"/>
                <w:color w:val="auto"/>
              </w:rPr>
            </w:pPr>
          </w:p>
        </w:tc>
        <w:tc>
          <w:tcPr>
            <w:tcW w:w="592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15 – Exhibits and Financial Statement Schedules</w:t>
              </w:r>
            </w:hyperlink>
          </w:p>
        </w:tc>
        <w:tc>
          <w:tcPr>
            <w:tcW w:w="5640" w:type="dxa"/>
            <w:vAlign w:val="bottom"/>
            <w:gridSpan w:val="10"/>
          </w:tcPr>
          <w:p>
            <w:pPr>
              <w:spacing w:after="0"/>
              <w:rPr>
                <w:sz w:val="22"/>
                <w:szCs w:val="22"/>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Item 16 – Form 10-K Summary</w:t>
              </w:r>
            </w:hyperlink>
          </w:p>
        </w:tc>
        <w:tc>
          <w:tcPr>
            <w:tcW w:w="960" w:type="dxa"/>
            <w:vAlign w:val="bottom"/>
            <w:gridSpan w:val="4"/>
          </w:tcPr>
          <w:p>
            <w:pPr>
              <w:spacing w:after="0"/>
              <w:rPr>
                <w:sz w:val="22"/>
                <w:szCs w:val="22"/>
                <w:color w:val="auto"/>
              </w:rPr>
            </w:pPr>
          </w:p>
        </w:tc>
        <w:tc>
          <w:tcPr>
            <w:tcW w:w="6220" w:type="dxa"/>
            <w:vAlign w:val="bottom"/>
            <w:gridSpan w:val="13"/>
          </w:tcPr>
          <w:p>
            <w:pPr>
              <w:spacing w:after="0"/>
              <w:rPr>
                <w:sz w:val="22"/>
                <w:szCs w:val="22"/>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80</w:t>
              </w:r>
            </w:hyperlink>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62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Signatures</w:t>
              </w:r>
            </w:hyperlink>
          </w:p>
        </w:tc>
        <w:tc>
          <w:tcPr>
            <w:tcW w:w="9680" w:type="dxa"/>
            <w:vAlign w:val="bottom"/>
            <w:gridSpan w:val="24"/>
          </w:tcPr>
          <w:p>
            <w:pPr>
              <w:spacing w:after="0"/>
              <w:rPr>
                <w:sz w:val="20"/>
                <w:szCs w:val="20"/>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81</w:t>
              </w:r>
            </w:hyperlink>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gridSpan w:val="12"/>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Index to Consolidated Financial Statements and Schedules</w:t>
              </w:r>
            </w:hyperlink>
          </w:p>
        </w:tc>
        <w:tc>
          <w:tcPr>
            <w:tcW w:w="6220" w:type="dxa"/>
            <w:vAlign w:val="bottom"/>
            <w:gridSpan w:val="13"/>
          </w:tcPr>
          <w:p>
            <w:pPr>
              <w:spacing w:after="0"/>
              <w:rPr>
                <w:sz w:val="21"/>
                <w:szCs w:val="21"/>
                <w:color w:val="auto"/>
              </w:rPr>
            </w:pPr>
          </w:p>
        </w:tc>
        <w:tc>
          <w:tcPr>
            <w:tcW w:w="920" w:type="dxa"/>
            <w:vAlign w:val="bottom"/>
            <w:gridSpan w:val="5"/>
          </w:tcPr>
          <w:p>
            <w:pPr>
              <w:ind w:left="300"/>
              <w:spacing w:after="0"/>
              <w:rPr>
                <w:rFonts w:ascii="Arial" w:cs="Arial" w:eastAsia="Arial" w:hAnsi="Arial"/>
                <w:sz w:val="18"/>
                <w:szCs w:val="18"/>
                <w:color w:val="0000EE"/>
              </w:rPr>
            </w:pPr>
            <w:hyperlink w:anchor="page84">
              <w:r>
                <w:rPr>
                  <w:rFonts w:ascii="Arial" w:cs="Arial" w:eastAsia="Arial" w:hAnsi="Arial"/>
                  <w:sz w:val="18"/>
                  <w:szCs w:val="18"/>
                  <w:color w:val="0000EE"/>
                </w:rPr>
                <w:t>F - 1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79"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as the context requires,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Entertainment Outdoor” refers to the historical operations of the golf courses that were transferred from CEOC to VICI Golf on the Formation Date.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as the context requires, its subsidiaries. CEOC is a subsidiary of Caesars.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will be combined with the HLV Lease Agreement into a single Las Vegas master lease upon the closing of the pending Eldorado/Caesars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“CRC” refers to Caesars Resort Collection, LLC, a Delaware limited liability company which is a subsidiary of Caesars.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refers to Eldorado Resorts, Inc., a Nevada corporation, and, as the context requires, its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“Eldorado/Caesars Merger” refers to the merger contemplated under an Agreement and Plan of Merger pursuant to which a subsidiary of Eldorado will merge with and into Caesars, with Caesars surviving as a wholly owned subsidiary of Eldorado.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2027 Notes and the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“Formation Lease Agreements” refers to the CPLV Lease Agreement, the Joliet Lease Agreement and the Non-CPLV Lease Agreement, collectively.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 (and previously referred to in our prior filings as JACK Cincinnati).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 which will be combined with the CPLV Lease Agreement into a single Las Vegas master lease upon the closing of the Eldorado/Caesars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“Lease Agreements” refer collectively to the Caesars Lease Agreements, the Penn National Lease Agreements, the Hard Rock Cincinnati Lease Agreement, the Century Portfolio Lease Agreement and, from and after January 24, 2020, the JACK Cleveland/Thistledown Lease Agreement, unless the context otherwise requires.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refers to the master transaction agreement with Eldorado relating to the Eldorado Transaction.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“Non-CPLV Lease Agreement” refers to the lease agreement for the regional properties leased to Caesars other than the facilities in Joliet, Illinois,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of which approximately $498.5 million aggregate principal amount remained outstanding as of December 31, 2019, and which were redeemed in full on February 20,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Golf” refers to VICI Golf LLC, a Delaware limited liability company that is the owner and operator of the Caesars Entertainment Outdoor business.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PropCo” or “PropCo” refers to VICI Properties 1 LLC, a Delaware limited liability company and an indirect wholly owned subsidiary of VICI.</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28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approximately 40 million square feet, our well-maintained properties are currently located across urban, destination and drive-to markets in twelve states, contain approximately 15,600 hotel rooms and feature over 180 restaurants, bars and nightclubs.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we have mutually beneficial relationships with Caesars, Penn National, Hard Rock, Century Casinos and JACK Entertainment, all of which are leading owners and operators of gaming, entertainment and leisure properties. Our long-term triple-net Lease Agreements with subsidiaries of our operators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company, we expect our relationship with our partners will position us for the acquisition of additional properties across leisure and hospitality.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effectively position us to execute our business and growth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portfolio of high-quality experiential gaming, hospitality, entertainment and leisure assets.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features Caesars Palace Las Vegas and Harrah’s Las Vegas and market-leading urban, destination and regional properties with significant scale. Our properties are well-maintained and leased to leading brands such as Caesars, Harrah’s, Horseshoe, Bally’s, Margaritaville, Greektown, JACK, Hard Rock, Century and Mountaineer. These brands seek to drive loyalty and value with guests through superior service and products and continuous innovation. Our portfolio benefits from its strong mix of demand generators, including casinos, guest rooms, restaurants, entertainment facilities, bars and nightclubs and convention space. We believe our properties are well-insulated from incremental competition as a result of high replacement costs, as well as regulatory restrictions and long-lead times for new development. The high quality of our properties appeals to a broad base of customers, stimulating traffic and visitation.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is anchored by our Las Vegas properties, Caesars Palace Las Vegas and Harrah’s Las Vegas, which are located at the center of the Strip. We believe Las Vegas is a market characterized by steady economic growth and high consumer and business demand with limited new supply. Our Las Vegas properties, which are two of the most iconic entertainment facilities in Las Vegas, feature gaming entertainment, large-scale hotels, extensive food and beverage options, state-of-the-art convention facilities, retail outlets and entertainment showrooms.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portfolio also includes market-leading regional resorts and destinations that we believe are benefiting from significant invested capital over recent years. The regional properties we own include award-winning land-based and dockside casinos, hotels and entertainment facilities that are market leaders within their respective regions. The properties operate primarily under the Caesars,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Harrah’s, Horseshoe, Bally’s, Margaritaville, Greektown, JACK, Hard Rock, Century and Mountaineer trademark and brand names, which, in many instances, have market-leading brand recognition.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Lease Agreements, the tenants are required to continue to invest in the properties, which we believe enhances the value of our properties and maintains their competitive market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feature diversified sources of revenue on both a business and geographic basis.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includes 28 geographically diverse casino resorts that serve numerous Metropolitan Statistical Areas (“MSAs”) nationally. This diversity reduces our exposure to adverse events that may affect any single market. This also allows our tenants to derive multiple revenue streams from an economically diverse set of customers and services to such customers. These include gaming, food and beverage, entertainment, hospitality and other sources of revenue. We believe that this geographic diversity and the diversity of revenue sources that our tenants derive from our leased properties improves the stability of rental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Lease Agreements provide a highly predictable base level of rent with embedded growth potential.</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properties are 100% occupied pursuant to our long-term triple-net Lease Agreements with subsidiaries of Caesars, Penn National, Hard Rock, Century Casinos and JACK Entertainment, providing us with a predictable level of rental revenue to support future cash distributions to our stockholders.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casino resort properties are established assets with extensive operating histories. Based on historical performance of the properties, we expect that the properties will generate sufficient revenues for our tenants to pay to us all rent due under the Lease Agreements.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our relationship with Caesars, Penn National, Hard Rock, Century Casinos and JACK Entertainment, including our contractual agreements with them and their applicable subsidiaries, will continue to drive significant benefits and mutual alignment of strategic interests in the future.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payment obligations of our tenants are guaranteed by Caesars, Penn National, Seminole Hard Rock, Century Casinos and Rock Ohio Ventures LLC, as applicable.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existing properties are leased to subsidiaries of Caesars, Penn National, Hard Rock, Century Casinos and JACK Entertainment. Caesars guarantees the payment obligations of our tenants under the Formation Lease Agreements, CRC, a subsidiary of Caesars, guarantees the payment obligations of our tenant under the HLV Lease Agreement, Penn National guarantees the payment obligations of our tenant under the Penn National Lease Agreements, Seminole Hard Rock guarantees the payment obligations of our tenant under the Hard Rock Cincinnati Lease Agreement, Century Casinos guarantees the payment obligations of our tenant under the Century Portfolio Lease Agreement and Rock Ohio Ventures LLC guarantees the payment obligations of our tenants under the JACK Cleveland/Thistledown Lease Agreement.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properties leased from us, Caesars, Penn National, Hard Rock and Century Casinos operate numerous other casino resorts, collectively comprising a nationally recognized portfolio of brands. In addition, Caesars uses the Caesars Rewards® program, which is core to its cross-market strategy and is designed to encourage Caesars’ customers to direct a larger share of their entertainment spending to Caesars. Subsequent to the closing of the Eldorado/Caesars merger, the Caesars Rewards® program will remain as the customer loyalty program and will include the Eldorado owned brands. Our other tenants operate their own customer loyalty rewards programs including Penn National using the mychoice® reward program and Hard Rock using the Hard Rock Rewards® program.</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 and independent board of directors with robust corporate governance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an experienced and independent management team that has been actively engaged in the leadership, acquisition and investment aspects of the hospitality, gaming, entertainment and real estate industries throughout their careers. Our Chief Executive Officer, Edward Pitoniak, and President and Chief Operating Officer, John Payne, are industry veterans with an average of over 30 years of experience in the REIT, gaming and experiential real estate industries, during which time they were able to drive controlled growth and diversification of significant real estate and gaming portfolios. Mr. Pitoniak’s service as an independent board member of public companies provides him with a unique and meaningful management perspective and enables him to work with our independent board of directors as a trusted steward of our extensive portfolio. Our Chief Financial Officer and General Counsel have an average of over 20 years of experience in the REIT, real estate and hospitality industries and bring significant leadership and expertise to our team across capital markets, corporate finance, acquisitions, risk management and corporate governance. Our independent board of directors, which is made of highly skilled and seasoned real estate, gaming, hospitality, consumer products and corporate professionals, was established to ensure that there was no overlap between our tenants and the companies with which our directors are affiliated. In addition, our board of directors is not staggered, with each of our directors subject to re-election annually. Robust corporate governance in the best interests of our stockholders is of central importance to the management of our company, as we have a separate Chairman of the Board and Chief Executive Officer and all members of our audit committee qualify as an “audit committee financial expert” as defined by the SEC. Directors are elected in uncontested elections by the affirmative vote of a majority of the votes cast, and stockholder approval is required prior to, or in certain circumstances within twelve months following, the adoption by our board of a stockholder rights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map and tables summarize our current portfolio of properties, our pending acquisitions and our properties subject to the right of first refusal agreement and put/call agreement, subject to the closing of the Eldorado/Caesars Merger. Our properties are diversified across a range of primary uses, including gaming, hotel, convention, dining, entertainment, retail, golf course and other resort amenities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90170</wp:posOffset>
            </wp:positionV>
            <wp:extent cx="5866130" cy="4399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Approx. Casino</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Approx.</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1700" w:type="dxa"/>
            <w:vAlign w:val="bottom"/>
          </w:tcPr>
          <w:p>
            <w:pPr>
              <w:spacing w:after="0"/>
              <w:rPr>
                <w:sz w:val="17"/>
                <w:szCs w:val="17"/>
                <w:color w:val="auto"/>
              </w:rPr>
            </w:pPr>
          </w:p>
        </w:tc>
      </w:tr>
      <w:tr>
        <w:trPr>
          <w:trHeight w:val="210"/>
        </w:trPr>
        <w:tc>
          <w:tcPr>
            <w:tcW w:w="4040" w:type="dxa"/>
            <w:vAlign w:val="bottom"/>
          </w:tcPr>
          <w:p>
            <w:pPr>
              <w:ind w:left="1400"/>
              <w:spacing w:after="0"/>
              <w:rPr>
                <w:sz w:val="20"/>
                <w:szCs w:val="20"/>
                <w:color w:val="auto"/>
              </w:rPr>
            </w:pPr>
            <w:r>
              <w:rPr>
                <w:rFonts w:ascii="Arial" w:cs="Arial" w:eastAsia="Arial" w:hAnsi="Arial"/>
                <w:sz w:val="16"/>
                <w:szCs w:val="16"/>
                <w:b w:val="1"/>
                <w:bCs w:val="1"/>
                <w:color w:val="auto"/>
              </w:rPr>
              <w:t>MSA / Property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Location</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Sq. Ft. (000’s)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Gaming Units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8"/>
              </w:rPr>
              <w:t>Rooms</w:t>
            </w:r>
          </w:p>
        </w:tc>
        <w:tc>
          <w:tcPr>
            <w:tcW w:w="170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Lease Agreement</w:t>
            </w:r>
          </w:p>
        </w:tc>
      </w:tr>
      <w:tr>
        <w:trPr>
          <w:trHeight w:val="33"/>
        </w:trPr>
        <w:tc>
          <w:tcPr>
            <w:tcW w:w="4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3540" w:type="dxa"/>
            <w:vAlign w:val="bottom"/>
            <w:gridSpan w:val="4"/>
          </w:tcPr>
          <w:p>
            <w:pPr>
              <w:ind w:left="620"/>
              <w:spacing w:after="0"/>
              <w:rPr>
                <w:sz w:val="20"/>
                <w:szCs w:val="20"/>
                <w:color w:val="auto"/>
              </w:rPr>
            </w:pPr>
            <w:r>
              <w:rPr>
                <w:rFonts w:ascii="Arial" w:cs="Arial" w:eastAsia="Arial" w:hAnsi="Arial"/>
                <w:sz w:val="18"/>
                <w:szCs w:val="18"/>
                <w:b w:val="1"/>
                <w:bCs w:val="1"/>
                <w:color w:val="auto"/>
              </w:rPr>
              <w:t>Current Portfolio - Casinos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Las Vegas—Destination Gaming</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Caesars Palace Las Vegas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Las Vegas,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124</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1,600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3,970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5"/>
              </w:rPr>
              <w:t>CPLV</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Harrah’s Las Vegas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Las Vegas, NV</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2,540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HLV</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San Francisco / Sacramento</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Harvey’s Lake Tahoe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Lake Tahoe, NV</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70"/>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Harrah’s Reno </w:t>
            </w:r>
            <w:r>
              <w:rPr>
                <w:rFonts w:ascii="Arial" w:cs="Arial" w:eastAsia="Arial" w:hAnsi="Arial"/>
                <w:sz w:val="21"/>
                <w:szCs w:val="21"/>
                <w:color w:val="auto"/>
                <w:vertAlign w:val="superscript"/>
              </w:rPr>
              <w:t>(1)</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Reno,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640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930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Harrah’s Lake Tahoe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Stateline, NV</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Philadelphia</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Caesars Atlantic City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1,140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Bally’s Atlantic City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127</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1,960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1,210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17"/>
                <w:szCs w:val="17"/>
                <w:color w:val="auto"/>
                <w:vertAlign w:val="superscript"/>
              </w:rPr>
              <w:t>(2)</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Chester, PA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2,560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Chicago</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Horseshoe Hammond</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Hammond, IN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70"/>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color w:val="auto"/>
                <w:vertAlign w:val="superscript"/>
              </w:rPr>
              <w:t>(3)</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rPr>
              <w:t>Joliet, IL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1,130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6"/>
              </w:rPr>
              <w:t>Joliet</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Cincinnati</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Hard Rock Cincinnati</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Cincinnati, OH</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1,900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39"/>
              <w:spacing w:after="0"/>
              <w:rPr>
                <w:sz w:val="20"/>
                <w:szCs w:val="20"/>
                <w:color w:val="auto"/>
              </w:rPr>
            </w:pPr>
            <w:r>
              <w:rPr>
                <w:rFonts w:ascii="Arial" w:cs="Arial" w:eastAsia="Arial" w:hAnsi="Arial"/>
                <w:sz w:val="16"/>
                <w:szCs w:val="16"/>
                <w:color w:val="auto"/>
                <w:w w:val="94"/>
              </w:rPr>
              <w:t>Hard Rock Cincinnati</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Cleveland</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20"/>
        </w:trPr>
        <w:tc>
          <w:tcPr>
            <w:tcW w:w="4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7"/>
              </w:rPr>
              <w:t>JACK</w:t>
            </w:r>
          </w:p>
        </w:tc>
      </w:tr>
      <w:tr>
        <w:trPr>
          <w:trHeight w:val="239"/>
        </w:trPr>
        <w:tc>
          <w:tcPr>
            <w:tcW w:w="4040" w:type="dxa"/>
            <w:vAlign w:val="bottom"/>
          </w:tcPr>
          <w:p>
            <w:pPr>
              <w:ind w:left="380"/>
              <w:spacing w:after="0" w:line="239" w:lineRule="exact"/>
              <w:rPr>
                <w:sz w:val="20"/>
                <w:szCs w:val="20"/>
                <w:color w:val="auto"/>
              </w:rPr>
            </w:pPr>
            <w:r>
              <w:rPr>
                <w:rFonts w:ascii="Arial" w:cs="Arial" w:eastAsia="Arial" w:hAnsi="Arial"/>
                <w:sz w:val="16"/>
                <w:szCs w:val="16"/>
                <w:color w:val="auto"/>
              </w:rPr>
              <w:t xml:space="preserve">JACK Cleveland </w:t>
            </w:r>
            <w:r>
              <w:rPr>
                <w:rFonts w:ascii="Arial" w:cs="Arial" w:eastAsia="Arial" w:hAnsi="Arial"/>
                <w:sz w:val="21"/>
                <w:szCs w:val="21"/>
                <w:color w:val="auto"/>
                <w:vertAlign w:val="superscript"/>
              </w:rPr>
              <w:t>(4)</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Cleveland, OH</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96</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1,450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Cleveland/Thistledown</w:t>
            </w:r>
          </w:p>
        </w:tc>
      </w:tr>
      <w:tr>
        <w:trPr>
          <w:trHeight w:val="220"/>
        </w:trPr>
        <w:tc>
          <w:tcPr>
            <w:tcW w:w="40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7"/>
              </w:rPr>
              <w:t>JACK</w:t>
            </w:r>
          </w:p>
        </w:tc>
      </w:tr>
      <w:tr>
        <w:trPr>
          <w:trHeight w:val="239"/>
        </w:trPr>
        <w:tc>
          <w:tcPr>
            <w:tcW w:w="4040" w:type="dxa"/>
            <w:vAlign w:val="bottom"/>
            <w:shd w:val="clear" w:color="auto" w:fill="CCEEFF"/>
          </w:tcPr>
          <w:p>
            <w:pPr>
              <w:ind w:left="380"/>
              <w:spacing w:after="0" w:line="239" w:lineRule="exact"/>
              <w:rPr>
                <w:sz w:val="20"/>
                <w:szCs w:val="20"/>
                <w:color w:val="auto"/>
              </w:rPr>
            </w:pPr>
            <w:r>
              <w:rPr>
                <w:rFonts w:ascii="Arial" w:cs="Arial" w:eastAsia="Arial" w:hAnsi="Arial"/>
                <w:sz w:val="16"/>
                <w:szCs w:val="16"/>
                <w:color w:val="auto"/>
              </w:rPr>
              <w:t xml:space="preserve">JACK Thistledown Racino </w:t>
            </w:r>
            <w:r>
              <w:rPr>
                <w:rFonts w:ascii="Arial" w:cs="Arial" w:eastAsia="Arial" w:hAnsi="Arial"/>
                <w:sz w:val="21"/>
                <w:szCs w:val="21"/>
                <w:color w:val="auto"/>
                <w:vertAlign w:val="superscript"/>
              </w:rPr>
              <w:t>(4)</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North Randall, OH</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1,480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Cleveland/Thistledown</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Dallas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Horseshoe Bossier City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69"/>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17"/>
                <w:szCs w:val="17"/>
                <w:color w:val="auto"/>
                <w:vertAlign w:val="superscript"/>
              </w:rPr>
              <w:t>(2)</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830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51"/>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Margaritaville Resort Casino</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395</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6"/>
              </w:rPr>
              <w:t>Margaritaville</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Detroit</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Greektown Casino Hotel</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Detroit, MI</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3"/>
              </w:rPr>
              <w:t>Greektown</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Kansas City</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Harrah’s North Kansas City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North Kansas City, MO</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St. Louis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Century Cape Girardeau</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Cape Girardeau, MO</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Century Portfolio</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Century Caruthersville</w:t>
            </w:r>
          </w:p>
        </w:tc>
        <w:tc>
          <w:tcPr>
            <w:tcW w:w="218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Caruthersville, MO</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510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39"/>
              <w:spacing w:after="0"/>
              <w:rPr>
                <w:sz w:val="20"/>
                <w:szCs w:val="20"/>
                <w:color w:val="auto"/>
              </w:rPr>
            </w:pPr>
            <w:r>
              <w:rPr>
                <w:rFonts w:ascii="Arial" w:cs="Arial" w:eastAsia="Arial" w:hAnsi="Arial"/>
                <w:sz w:val="16"/>
                <w:szCs w:val="16"/>
                <w:color w:val="auto"/>
                <w:w w:val="95"/>
              </w:rPr>
              <w:t>Century Portfolio</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Pittsburgh</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Mountaineer Casino Resort &amp; Racetrack</w:t>
            </w:r>
          </w:p>
        </w:tc>
        <w:tc>
          <w:tcPr>
            <w:tcW w:w="218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New Cumberland, WV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76</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1,520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357</w:t>
            </w:r>
          </w:p>
        </w:tc>
        <w:tc>
          <w:tcPr>
            <w:tcW w:w="1700" w:type="dxa"/>
            <w:vAlign w:val="bottom"/>
          </w:tcPr>
          <w:p>
            <w:pPr>
              <w:jc w:val="center"/>
              <w:ind w:left="39"/>
              <w:spacing w:after="0"/>
              <w:rPr>
                <w:sz w:val="20"/>
                <w:szCs w:val="20"/>
                <w:color w:val="auto"/>
              </w:rPr>
            </w:pPr>
            <w:r>
              <w:rPr>
                <w:rFonts w:ascii="Arial" w:cs="Arial" w:eastAsia="Arial" w:hAnsi="Arial"/>
                <w:sz w:val="16"/>
                <w:szCs w:val="16"/>
                <w:color w:val="auto"/>
                <w:w w:val="95"/>
              </w:rPr>
              <w:t>Century Portfolio</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Memphis</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Horseshoe Tunica</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Robinsonville, MS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1,110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510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Tunica Roadhouse </w:t>
            </w:r>
            <w:r>
              <w:rPr>
                <w:rFonts w:ascii="Arial" w:cs="Arial" w:eastAsia="Arial" w:hAnsi="Arial"/>
                <w:sz w:val="21"/>
                <w:szCs w:val="21"/>
                <w:color w:val="auto"/>
                <w:vertAlign w:val="superscript"/>
              </w:rPr>
              <w:t>(5)</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Robinsonville, MS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140</w:t>
            </w:r>
          </w:p>
        </w:tc>
        <w:tc>
          <w:tcPr>
            <w:tcW w:w="17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Omaha</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Harrah’s Council Bluffs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Horseshoe Council Bluffs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1,450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Nashville</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Harrah’s Metropolis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Metropolis, IL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870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260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New Orleans</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Harrah’s Gulf Coast</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rPr>
              <w:t>Biloxi, MS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Louisville</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Caesars Southern Indiana</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Elizabeth, IN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1,680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w w:val="94"/>
              </w:rPr>
              <w:t>Non-CPLV</w:t>
            </w:r>
          </w:p>
        </w:tc>
      </w:tr>
      <w:tr>
        <w:trPr>
          <w:trHeight w:val="33"/>
        </w:trPr>
        <w:tc>
          <w:tcPr>
            <w:tcW w:w="40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Casinos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1,750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36,840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15,552</w:t>
            </w:r>
          </w:p>
        </w:tc>
        <w:tc>
          <w:tcPr>
            <w:tcW w:w="1700" w:type="dxa"/>
            <w:vAlign w:val="bottom"/>
            <w:tcBorders>
              <w:bottom w:val="single" w:sz="8" w:color="CCEEFF"/>
            </w:tcBorders>
            <w:shd w:val="clear" w:color="auto" w:fill="CCEEFF"/>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79"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Approx. Casino</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Approx.</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1700" w:type="dxa"/>
            <w:vAlign w:val="bottom"/>
          </w:tcPr>
          <w:p>
            <w:pPr>
              <w:spacing w:after="0"/>
              <w:rPr>
                <w:sz w:val="17"/>
                <w:szCs w:val="17"/>
                <w:color w:val="auto"/>
              </w:rPr>
            </w:pPr>
          </w:p>
        </w:tc>
      </w:tr>
      <w:tr>
        <w:trPr>
          <w:trHeight w:val="210"/>
        </w:trPr>
        <w:tc>
          <w:tcPr>
            <w:tcW w:w="4040" w:type="dxa"/>
            <w:vAlign w:val="bottom"/>
          </w:tcPr>
          <w:p>
            <w:pPr>
              <w:ind w:left="1400"/>
              <w:spacing w:after="0"/>
              <w:rPr>
                <w:sz w:val="20"/>
                <w:szCs w:val="20"/>
                <w:color w:val="auto"/>
              </w:rPr>
            </w:pPr>
            <w:r>
              <w:rPr>
                <w:rFonts w:ascii="Arial" w:cs="Arial" w:eastAsia="Arial" w:hAnsi="Arial"/>
                <w:sz w:val="16"/>
                <w:szCs w:val="16"/>
                <w:b w:val="1"/>
                <w:bCs w:val="1"/>
                <w:color w:val="auto"/>
              </w:rPr>
              <w:t>MSA / Property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Location</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Sq. Ft. (000’s)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Gaming Units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8"/>
              </w:rPr>
              <w:t>Rooms</w:t>
            </w:r>
          </w:p>
        </w:tc>
        <w:tc>
          <w:tcPr>
            <w:tcW w:w="170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Lease Agreement</w:t>
            </w:r>
          </w:p>
        </w:tc>
      </w:tr>
      <w:tr>
        <w:trPr>
          <w:trHeight w:val="33"/>
        </w:trPr>
        <w:tc>
          <w:tcPr>
            <w:tcW w:w="4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35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Current Portfolio - Golf Courses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Las Vegas</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Cascata Golf Course</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Boulder City, NV</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rPr>
              <w:t>N/A</w:t>
            </w: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Rio Secco Golf Course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Henderson, NV</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N/A</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New Orleans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Grand Bear Golf Course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Saucier, MS</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N/A</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Louisville</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Chariot Run Golf Course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Laconia, IN</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N/A</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b w:val="1"/>
                <w:bCs w:val="1"/>
                <w:color w:val="auto"/>
              </w:rPr>
              <w:t>Total Golf Courses</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spacing w:after="0"/>
              <w:rPr>
                <w:sz w:val="18"/>
                <w:szCs w:val="18"/>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36,840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15,552</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52"/>
        </w:trPr>
        <w:tc>
          <w:tcPr>
            <w:tcW w:w="4040" w:type="dxa"/>
            <w:vAlign w:val="bottom"/>
          </w:tcPr>
          <w:p>
            <w:pPr>
              <w:spacing w:after="0"/>
              <w:rPr>
                <w:sz w:val="24"/>
                <w:szCs w:val="24"/>
                <w:color w:val="auto"/>
              </w:rPr>
            </w:pPr>
          </w:p>
        </w:tc>
        <w:tc>
          <w:tcPr>
            <w:tcW w:w="35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Pending Acquisitions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Philadelphia</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70"/>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Harrah’s Atlantic City </w:t>
            </w:r>
            <w:r>
              <w:rPr>
                <w:rFonts w:ascii="Arial" w:cs="Arial" w:eastAsia="Arial" w:hAnsi="Arial"/>
                <w:sz w:val="21"/>
                <w:szCs w:val="21"/>
                <w:color w:val="auto"/>
                <w:vertAlign w:val="superscript"/>
              </w:rPr>
              <w:t>(7)</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156</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2,270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2,590</w:t>
            </w:r>
          </w:p>
        </w:tc>
        <w:tc>
          <w:tcPr>
            <w:tcW w:w="1700" w:type="dxa"/>
            <w:vAlign w:val="bottom"/>
          </w:tcPr>
          <w:p>
            <w:pPr>
              <w:jc w:val="center"/>
              <w:ind w:left="39"/>
              <w:spacing w:after="0"/>
              <w:rPr>
                <w:sz w:val="20"/>
                <w:szCs w:val="20"/>
                <w:color w:val="auto"/>
              </w:rPr>
            </w:pPr>
            <w:r>
              <w:rPr>
                <w:rFonts w:ascii="Arial" w:cs="Arial" w:eastAsia="Arial" w:hAnsi="Arial"/>
                <w:sz w:val="16"/>
                <w:szCs w:val="16"/>
                <w:color w:val="auto"/>
                <w:w w:val="91"/>
              </w:rPr>
              <w:t xml:space="preserve">Non-CPLV </w:t>
            </w:r>
            <w:r>
              <w:rPr>
                <w:rFonts w:ascii="Arial" w:cs="Arial" w:eastAsia="Arial" w:hAnsi="Arial"/>
                <w:sz w:val="21"/>
                <w:szCs w:val="21"/>
                <w:color w:val="auto"/>
                <w:w w:val="91"/>
                <w:vertAlign w:val="superscript"/>
              </w:rPr>
              <w:t>(6)</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New Orleans</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70"/>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color w:val="auto"/>
                <w:vertAlign w:val="superscript"/>
              </w:rPr>
              <w:t>(7)</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New Orleans,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125</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1,630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450</w:t>
            </w:r>
          </w:p>
        </w:tc>
        <w:tc>
          <w:tcPr>
            <w:tcW w:w="1700" w:type="dxa"/>
            <w:vAlign w:val="bottom"/>
          </w:tcPr>
          <w:p>
            <w:pPr>
              <w:jc w:val="center"/>
              <w:ind w:left="39"/>
              <w:spacing w:after="0"/>
              <w:rPr>
                <w:sz w:val="20"/>
                <w:szCs w:val="20"/>
                <w:color w:val="auto"/>
              </w:rPr>
            </w:pPr>
            <w:r>
              <w:rPr>
                <w:rFonts w:ascii="Arial" w:cs="Arial" w:eastAsia="Arial" w:hAnsi="Arial"/>
                <w:sz w:val="16"/>
                <w:szCs w:val="16"/>
                <w:color w:val="auto"/>
                <w:w w:val="91"/>
              </w:rPr>
              <w:t xml:space="preserve">Non-CPLV </w:t>
            </w:r>
            <w:r>
              <w:rPr>
                <w:rFonts w:ascii="Arial" w:cs="Arial" w:eastAsia="Arial" w:hAnsi="Arial"/>
                <w:sz w:val="21"/>
                <w:szCs w:val="21"/>
                <w:color w:val="auto"/>
                <w:w w:val="91"/>
                <w:vertAlign w:val="superscript"/>
              </w:rPr>
              <w:t>(6)</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Laughlin</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70"/>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color w:val="auto"/>
                <w:vertAlign w:val="superscript"/>
              </w:rPr>
              <w:t>(7)</w:t>
            </w:r>
          </w:p>
        </w:tc>
        <w:tc>
          <w:tcPr>
            <w:tcW w:w="218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Laughlin,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910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1,510</w:t>
            </w:r>
          </w:p>
        </w:tc>
        <w:tc>
          <w:tcPr>
            <w:tcW w:w="1700" w:type="dxa"/>
            <w:vAlign w:val="bottom"/>
          </w:tcPr>
          <w:p>
            <w:pPr>
              <w:jc w:val="center"/>
              <w:ind w:left="39"/>
              <w:spacing w:after="0"/>
              <w:rPr>
                <w:sz w:val="20"/>
                <w:szCs w:val="20"/>
                <w:color w:val="auto"/>
              </w:rPr>
            </w:pPr>
            <w:r>
              <w:rPr>
                <w:rFonts w:ascii="Arial" w:cs="Arial" w:eastAsia="Arial" w:hAnsi="Arial"/>
                <w:sz w:val="16"/>
                <w:szCs w:val="16"/>
                <w:color w:val="auto"/>
                <w:w w:val="91"/>
              </w:rPr>
              <w:t xml:space="preserve">Non-CPLV </w:t>
            </w:r>
            <w:r>
              <w:rPr>
                <w:rFonts w:ascii="Arial" w:cs="Arial" w:eastAsia="Arial" w:hAnsi="Arial"/>
                <w:sz w:val="21"/>
                <w:szCs w:val="21"/>
                <w:color w:val="auto"/>
                <w:w w:val="91"/>
                <w:vertAlign w:val="superscript"/>
              </w:rPr>
              <w:t>(6)</w:t>
            </w:r>
          </w:p>
        </w:tc>
      </w:tr>
      <w:tr>
        <w:trPr>
          <w:trHeight w:val="244"/>
        </w:trPr>
        <w:tc>
          <w:tcPr>
            <w:tcW w:w="40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w:t>
            </w:r>
          </w:p>
        </w:tc>
        <w:tc>
          <w:tcPr>
            <w:tcW w:w="2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4,550</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52"/>
        </w:trPr>
        <w:tc>
          <w:tcPr>
            <w:tcW w:w="4040" w:type="dxa"/>
            <w:vAlign w:val="bottom"/>
          </w:tcPr>
          <w:p>
            <w:pPr>
              <w:spacing w:after="0"/>
              <w:rPr>
                <w:sz w:val="24"/>
                <w:szCs w:val="24"/>
                <w:color w:val="auto"/>
              </w:rPr>
            </w:pPr>
          </w:p>
        </w:tc>
        <w:tc>
          <w:tcPr>
            <w:tcW w:w="35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Put/Call Properties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Indianapolis</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69"/>
        </w:trPr>
        <w:tc>
          <w:tcPr>
            <w:tcW w:w="4040" w:type="dxa"/>
            <w:vAlign w:val="bottom"/>
          </w:tcPr>
          <w:p>
            <w:pPr>
              <w:ind w:left="380"/>
              <w:spacing w:after="0"/>
              <w:rPr>
                <w:sz w:val="20"/>
                <w:szCs w:val="20"/>
                <w:color w:val="auto"/>
              </w:rPr>
            </w:pPr>
            <w:r>
              <w:rPr>
                <w:rFonts w:ascii="Arial" w:cs="Arial" w:eastAsia="Arial" w:hAnsi="Arial"/>
                <w:sz w:val="16"/>
                <w:szCs w:val="16"/>
                <w:color w:val="auto"/>
              </w:rPr>
              <w:t xml:space="preserve">Indiana Grand Racing &amp; Casino </w:t>
            </w:r>
            <w:r>
              <w:rPr>
                <w:rFonts w:ascii="Arial" w:cs="Arial" w:eastAsia="Arial" w:hAnsi="Arial"/>
                <w:sz w:val="17"/>
                <w:szCs w:val="17"/>
                <w:color w:val="auto"/>
                <w:vertAlign w:val="superscript"/>
              </w:rPr>
              <w:t>(2)(7)</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Anderson, IN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2,070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19"/>
              <w:spacing w:after="0"/>
              <w:rPr>
                <w:sz w:val="20"/>
                <w:szCs w:val="20"/>
                <w:color w:val="auto"/>
              </w:rPr>
            </w:pPr>
            <w:r>
              <w:rPr>
                <w:rFonts w:ascii="Arial" w:cs="Arial" w:eastAsia="Arial" w:hAnsi="Arial"/>
                <w:sz w:val="16"/>
                <w:szCs w:val="16"/>
                <w:color w:val="auto"/>
              </w:rPr>
              <w:t>N/A</w:t>
            </w:r>
          </w:p>
        </w:tc>
      </w:tr>
      <w:tr>
        <w:trPr>
          <w:trHeight w:val="271"/>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Harrah’s Hoosier Park </w:t>
            </w:r>
            <w:r>
              <w:rPr>
                <w:rFonts w:ascii="Arial" w:cs="Arial" w:eastAsia="Arial" w:hAnsi="Arial"/>
                <w:sz w:val="17"/>
                <w:szCs w:val="17"/>
                <w:color w:val="auto"/>
                <w:vertAlign w:val="superscript"/>
              </w:rPr>
              <w:t>(2)(7)</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8"/>
              </w:rPr>
              <w:t>Shelbyville, IN</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N/A</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Las Vegas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Caesars Forum Convention Center</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Las Vegas, NV</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N/A</w:t>
            </w:r>
          </w:p>
        </w:tc>
      </w:tr>
      <w:tr>
        <w:trPr>
          <w:trHeight w:val="244"/>
        </w:trPr>
        <w:tc>
          <w:tcPr>
            <w:tcW w:w="4040" w:type="dxa"/>
            <w:vAlign w:val="bottom"/>
          </w:tcPr>
          <w:p>
            <w:pPr>
              <w:ind w:left="380"/>
              <w:spacing w:after="0"/>
              <w:rPr>
                <w:sz w:val="20"/>
                <w:szCs w:val="20"/>
                <w:color w:val="auto"/>
              </w:rPr>
            </w:pPr>
            <w:r>
              <w:rPr>
                <w:rFonts w:ascii="Arial" w:cs="Arial" w:eastAsia="Arial" w:hAnsi="Arial"/>
                <w:sz w:val="16"/>
                <w:szCs w:val="16"/>
                <w:b w:val="1"/>
                <w:bCs w:val="1"/>
                <w:color w:val="auto"/>
              </w:rPr>
              <w:t>Total</w:t>
            </w: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138</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3,140</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right="260" w:hanging="5"/>
        <w:spacing w:after="0" w:line="281" w:lineRule="auto"/>
        <w:tabs>
          <w:tab w:leader="none" w:pos="167" w:val="left"/>
        </w:tabs>
        <w:numPr>
          <w:ilvl w:val="0"/>
          <w:numId w:val="3"/>
        </w:numPr>
        <w:rPr>
          <w:rFonts w:ascii="Arial" w:cs="Arial" w:eastAsia="Arial" w:hAnsi="Arial"/>
          <w:sz w:val="8"/>
          <w:szCs w:val="8"/>
          <w:color w:val="auto"/>
        </w:rPr>
      </w:pPr>
      <w:r>
        <w:rPr>
          <w:rFonts w:ascii="Arial" w:cs="Arial" w:eastAsia="Arial" w:hAnsi="Arial"/>
          <w:sz w:val="13"/>
          <w:szCs w:val="13"/>
          <w:color w:val="auto"/>
        </w:rPr>
        <w:t>On December 31, 2019 we and Caesars entered into a definitive agreement to sell the Harrah’s Reno asset for $50 million to a third party. We are entitled to receive 75% of the proceeds of the sale and Caesars is entitled to receive 25% of the proceeds. The annual rent payments under the Non-CPLV Lease Agreement will remain unchanged following completion of the disposition.</w:t>
      </w:r>
    </w:p>
    <w:p>
      <w:pPr>
        <w:spacing w:after="0" w:line="1" w:lineRule="exact"/>
        <w:rPr>
          <w:rFonts w:ascii="Arial" w:cs="Arial" w:eastAsia="Arial" w:hAnsi="Arial"/>
          <w:sz w:val="8"/>
          <w:szCs w:val="8"/>
          <w:color w:val="auto"/>
        </w:rPr>
      </w:pPr>
    </w:p>
    <w:p>
      <w:pPr>
        <w:ind w:left="160" w:hanging="125"/>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Property has live horse racing.</w:t>
      </w:r>
    </w:p>
    <w:p>
      <w:pPr>
        <w:spacing w:after="0" w:line="41" w:lineRule="exact"/>
        <w:rPr>
          <w:rFonts w:ascii="Arial" w:cs="Arial" w:eastAsia="Arial" w:hAnsi="Arial"/>
          <w:sz w:val="9"/>
          <w:szCs w:val="9"/>
          <w:color w:val="auto"/>
        </w:rPr>
      </w:pPr>
    </w:p>
    <w:p>
      <w:pPr>
        <w:ind w:left="160" w:hanging="125"/>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Owned by Harrah’s Joliet Landco LLC, a joint venture of which VICI PropCo is the 80% owner and the managing member.</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On January 24, 2020, we completed the previously announced transaction to acquire JACK Cleveland/Thistledown.</w:t>
      </w:r>
    </w:p>
    <w:p>
      <w:pPr>
        <w:spacing w:after="0" w:line="41" w:lineRule="exact"/>
        <w:rPr>
          <w:rFonts w:ascii="Arial" w:cs="Arial" w:eastAsia="Arial" w:hAnsi="Arial"/>
          <w:sz w:val="9"/>
          <w:szCs w:val="9"/>
          <w:color w:val="auto"/>
        </w:rPr>
      </w:pPr>
    </w:p>
    <w:p>
      <w:pPr>
        <w:ind w:left="160" w:hanging="125"/>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In January of 2019, Caesars combined the gaming operations of Tunica Roadhouse and Horseshoe Tunica.</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Harrah’s Atlantic City, Harrah’s New Orleans and Harrah’s Laughlin properties will be added to the Non-CPLV Lease Agreement upon the closing of the Eldorado Transaction.</w:t>
      </w:r>
    </w:p>
    <w:p>
      <w:pPr>
        <w:spacing w:after="0" w:line="41" w:lineRule="exact"/>
        <w:rPr>
          <w:rFonts w:ascii="Arial" w:cs="Arial" w:eastAsia="Arial" w:hAnsi="Arial"/>
          <w:sz w:val="9"/>
          <w:szCs w:val="9"/>
          <w:color w:val="auto"/>
        </w:rPr>
      </w:pPr>
    </w:p>
    <w:p>
      <w:pPr>
        <w:ind w:left="40" w:right="120" w:hanging="5"/>
        <w:spacing w:after="0" w:line="253" w:lineRule="auto"/>
        <w:tabs>
          <w:tab w:leader="none" w:pos="181" w:val="left"/>
        </w:tabs>
        <w:numPr>
          <w:ilvl w:val="0"/>
          <w:numId w:val="3"/>
        </w:numPr>
        <w:rPr>
          <w:rFonts w:ascii="Arial" w:cs="Arial" w:eastAsia="Arial" w:hAnsi="Arial"/>
          <w:sz w:val="9"/>
          <w:szCs w:val="9"/>
          <w:color w:val="auto"/>
        </w:rPr>
      </w:pPr>
      <w:r>
        <w:rPr>
          <w:rFonts w:ascii="Arial" w:cs="Arial" w:eastAsia="Arial" w:hAnsi="Arial"/>
          <w:sz w:val="14"/>
          <w:szCs w:val="14"/>
          <w:color w:val="auto"/>
        </w:rPr>
        <w:t>Subject to closing of Eldorado/Caesars Merger. See Item 1 - Business - Our Relationship with Caesars - Call Right Agreements and Item 7 - Management’s Discussion and Analysis of Financial Condition and Results of Operations - Summary of Recent Activities - Eldorado Transaction.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79"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Lease Agreements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substantially all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material lease provisions of the Caesars Lease Agreements (which does not reflect the modifications to the Caesars Lease Agreements contemplated in connection with the closing of the Eldorado Transaction):</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90"/>
              </w:rPr>
              <w:t>(</w:t>
            </w:r>
            <w:r>
              <w:rPr>
                <w:rFonts w:ascii="Arial" w:cs="Arial" w:eastAsia="Arial" w:hAnsi="Arial"/>
                <w:sz w:val="14"/>
                <w:szCs w:val="14"/>
                <w:b w:val="1"/>
                <w:bCs w:val="1"/>
                <w:i w:val="1"/>
                <w:iCs w:val="1"/>
                <w:color w:val="auto"/>
                <w:w w:val="90"/>
              </w:rPr>
              <w:t>$ In thousands)</w:t>
            </w:r>
          </w:p>
        </w:tc>
        <w:tc>
          <w:tcPr>
            <w:tcW w:w="2640" w:type="dxa"/>
            <w:vAlign w:val="bottom"/>
            <w:gridSpan w:val="2"/>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(1)</w:t>
            </w:r>
          </w:p>
        </w:tc>
        <w:tc>
          <w:tcPr>
            <w:tcW w:w="120" w:type="dxa"/>
            <w:vAlign w:val="bottom"/>
            <w:vMerge w:val="restart"/>
          </w:tcPr>
          <w:p>
            <w:pPr>
              <w:spacing w:after="0"/>
              <w:rPr>
                <w:sz w:val="20"/>
                <w:szCs w:val="20"/>
                <w:color w:val="auto"/>
              </w:rPr>
            </w:pPr>
          </w:p>
        </w:tc>
        <w:tc>
          <w:tcPr>
            <w:tcW w:w="2620" w:type="dxa"/>
            <w:vAlign w:val="bottom"/>
            <w:gridSpan w:val="2"/>
          </w:tcPr>
          <w:p>
            <w:pPr>
              <w:ind w:left="100"/>
              <w:spacing w:after="0"/>
              <w:rPr>
                <w:sz w:val="20"/>
                <w:szCs w:val="20"/>
                <w:color w:val="auto"/>
              </w:rPr>
            </w:pPr>
            <w:r>
              <w:rPr>
                <w:rFonts w:ascii="Arial" w:cs="Arial" w:eastAsia="Arial" w:hAnsi="Arial"/>
                <w:sz w:val="16"/>
                <w:szCs w:val="16"/>
                <w:b w:val="1"/>
                <w:bCs w:val="1"/>
                <w:color w:val="auto"/>
              </w:rPr>
              <w:t>Non-CPLV Lease Agreement and</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5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Joliet Lease Agreement</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CPLV Lease Agreement</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HLV Lease Agreement</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500" w:type="dxa"/>
            <w:vAlign w:val="bottom"/>
          </w:tcPr>
          <w:p>
            <w:pPr>
              <w:ind w:left="4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(2)</w:t>
            </w: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$508,534</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$207,745</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$89,157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Escalator commencement</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500" w:type="dxa"/>
            <w:vAlign w:val="bottom"/>
          </w:tcPr>
          <w:p>
            <w:pPr>
              <w:ind w:left="4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years 2-5 - 1.5%</w:t>
            </w:r>
          </w:p>
        </w:tc>
        <w:tc>
          <w:tcPr>
            <w:tcW w:w="2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9"/>
              </w:rPr>
              <w:t>Consumer price index subject to</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2-5 - 1%</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3640" w:type="dxa"/>
            <w:vAlign w:val="bottom"/>
            <w:gridSpan w:val="3"/>
            <w:vMerge w:val="restart"/>
            <w:shd w:val="clear" w:color="auto" w:fill="CCEEFF"/>
          </w:tcPr>
          <w:p>
            <w:pPr>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(3)</w:t>
            </w:r>
          </w:p>
        </w:tc>
        <w:tc>
          <w:tcPr>
            <w:tcW w:w="2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Lease years 6-15 - Consumer</w:t>
            </w:r>
          </w:p>
        </w:tc>
        <w:tc>
          <w:tcPr>
            <w:tcW w:w="2600" w:type="dxa"/>
            <w:vAlign w:val="bottom"/>
            <w:gridSpan w:val="2"/>
            <w:vMerge w:val="continue"/>
            <w:shd w:val="clear" w:color="auto" w:fill="CCEEFF"/>
          </w:tcPr>
          <w:p>
            <w:pPr>
              <w:spacing w:after="0"/>
              <w:rPr>
                <w:sz w:val="9"/>
                <w:szCs w:val="9"/>
                <w:color w:val="auto"/>
              </w:rPr>
            </w:pPr>
          </w:p>
        </w:tc>
        <w:tc>
          <w:tcPr>
            <w:tcW w:w="2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Lease years 6-15 - Consumer</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3640" w:type="dxa"/>
            <w:vAlign w:val="bottom"/>
            <w:gridSpan w:val="3"/>
            <w:vMerge w:val="continue"/>
            <w:shd w:val="clear" w:color="auto" w:fill="CCEEFF"/>
          </w:tcPr>
          <w:p>
            <w:pPr>
              <w:spacing w:after="0"/>
              <w:rPr>
                <w:sz w:val="9"/>
                <w:szCs w:val="9"/>
                <w:color w:val="auto"/>
              </w:rPr>
            </w:pPr>
          </w:p>
        </w:tc>
        <w:tc>
          <w:tcPr>
            <w:tcW w:w="2620" w:type="dxa"/>
            <w:vAlign w:val="bottom"/>
            <w:gridSpan w:val="2"/>
            <w:vMerge w:val="continue"/>
            <w:shd w:val="clear" w:color="auto" w:fill="CCEEFF"/>
          </w:tcPr>
          <w:p>
            <w:pPr>
              <w:spacing w:after="0"/>
              <w:rPr>
                <w:sz w:val="9"/>
                <w:szCs w:val="9"/>
                <w:color w:val="auto"/>
              </w:rPr>
            </w:pPr>
          </w:p>
        </w:tc>
        <w:tc>
          <w:tcPr>
            <w:tcW w:w="2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 floor</w:t>
            </w:r>
          </w:p>
        </w:tc>
        <w:tc>
          <w:tcPr>
            <w:tcW w:w="25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price index subject to 2% floor</w:t>
            </w:r>
          </w:p>
        </w:tc>
        <w:tc>
          <w:tcPr>
            <w:tcW w:w="2600" w:type="dxa"/>
            <w:vAlign w:val="bottom"/>
            <w:gridSpan w:val="2"/>
            <w:vMerge w:val="continue"/>
            <w:shd w:val="clear" w:color="auto" w:fill="CCEEFF"/>
          </w:tcPr>
          <w:p>
            <w:pPr>
              <w:spacing w:after="0"/>
              <w:rPr>
                <w:sz w:val="10"/>
                <w:szCs w:val="10"/>
                <w:color w:val="auto"/>
              </w:rPr>
            </w:pPr>
          </w:p>
        </w:tc>
        <w:tc>
          <w:tcPr>
            <w:tcW w:w="2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price index subject to 2% floor</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20" w:type="dxa"/>
            <w:vAlign w:val="bottom"/>
            <w:gridSpan w:val="2"/>
            <w:vMerge w:val="continue"/>
            <w:shd w:val="clear" w:color="auto" w:fill="CCEEFF"/>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79" w:right="239" w:bottom="1440" w:gutter="0" w:footer="0" w:header="0"/>
        </w:sectPr>
      </w:pPr>
    </w:p>
    <w:p>
      <w:pPr>
        <w:ind w:left="40" w:right="380"/>
        <w:spacing w:after="0" w:line="322" w:lineRule="auto"/>
        <w:rPr>
          <w:sz w:val="20"/>
          <w:szCs w:val="20"/>
          <w:color w:val="auto"/>
        </w:rPr>
      </w:pPr>
      <w:r>
        <w:rPr>
          <w:rFonts w:ascii="Arial" w:cs="Arial" w:eastAsia="Arial" w:hAnsi="Arial"/>
          <w:sz w:val="16"/>
          <w:szCs w:val="16"/>
          <w:color w:val="auto"/>
        </w:rPr>
        <w:t xml:space="preserve">EBITDAR to Rent Ratio floor </w:t>
      </w:r>
      <w:r>
        <w:rPr>
          <w:rFonts w:ascii="Arial" w:cs="Arial" w:eastAsia="Arial" w:hAnsi="Arial"/>
          <w:sz w:val="22"/>
          <w:szCs w:val="22"/>
          <w:i w:val="1"/>
          <w:iCs w:val="1"/>
          <w:color w:val="auto"/>
          <w:vertAlign w:val="superscript"/>
        </w:rPr>
        <w:t>(4)</w:t>
      </w:r>
      <w:r>
        <w:rPr>
          <w:rFonts w:ascii="Arial" w:cs="Arial" w:eastAsia="Arial" w:hAnsi="Arial"/>
          <w:sz w:val="16"/>
          <w:szCs w:val="16"/>
          <w:color w:val="auto"/>
        </w:rPr>
        <w:t xml:space="preserve"> Variable Rent commencement/reset</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8"/>
              </w:rPr>
              <w:t>1.2x commencing lease year 8</w:t>
            </w:r>
          </w:p>
        </w:tc>
        <w:tc>
          <w:tcPr>
            <w:tcW w:w="2720" w:type="dxa"/>
            <w:vAlign w:val="bottom"/>
          </w:tcPr>
          <w:p>
            <w:pPr>
              <w:ind w:left="200"/>
              <w:spacing w:after="0"/>
              <w:rPr>
                <w:sz w:val="20"/>
                <w:szCs w:val="20"/>
                <w:color w:val="auto"/>
              </w:rPr>
            </w:pPr>
            <w:r>
              <w:rPr>
                <w:rFonts w:ascii="Arial" w:cs="Arial" w:eastAsia="Arial" w:hAnsi="Arial"/>
                <w:sz w:val="18"/>
                <w:szCs w:val="18"/>
                <w:color w:val="auto"/>
              </w:rPr>
              <w:t>1.7x commencing lease year 8</w:t>
            </w:r>
          </w:p>
        </w:tc>
        <w:tc>
          <w:tcPr>
            <w:tcW w:w="2520" w:type="dxa"/>
            <w:vAlign w:val="bottom"/>
          </w:tcPr>
          <w:p>
            <w:pPr>
              <w:ind w:left="100"/>
              <w:spacing w:after="0"/>
              <w:rPr>
                <w:sz w:val="20"/>
                <w:szCs w:val="20"/>
                <w:color w:val="auto"/>
              </w:rPr>
            </w:pPr>
            <w:r>
              <w:rPr>
                <w:rFonts w:ascii="Arial" w:cs="Arial" w:eastAsia="Arial" w:hAnsi="Arial"/>
                <w:sz w:val="18"/>
                <w:szCs w:val="18"/>
                <w:color w:val="auto"/>
                <w:w w:val="98"/>
              </w:rPr>
              <w:t>1.6x commencing lease year 6</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Lease years 8 and 11</w:t>
            </w:r>
          </w:p>
        </w:tc>
        <w:tc>
          <w:tcPr>
            <w:tcW w:w="2720" w:type="dxa"/>
            <w:vAlign w:val="bottom"/>
          </w:tcPr>
          <w:p>
            <w:pPr>
              <w:ind w:left="200"/>
              <w:spacing w:after="0"/>
              <w:rPr>
                <w:sz w:val="20"/>
                <w:szCs w:val="20"/>
                <w:color w:val="auto"/>
              </w:rPr>
            </w:pPr>
            <w:r>
              <w:rPr>
                <w:rFonts w:ascii="Arial" w:cs="Arial" w:eastAsia="Arial" w:hAnsi="Arial"/>
                <w:sz w:val="18"/>
                <w:szCs w:val="18"/>
                <w:color w:val="auto"/>
              </w:rPr>
              <w:t>Lease years 8 and 11</w:t>
            </w:r>
          </w:p>
        </w:tc>
        <w:tc>
          <w:tcPr>
            <w:tcW w:w="2520" w:type="dxa"/>
            <w:vAlign w:val="bottom"/>
          </w:tcPr>
          <w:p>
            <w:pPr>
              <w:ind w:left="100"/>
              <w:spacing w:after="0"/>
              <w:rPr>
                <w:sz w:val="20"/>
                <w:szCs w:val="20"/>
                <w:color w:val="auto"/>
              </w:rPr>
            </w:pPr>
            <w:r>
              <w:rPr>
                <w:rFonts w:ascii="Arial" w:cs="Arial" w:eastAsia="Arial" w:hAnsi="Arial"/>
                <w:sz w:val="18"/>
                <w:szCs w:val="18"/>
                <w:color w:val="auto"/>
              </w:rPr>
              <w:t>Lease years 8 and 11</w:t>
            </w:r>
          </w:p>
        </w:tc>
      </w:tr>
      <w:tr>
        <w:trPr>
          <w:trHeight w:val="256"/>
        </w:trPr>
        <w:tc>
          <w:tcPr>
            <w:tcW w:w="2420" w:type="dxa"/>
            <w:vAlign w:val="bottom"/>
          </w:tcPr>
          <w:p>
            <w:pPr>
              <w:spacing w:after="0"/>
              <w:rPr>
                <w:sz w:val="20"/>
                <w:szCs w:val="20"/>
                <w:color w:val="auto"/>
              </w:rPr>
            </w:pPr>
            <w:r>
              <w:rPr>
                <w:rFonts w:ascii="Arial" w:cs="Arial" w:eastAsia="Arial" w:hAnsi="Arial"/>
                <w:sz w:val="18"/>
                <w:szCs w:val="18"/>
                <w:color w:val="auto"/>
              </w:rPr>
              <w:t>Lease years 8-10 - 70% Base</w:t>
            </w:r>
          </w:p>
        </w:tc>
        <w:tc>
          <w:tcPr>
            <w:tcW w:w="272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Rent and 30% Variable Rent</w:t>
            </w:r>
          </w:p>
        </w:tc>
        <w:tc>
          <w:tcPr>
            <w:tcW w:w="2720" w:type="dxa"/>
            <w:vAlign w:val="bottom"/>
          </w:tcPr>
          <w:p>
            <w:pPr>
              <w:ind w:left="200"/>
              <w:spacing w:after="0"/>
              <w:rPr>
                <w:sz w:val="20"/>
                <w:szCs w:val="20"/>
                <w:color w:val="auto"/>
              </w:rPr>
            </w:pPr>
            <w:r>
              <w:rPr>
                <w:rFonts w:ascii="Arial" w:cs="Arial" w:eastAsia="Arial" w:hAnsi="Arial"/>
                <w:sz w:val="18"/>
                <w:szCs w:val="18"/>
                <w:color w:val="auto"/>
                <w:w w:val="91"/>
              </w:rPr>
              <w:t>80% Base Rent and 20% Variable</w:t>
            </w:r>
          </w:p>
        </w:tc>
        <w:tc>
          <w:tcPr>
            <w:tcW w:w="2520" w:type="dxa"/>
            <w:vAlign w:val="bottom"/>
          </w:tcPr>
          <w:p>
            <w:pPr>
              <w:ind w:left="100"/>
              <w:spacing w:after="0"/>
              <w:rPr>
                <w:sz w:val="20"/>
                <w:szCs w:val="20"/>
                <w:color w:val="auto"/>
              </w:rPr>
            </w:pPr>
            <w:r>
              <w:rPr>
                <w:rFonts w:ascii="Arial" w:cs="Arial" w:eastAsia="Arial" w:hAnsi="Arial"/>
                <w:sz w:val="18"/>
                <w:szCs w:val="18"/>
                <w:color w:val="auto"/>
                <w:w w:val="88"/>
              </w:rPr>
              <w:t>80% Base Rent and 20% Variable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9"/>
              </w:rPr>
              <w:t>Lease years 11-15- 80% Base</w:t>
            </w:r>
          </w:p>
        </w:tc>
        <w:tc>
          <w:tcPr>
            <w:tcW w:w="2720" w:type="dxa"/>
            <w:vAlign w:val="bottom"/>
          </w:tcPr>
          <w:p>
            <w:pPr>
              <w:ind w:left="200"/>
              <w:spacing w:after="0"/>
              <w:rPr>
                <w:sz w:val="20"/>
                <w:szCs w:val="20"/>
                <w:color w:val="auto"/>
              </w:rPr>
            </w:pPr>
            <w:r>
              <w:rPr>
                <w:rFonts w:ascii="Arial" w:cs="Arial" w:eastAsia="Arial" w:hAnsi="Arial"/>
                <w:sz w:val="18"/>
                <w:szCs w:val="18"/>
                <w:color w:val="auto"/>
              </w:rPr>
              <w:t>Rent</w:t>
            </w:r>
          </w:p>
        </w:tc>
        <w:tc>
          <w:tcPr>
            <w:tcW w:w="2520" w:type="dxa"/>
            <w:vAlign w:val="bottom"/>
          </w:tcPr>
          <w:p>
            <w:pPr>
              <w:ind w:left="100"/>
              <w:spacing w:after="0"/>
              <w:rPr>
                <w:sz w:val="20"/>
                <w:szCs w:val="20"/>
                <w:color w:val="auto"/>
              </w:rPr>
            </w:pPr>
            <w:r>
              <w:rPr>
                <w:rFonts w:ascii="Arial" w:cs="Arial" w:eastAsia="Arial" w:hAnsi="Arial"/>
                <w:sz w:val="18"/>
                <w:szCs w:val="18"/>
                <w:color w:val="auto"/>
              </w:rPr>
              <w:t>Rent</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Rent and 20% Variable Rent</w:t>
            </w:r>
          </w:p>
        </w:tc>
        <w:tc>
          <w:tcPr>
            <w:tcW w:w="272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-736600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2980" w:space="720"/>
            <w:col w:w="772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(5)</w:t>
            </w:r>
          </w:p>
        </w:tc>
        <w:tc>
          <w:tcPr>
            <w:tcW w:w="22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4%</w:t>
            </w:r>
          </w:p>
        </w:tc>
        <w:tc>
          <w:tcPr>
            <w:tcW w:w="26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4%</w:t>
            </w:r>
          </w:p>
        </w:tc>
        <w:tc>
          <w:tcPr>
            <w:tcW w:w="3640" w:type="dxa"/>
            <w:vAlign w:val="bottom"/>
            <w:shd w:val="clear" w:color="auto" w:fill="CCEEFF"/>
          </w:tcPr>
          <w:p>
            <w:pPr>
              <w:jc w:val="right"/>
              <w:ind w:right="2130"/>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____________________</w:t>
            </w:r>
          </w:p>
        </w:tc>
        <w:tc>
          <w:tcPr>
            <w:tcW w:w="2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7"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Non-CPLV Lease Agreement, Joliet Lease Agreement and CPLV Lease Agreement, the amount represents the current annual base rent payable for the current lease year which is the period from November 1, 2019 through October 31, 2020. In relation to the HLV Lease Agreement the amount represents current annual base rent payable for the current lease year which is the period from January 1, 2020 through December 31,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21"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w:t>
      </w:r>
      <w:r>
        <w:rPr>
          <w:rFonts w:ascii="Arial" w:cs="Arial" w:eastAsia="Arial" w:hAnsi="Arial"/>
          <w:sz w:val="14"/>
          <w:szCs w:val="14"/>
          <w:i w:val="1"/>
          <w:iCs w:val="1"/>
          <w:color w:val="212529"/>
        </w:rPr>
        <w:t>o such rent has been recognized for the year ended</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12529"/>
        </w:rPr>
        <w:t>December 31, 2019.</w:t>
      </w:r>
    </w:p>
    <w:p>
      <w:pPr>
        <w:jc w:val="both"/>
        <w:ind w:firstLine="8"/>
        <w:spacing w:after="0" w:line="241" w:lineRule="auto"/>
        <w:tabs>
          <w:tab w:leader="none" w:pos="21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 The coverage floors, which coverage floors serve to reduce the rent escalators under the Caesars Lease Agreements in the event that the “EBITDAR to Rent Ratio” coverage is below the stated floor, will be removed upon execution of the amendments to the Caesars Lease Agreements in connection with the closing of the Eldorado Transaction.</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25"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Net Revenues, as defined in the Caesars Lease Agreements, multiplied by the Variable Rent percentage.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9"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Penn National Lease Agreements: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60" w:lineRule="exact"/>
        <w:rPr>
          <w:sz w:val="20"/>
          <w:szCs w:val="20"/>
          <w:color w:val="auto"/>
        </w:rPr>
      </w:pPr>
    </w:p>
    <w:p>
      <w:pPr>
        <w:ind w:left="40"/>
        <w:spacing w:after="0"/>
        <w:tabs>
          <w:tab w:leader="none" w:pos="4360" w:val="left"/>
          <w:tab w:leader="none" w:pos="846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Renewal terms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(1)</w:t>
      </w:r>
    </w:p>
    <w:p>
      <w:pPr>
        <w:ind w:left="180"/>
        <w:spacing w:after="0"/>
        <w:rPr>
          <w:sz w:val="20"/>
          <w:szCs w:val="20"/>
          <w:color w:val="auto"/>
        </w:rPr>
      </w:pPr>
      <w:r>
        <w:rPr>
          <w:rFonts w:ascii="Arial" w:cs="Arial" w:eastAsia="Arial" w:hAnsi="Arial"/>
          <w:sz w:val="18"/>
          <w:szCs w:val="18"/>
          <w:color w:val="auto"/>
        </w:rPr>
        <w:t>Escalation commencement</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Escalation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Performance to rent ratio floor </w:t>
      </w:r>
      <w:r>
        <w:rPr>
          <w:rFonts w:ascii="Arial" w:cs="Arial" w:eastAsia="Arial" w:hAnsi="Arial"/>
          <w:sz w:val="22"/>
          <w:szCs w:val="22"/>
          <w:color w:val="auto"/>
          <w:vertAlign w:val="superscript"/>
        </w:rPr>
        <w:t>(2)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5"/>
          <w:szCs w:val="25"/>
          <w:color w:val="auto"/>
          <w:vertAlign w:val="superscript"/>
        </w:rPr>
        <w:t>(3)</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Percentage rent multiplier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15 years</w:t>
      </w:r>
      <w:r>
        <w:rPr>
          <w:sz w:val="20"/>
          <w:szCs w:val="20"/>
          <w:color w:val="auto"/>
        </w:rPr>
        <w:tab/>
      </w:r>
      <w:r>
        <w:rPr>
          <w:rFonts w:ascii="Arial" w:cs="Arial" w:eastAsia="Arial" w:hAnsi="Arial"/>
          <w:sz w:val="15"/>
          <w:szCs w:val="15"/>
          <w:color w:val="auto"/>
        </w:rPr>
        <w:t>15 years</w:t>
      </w:r>
    </w:p>
    <w:p>
      <w:pPr>
        <w:spacing w:after="0" w:line="6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Four, five-year terms</w:t>
      </w:r>
      <w:r>
        <w:rPr>
          <w:sz w:val="20"/>
          <w:szCs w:val="20"/>
          <w:color w:val="auto"/>
        </w:rPr>
        <w:tab/>
      </w:r>
      <w:r>
        <w:rPr>
          <w:rFonts w:ascii="Arial" w:cs="Arial" w:eastAsia="Arial" w:hAnsi="Arial"/>
          <w:sz w:val="16"/>
          <w:szCs w:val="16"/>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$23,544</w:t>
      </w:r>
      <w:r>
        <w:rPr>
          <w:sz w:val="20"/>
          <w:szCs w:val="20"/>
          <w:color w:val="auto"/>
        </w:rPr>
        <w:tab/>
      </w:r>
      <w:r>
        <w:rPr>
          <w:rFonts w:ascii="Arial" w:cs="Arial" w:eastAsia="Arial" w:hAnsi="Arial"/>
          <w:sz w:val="16"/>
          <w:szCs w:val="16"/>
          <w:color w:val="auto"/>
        </w:rPr>
        <w:t>$55,600</w:t>
      </w:r>
    </w:p>
    <w:p>
      <w:pPr>
        <w:spacing w:after="0" w:line="6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Lease year two</w:t>
      </w:r>
      <w:r>
        <w:rPr>
          <w:sz w:val="20"/>
          <w:szCs w:val="20"/>
          <w:color w:val="auto"/>
        </w:rPr>
        <w:tab/>
      </w:r>
      <w:r>
        <w:rPr>
          <w:rFonts w:ascii="Arial" w:cs="Arial" w:eastAsia="Arial" w:hAnsi="Arial"/>
          <w:sz w:val="15"/>
          <w:szCs w:val="15"/>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31750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2% of Building base rent, subject to the net revenue</w:t>
      </w:r>
      <w:r>
        <w:rPr>
          <w:sz w:val="20"/>
          <w:szCs w:val="20"/>
          <w:color w:val="auto"/>
        </w:rPr>
        <w:tab/>
      </w:r>
      <w:r>
        <w:rPr>
          <w:rFonts w:ascii="Arial" w:cs="Arial" w:eastAsia="Arial" w:hAnsi="Arial"/>
          <w:sz w:val="16"/>
          <w:szCs w:val="16"/>
          <w:color w:val="auto"/>
        </w:rPr>
        <w:t>2% of Building base rent, subject to the EBITDAR</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to rent ratio floor</w:t>
      </w:r>
      <w:r>
        <w:rPr>
          <w:sz w:val="20"/>
          <w:szCs w:val="20"/>
          <w:color w:val="auto"/>
        </w:rPr>
        <w:tab/>
      </w:r>
      <w:r>
        <w:rPr>
          <w:rFonts w:ascii="Arial" w:cs="Arial" w:eastAsia="Arial" w:hAnsi="Arial"/>
          <w:sz w:val="16"/>
          <w:szCs w:val="16"/>
          <w:color w:val="auto"/>
        </w:rPr>
        <w:t>to rent ratio floor</w:t>
      </w:r>
    </w:p>
    <w:p>
      <w:pPr>
        <w:spacing w:after="0" w:line="4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6.1x net revenue commencing lease year two</w:t>
      </w:r>
      <w:r>
        <w:rPr>
          <w:sz w:val="20"/>
          <w:szCs w:val="20"/>
          <w:color w:val="auto"/>
        </w:rPr>
        <w:tab/>
      </w:r>
      <w:r>
        <w:rPr>
          <w:rFonts w:ascii="Arial" w:cs="Arial" w:eastAsia="Arial" w:hAnsi="Arial"/>
          <w:sz w:val="16"/>
          <w:szCs w:val="16"/>
          <w:color w:val="auto"/>
        </w:rPr>
        <w:t>1.85x EBITDAR commencing 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$3,000 (fixed for lease year one and two)</w:t>
      </w:r>
      <w:r>
        <w:rPr>
          <w:sz w:val="20"/>
          <w:szCs w:val="20"/>
          <w:color w:val="auto"/>
        </w:rPr>
        <w:tab/>
      </w:r>
      <w:r>
        <w:rPr>
          <w:rFonts w:ascii="Arial" w:cs="Arial" w:eastAsia="Arial" w:hAnsi="Arial"/>
          <w:sz w:val="16"/>
          <w:szCs w:val="16"/>
          <w:color w:val="auto"/>
        </w:rPr>
        <w:t>$6,400 (fixed for lease year one and two)</w:t>
      </w:r>
    </w:p>
    <w:p>
      <w:pPr>
        <w:spacing w:after="0" w:line="6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Lease year three and each and every other lease year</w:t>
      </w:r>
      <w:r>
        <w:rPr>
          <w:sz w:val="20"/>
          <w:szCs w:val="20"/>
          <w:color w:val="auto"/>
        </w:rPr>
        <w:tab/>
      </w:r>
      <w:r>
        <w:rPr>
          <w:rFonts w:ascii="Arial" w:cs="Arial" w:eastAsia="Arial" w:hAnsi="Arial"/>
          <w:sz w:val="15"/>
          <w:szCs w:val="15"/>
          <w:color w:val="auto"/>
        </w:rPr>
        <w:t>Lease year three and each and every other lease year</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22860</wp:posOffset>
            </wp:positionV>
            <wp:extent cx="7246620"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The product of (i) 4% and (ii) the excess (if any) of</w:t>
      </w:r>
      <w:r>
        <w:rPr>
          <w:sz w:val="20"/>
          <w:szCs w:val="20"/>
          <w:color w:val="auto"/>
        </w:rPr>
        <w:tab/>
      </w:r>
      <w:r>
        <w:rPr>
          <w:rFonts w:ascii="Arial" w:cs="Arial" w:eastAsia="Arial" w:hAnsi="Arial"/>
          <w:sz w:val="16"/>
          <w:szCs w:val="16"/>
          <w:color w:val="auto"/>
        </w:rPr>
        <w:t>The product of (i) 4% and (ii) the excess (if any) of</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(a) the average annual net revenue of a trailing two-</w:t>
      </w:r>
      <w:r>
        <w:rPr>
          <w:sz w:val="20"/>
          <w:szCs w:val="20"/>
          <w:color w:val="auto"/>
        </w:rPr>
        <w:tab/>
      </w:r>
      <w:r>
        <w:rPr>
          <w:rFonts w:ascii="Arial" w:cs="Arial" w:eastAsia="Arial" w:hAnsi="Arial"/>
          <w:sz w:val="16"/>
          <w:szCs w:val="16"/>
          <w:color w:val="auto"/>
        </w:rPr>
        <w:t>(a) the average annual net revenue of a trailing two-</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year period preceding such reset year over (b) a</w:t>
      </w:r>
      <w:r>
        <w:rPr>
          <w:sz w:val="20"/>
          <w:szCs w:val="20"/>
          <w:color w:val="auto"/>
        </w:rPr>
        <w:tab/>
      </w:r>
      <w:r>
        <w:rPr>
          <w:rFonts w:ascii="Arial" w:cs="Arial" w:eastAsia="Arial" w:hAnsi="Arial"/>
          <w:sz w:val="16"/>
          <w:szCs w:val="16"/>
          <w:color w:val="auto"/>
        </w:rPr>
        <w:t>year period preceding such reset year over (b) a</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threshold amount (defined as 50% of LTM net</w:t>
      </w:r>
      <w:r>
        <w:rPr>
          <w:sz w:val="20"/>
          <w:szCs w:val="20"/>
          <w:color w:val="auto"/>
        </w:rPr>
        <w:tab/>
      </w:r>
      <w:r>
        <w:rPr>
          <w:rFonts w:ascii="Arial" w:cs="Arial" w:eastAsia="Arial" w:hAnsi="Arial"/>
          <w:sz w:val="16"/>
          <w:szCs w:val="16"/>
          <w:color w:val="auto"/>
        </w:rPr>
        <w:t>threshold amount (defined as 50% of LTM net</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245" w:lineRule="exact"/>
        <w:rPr>
          <w:sz w:val="20"/>
          <w:szCs w:val="20"/>
          <w:color w:val="auto"/>
        </w:rPr>
      </w:pPr>
    </w:p>
    <w:p>
      <w:pPr>
        <w:sectPr>
          <w:pgSz w:w="11900" w:h="16838" w:orient="portrait"/>
          <w:cols w:equalWidth="0" w:num="2">
            <w:col w:w="2860" w:space="720"/>
            <w:col w:w="7840"/>
          </w:cols>
          <w:pgMar w:left="240" w:top="179" w:right="239" w:bottom="1440" w:gutter="0" w:footer="0" w:header="0"/>
          <w:type w:val="continuous"/>
        </w:sectPr>
      </w:pPr>
    </w:p>
    <w:p>
      <w:pPr>
        <w:jc w:val="both"/>
        <w:ind w:firstLine="8"/>
        <w:spacing w:after="0" w:line="241" w:lineRule="auto"/>
        <w:tabs>
          <w:tab w:leader="none" w:pos="20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2020 through January 31, 2021. In relation to the Greektown Lease Agreement, the amount represents current annual base rent payable for the current lease year which is the period from May 23, 2019 through May 31, 2020.</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4"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2020 the performance basis of the Margaritaville Lease Agreement was changed from a 1.9x EBITDAR to rent ratio to a 6.1x net revenue to rent ratio. In the event that the net revenue or EBITDAR to rent ratio coverage is below the stated floor, the escalation will be reduced to such amount to achieve the stated net revenue or EBITDAR to rent ratio coverage, provided that the amount shall never result in a decrease to the prior year’s rent. In relation to the Greektown Lease Agreement, the EBITDAR to rent ratio floor is conditioned upon obtaining a favorable private letter ruling from the Internal Revenue Service.</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27"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N</w:t>
      </w:r>
      <w:r>
        <w:rPr>
          <w:rFonts w:ascii="Arial" w:cs="Arial" w:eastAsia="Arial" w:hAnsi="Arial"/>
          <w:sz w:val="14"/>
          <w:szCs w:val="14"/>
          <w:i w:val="1"/>
          <w:iCs w:val="1"/>
          <w:color w:val="212529"/>
        </w:rPr>
        <w:t>o such rent has been recognized for the year ended December 31, 2019.</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9"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Hard Rock Cincinnati Lease Agreement: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40" w:type="dxa"/>
            <w:vAlign w:val="bottom"/>
            <w:gridSpan w:val="2"/>
          </w:tcPr>
          <w:p>
            <w:pPr>
              <w:spacing w:after="0"/>
              <w:rPr>
                <w:sz w:val="14"/>
                <w:szCs w:val="14"/>
                <w:color w:val="auto"/>
              </w:rPr>
            </w:pPr>
          </w:p>
        </w:tc>
        <w:tc>
          <w:tcPr>
            <w:tcW w:w="776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760" w:type="dxa"/>
            <w:vAlign w:val="bottom"/>
          </w:tcPr>
          <w:p>
            <w:pPr>
              <w:ind w:left="370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760" w:type="dxa"/>
            <w:vAlign w:val="bottom"/>
          </w:tcPr>
          <w:p>
            <w:pPr>
              <w:ind w:left="4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(1)</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$42,750</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Escalator commencement</w:t>
            </w:r>
          </w:p>
        </w:tc>
        <w:tc>
          <w:tcPr>
            <w:tcW w:w="7760" w:type="dxa"/>
            <w:vAlign w:val="bottom"/>
          </w:tcPr>
          <w:p>
            <w:pPr>
              <w:ind w:left="40"/>
              <w:spacing w:after="0"/>
              <w:rPr>
                <w:sz w:val="20"/>
                <w:szCs w:val="20"/>
                <w:color w:val="auto"/>
              </w:rPr>
            </w:pPr>
            <w:r>
              <w:rPr>
                <w:rFonts w:ascii="Arial" w:cs="Arial" w:eastAsia="Arial" w:hAnsi="Arial"/>
                <w:sz w:val="18"/>
                <w:szCs w:val="18"/>
                <w:color w:val="auto"/>
              </w:rPr>
              <w:t>Lease year two</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2-4 - 1.5%</w:t>
            </w:r>
          </w:p>
        </w:tc>
      </w:tr>
      <w:tr>
        <w:trPr>
          <w:trHeight w:val="216"/>
        </w:trPr>
        <w:tc>
          <w:tcPr>
            <w:tcW w:w="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Lease years 5-15 - The greater of 2% or the change in consumer price index (“CPI”) unless the change in</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CPI is less than 0.5%, in which case there is no escalation in rent for such lease year</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760" w:type="dxa"/>
            <w:vAlign w:val="bottom"/>
          </w:tcPr>
          <w:p>
            <w:pPr>
              <w:ind w:left="40"/>
              <w:spacing w:after="0"/>
              <w:rPr>
                <w:sz w:val="20"/>
                <w:szCs w:val="20"/>
                <w:color w:val="auto"/>
              </w:rPr>
            </w:pPr>
            <w:r>
              <w:rPr>
                <w:rFonts w:ascii="Arial" w:cs="Arial" w:eastAsia="Arial" w:hAnsi="Arial"/>
                <w:sz w:val="18"/>
                <w:szCs w:val="18"/>
                <w:color w:val="auto"/>
              </w:rPr>
              <w:t>Lease year 8</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80% Base Rent and 20% Variable Rent</w:t>
            </w:r>
          </w:p>
        </w:tc>
      </w:tr>
      <w:tr>
        <w:trPr>
          <w:trHeight w:val="272"/>
        </w:trPr>
        <w:tc>
          <w:tcPr>
            <w:tcW w:w="40" w:type="dxa"/>
            <w:vAlign w:val="bottom"/>
          </w:tcPr>
          <w:p>
            <w:pPr>
              <w:spacing w:after="0"/>
              <w:rPr>
                <w:sz w:val="23"/>
                <w:szCs w:val="23"/>
                <w:color w:val="auto"/>
              </w:rPr>
            </w:pPr>
          </w:p>
        </w:tc>
        <w:tc>
          <w:tcPr>
            <w:tcW w:w="3620" w:type="dxa"/>
            <w:vAlign w:val="bottom"/>
            <w:gridSpan w:val="3"/>
          </w:tcPr>
          <w:p>
            <w:pPr>
              <w:spacing w:after="0" w:line="271"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tc>
        <w:tc>
          <w:tcPr>
            <w:tcW w:w="7760" w:type="dxa"/>
            <w:vAlign w:val="bottom"/>
          </w:tcPr>
          <w:p>
            <w:pPr>
              <w:ind w:left="40"/>
              <w:spacing w:after="0"/>
              <w:rPr>
                <w:sz w:val="20"/>
                <w:szCs w:val="20"/>
                <w:color w:val="auto"/>
              </w:rPr>
            </w:pPr>
            <w:r>
              <w:rPr>
                <w:rFonts w:ascii="Arial" w:cs="Arial" w:eastAsia="Arial" w:hAnsi="Arial"/>
                <w:sz w:val="18"/>
                <w:szCs w:val="18"/>
                <w:color w:val="auto"/>
              </w:rPr>
              <w:t>4%</w:t>
            </w:r>
          </w:p>
        </w:tc>
      </w:tr>
    </w:tbl>
    <w:p>
      <w:pPr>
        <w:spacing w:after="0"/>
        <w:rPr>
          <w:sz w:val="20"/>
          <w:szCs w:val="20"/>
          <w:color w:val="auto"/>
        </w:rPr>
      </w:pPr>
      <w:r>
        <w:rPr>
          <w:rFonts w:ascii="Arial" w:cs="Arial" w:eastAsia="Arial" w:hAnsi="Arial"/>
          <w:sz w:val="18"/>
          <w:szCs w:val="18"/>
          <w:color w:val="auto"/>
        </w:rPr>
        <w:t>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(1)The amount represents the current annual base rent payable for the current lease year, which is the period from September 20, 2019 through September 30, 2020.</w:t>
      </w:r>
    </w:p>
    <w:p>
      <w:pPr>
        <w:spacing w:after="0" w:line="1" w:lineRule="exact"/>
        <w:rPr>
          <w:sz w:val="20"/>
          <w:szCs w:val="20"/>
          <w:color w:val="auto"/>
        </w:rPr>
      </w:pPr>
    </w:p>
    <w:p>
      <w:pPr>
        <w:ind w:firstLine="8"/>
        <w:spacing w:after="0" w:line="241" w:lineRule="auto"/>
        <w:tabs>
          <w:tab w:leader="none" w:pos="221"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w:t>
      </w:r>
      <w:r>
        <w:rPr>
          <w:rFonts w:ascii="Arial" w:cs="Arial" w:eastAsia="Arial" w:hAnsi="Arial"/>
          <w:sz w:val="14"/>
          <w:szCs w:val="14"/>
          <w:i w:val="1"/>
          <w:iCs w:val="1"/>
          <w:color w:val="212529"/>
        </w:rPr>
        <w:t>o such rent has been recognized for the year ended</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12529"/>
        </w:rPr>
        <w:t>December 31, 2019.</w:t>
      </w:r>
    </w:p>
    <w:p>
      <w:pPr>
        <w:ind w:firstLine="8"/>
        <w:spacing w:after="0" w:line="255" w:lineRule="auto"/>
        <w:tabs>
          <w:tab w:leader="none" w:pos="20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Century Portfolio Lease Agreement:</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60" w:lineRule="exact"/>
        <w:rPr>
          <w:sz w:val="20"/>
          <w:szCs w:val="20"/>
          <w:color w:val="auto"/>
        </w:rPr>
      </w:pPr>
    </w:p>
    <w:p>
      <w:pPr>
        <w:ind w:left="40"/>
        <w:spacing w:after="0"/>
        <w:tabs>
          <w:tab w:leader="none" w:pos="73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Renewal terms</w:t>
      </w:r>
    </w:p>
    <w:p>
      <w:pPr>
        <w:spacing w:after="0" w:line="63" w:lineRule="exact"/>
        <w:rPr>
          <w:sz w:val="20"/>
          <w:szCs w:val="20"/>
          <w:color w:val="auto"/>
        </w:rPr>
      </w:pPr>
    </w:p>
    <w:p>
      <w:pPr>
        <w:ind w:left="180" w:right="960" w:hanging="134"/>
        <w:spacing w:after="0" w:line="360" w:lineRule="auto"/>
        <w:rPr>
          <w:sz w:val="20"/>
          <w:szCs w:val="20"/>
          <w:color w:val="auto"/>
        </w:rPr>
      </w:pPr>
      <w:r>
        <w:rPr>
          <w:rFonts w:ascii="Arial" w:cs="Arial" w:eastAsia="Arial" w:hAnsi="Arial"/>
          <w:sz w:val="15"/>
          <w:szCs w:val="15"/>
          <w:color w:val="auto"/>
        </w:rPr>
        <w:t xml:space="preserve">Current annual rent </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Escalator commencement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revenue to rent ratio floor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rent commencement/reset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p>
      <w:pPr>
        <w:ind w:left="40"/>
        <w:spacing w:after="0" w:line="202" w:lineRule="auto"/>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$25,000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Lease years 2-3 - 1.0%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 years 4-15 - The greater of 1.25% or the change in consumer price index (“CPI”)</w:t>
      </w:r>
    </w:p>
    <w:p>
      <w:pPr>
        <w:spacing w:after="0" w:line="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-1905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 8 and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80% Base Rent and 20% Variable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60" w:lineRule="exact"/>
        <w:rPr>
          <w:sz w:val="20"/>
          <w:szCs w:val="20"/>
          <w:color w:val="auto"/>
        </w:rPr>
      </w:pPr>
    </w:p>
    <w:p>
      <w:pPr>
        <w:sectPr>
          <w:pgSz w:w="11900" w:h="16838" w:orient="portrait"/>
          <w:cols w:equalWidth="0" w:num="2">
            <w:col w:w="2980" w:space="720"/>
            <w:col w:w="7720"/>
          </w:cols>
          <w:pgMar w:left="240" w:top="179" w:right="239" w:bottom="1440" w:gutter="0" w:footer="0" w:header="0"/>
          <w:type w:val="continuous"/>
        </w:sect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December 6, 2019 through December 31,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21"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w:t>
      </w:r>
      <w:r>
        <w:rPr>
          <w:rFonts w:ascii="Arial" w:cs="Arial" w:eastAsia="Arial" w:hAnsi="Arial"/>
          <w:sz w:val="14"/>
          <w:szCs w:val="14"/>
          <w:i w:val="1"/>
          <w:iCs w:val="1"/>
          <w:color w:val="212529"/>
        </w:rPr>
        <w:t>o such rent has been recognized for the year ended</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12529"/>
        </w:rPr>
        <w:t>December 31, 2019.</w:t>
      </w:r>
    </w:p>
    <w:p>
      <w:pPr>
        <w:jc w:val="both"/>
        <w:ind w:firstLine="8"/>
        <w:spacing w:after="0" w:line="248" w:lineRule="auto"/>
        <w:tabs>
          <w:tab w:leader="none" w:pos="209"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multiplied by the Variable rent percentage.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year end, on January 24, 2020, we completed the previously announced JACK Cleveland/Thistledown Acquisition (as defined below). The following is a summary of the material lease provisions of our lease with a subsidiary of JACK Entertainment, which commenced on January 24, 2020, the date of acquisition: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40" w:type="dxa"/>
            <w:vAlign w:val="bottom"/>
            <w:gridSpan w:val="2"/>
          </w:tcPr>
          <w:p>
            <w:pPr>
              <w:spacing w:after="0"/>
              <w:rPr>
                <w:sz w:val="14"/>
                <w:szCs w:val="14"/>
                <w:color w:val="auto"/>
              </w:rPr>
            </w:pPr>
          </w:p>
        </w:tc>
        <w:tc>
          <w:tcPr>
            <w:tcW w:w="776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760" w:type="dxa"/>
            <w:vAlign w:val="bottom"/>
          </w:tcPr>
          <w:p>
            <w:pPr>
              <w:ind w:left="370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760" w:type="dxa"/>
            <w:vAlign w:val="bottom"/>
          </w:tcPr>
          <w:p>
            <w:pPr>
              <w:ind w:left="4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(1)</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$65,880</w:t>
            </w:r>
          </w:p>
        </w:tc>
      </w:tr>
      <w:tr>
        <w:trPr>
          <w:trHeight w:val="243"/>
        </w:trPr>
        <w:tc>
          <w:tcPr>
            <w:tcW w:w="40" w:type="dxa"/>
            <w:vAlign w:val="bottom"/>
          </w:tcPr>
          <w:p>
            <w:pPr>
              <w:spacing w:after="0"/>
              <w:rPr>
                <w:sz w:val="21"/>
                <w:szCs w:val="21"/>
                <w:color w:val="auto"/>
              </w:rPr>
            </w:pPr>
          </w:p>
        </w:tc>
        <w:tc>
          <w:tcPr>
            <w:tcW w:w="3620" w:type="dxa"/>
            <w:vAlign w:val="bottom"/>
            <w:gridSpan w:val="3"/>
          </w:tcPr>
          <w:p>
            <w:pPr>
              <w:ind w:left="140"/>
              <w:spacing w:after="0"/>
              <w:rPr>
                <w:sz w:val="20"/>
                <w:szCs w:val="20"/>
                <w:color w:val="auto"/>
              </w:rPr>
            </w:pPr>
            <w:r>
              <w:rPr>
                <w:rFonts w:ascii="Arial" w:cs="Arial" w:eastAsia="Arial" w:hAnsi="Arial"/>
                <w:sz w:val="18"/>
                <w:szCs w:val="18"/>
                <w:color w:val="auto"/>
              </w:rPr>
              <w:t>Escalator commencement</w:t>
            </w:r>
          </w:p>
        </w:tc>
        <w:tc>
          <w:tcPr>
            <w:tcW w:w="7760" w:type="dxa"/>
            <w:vAlign w:val="bottom"/>
          </w:tcPr>
          <w:p>
            <w:pPr>
              <w:ind w:left="40"/>
              <w:spacing w:after="0"/>
              <w:rPr>
                <w:sz w:val="20"/>
                <w:szCs w:val="20"/>
                <w:color w:val="auto"/>
              </w:rPr>
            </w:pPr>
            <w:r>
              <w:rPr>
                <w:rFonts w:ascii="Arial" w:cs="Arial" w:eastAsia="Arial" w:hAnsi="Arial"/>
                <w:sz w:val="18"/>
                <w:szCs w:val="18"/>
                <w:color w:val="auto"/>
              </w:rPr>
              <w:t>Lease year two</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2-3 - 1.0%</w:t>
            </w:r>
          </w:p>
        </w:tc>
      </w:tr>
      <w:tr>
        <w:trPr>
          <w:trHeight w:val="216"/>
        </w:trPr>
        <w:tc>
          <w:tcPr>
            <w:tcW w:w="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4-6 - 1.5%</w:t>
            </w:r>
          </w:p>
        </w:tc>
      </w:tr>
      <w:tr>
        <w:trPr>
          <w:trHeight w:val="230"/>
        </w:trPr>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Lease Years 7-15 - The greater of 1.5% or the change in consumer price index (“CPI”) capped at 2.5%</w:t>
            </w: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revenue to rent ratio floor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rent commencement/reset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p>
      <w:pPr>
        <w:ind w:left="40"/>
        <w:spacing w:after="0" w:line="202" w:lineRule="auto"/>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4.9x in any lease year (commencing in lease year 5) - if the coverage ratio is below the stated amount there is no escalation in rent for such lease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-1905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 8 and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80% Base Rent and 20% Variable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60" w:lineRule="exact"/>
        <w:rPr>
          <w:sz w:val="20"/>
          <w:szCs w:val="20"/>
          <w:color w:val="auto"/>
        </w:rPr>
      </w:pPr>
    </w:p>
    <w:p>
      <w:pPr>
        <w:sectPr>
          <w:pgSz w:w="11900" w:h="16838" w:orient="portrait"/>
          <w:cols w:equalWidth="0" w:num="2">
            <w:col w:w="2980" w:space="720"/>
            <w:col w:w="7720"/>
          </w:cols>
          <w:pgMar w:left="240" w:top="179" w:right="239" w:bottom="1440" w:gutter="0" w:footer="0" w:header="0"/>
          <w:type w:val="continuous"/>
        </w:sect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24, 2020 through January 31, 2021.</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w:t>
      </w:r>
    </w:p>
    <w:p>
      <w:pPr>
        <w:spacing w:after="0" w:line="1" w:lineRule="exact"/>
        <w:rPr>
          <w:rFonts w:ascii="Arial" w:cs="Arial" w:eastAsia="Arial" w:hAnsi="Arial"/>
          <w:sz w:val="14"/>
          <w:szCs w:val="14"/>
          <w:i w:val="1"/>
          <w:iCs w:val="1"/>
          <w:color w:val="auto"/>
        </w:rPr>
      </w:pPr>
    </w:p>
    <w:p>
      <w:pPr>
        <w:jc w:val="both"/>
        <w:ind w:firstLine="8"/>
        <w:spacing w:after="0" w:line="248" w:lineRule="auto"/>
        <w:tabs>
          <w:tab w:leader="none" w:pos="209"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multiplied by the Variable rent percentage.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our Lease Agreements our tenants are responsible for all capital expenditures at our properties. The Lease Agreements specify certain minimum amounts that our tenants must spend on capital expenditures that constitute installation or restoration and repair or other improvements of items with respect to the leased properties. The following table summarizes the capital expenditure requirements under the Lease Agreements: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summarizes the capital expenditure requirements of the respective tenants under the Caesars Lease Agreements (which does not reflect the modifications to the Caesars Lease Agreements contemplated in connection with the closing of the Eldorado Transaction, including the inclusion of the Harrah’s New Orleans, Harrah’s Atlantic City and Harrah’s Laughlin properties in the Non-CPLV Lease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Non-CPLV Lease Agreement and</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vMerge w:val="continue"/>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Joliet Lease Agreement</w:t>
            </w:r>
          </w:p>
        </w:tc>
        <w:tc>
          <w:tcPr>
            <w:tcW w:w="2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CPLV Lease Agreement</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3"/>
              </w:rPr>
              <w:t>HLV Lease Agreement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26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5"/>
                <w:szCs w:val="25"/>
                <w:color w:val="auto"/>
                <w:w w:val="87"/>
                <w:vertAlign w:val="superscript"/>
              </w:rPr>
              <w:t>(1)</w:t>
            </w:r>
          </w:p>
        </w:tc>
        <w:tc>
          <w:tcPr>
            <w:tcW w:w="2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5"/>
                <w:szCs w:val="25"/>
                <w:color w:val="auto"/>
                <w:w w:val="87"/>
                <w:vertAlign w:val="superscript"/>
              </w:rPr>
              <w:t>(1)</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 of net revenues commencing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vMerge w:val="continue"/>
            <w:shd w:val="clear" w:color="auto" w:fill="CCEEFF"/>
          </w:tcPr>
          <w:p>
            <w:pPr>
              <w:spacing w:after="0"/>
              <w:rPr>
                <w:sz w:val="15"/>
                <w:szCs w:val="15"/>
                <w:color w:val="auto"/>
              </w:rPr>
            </w:pPr>
          </w:p>
        </w:tc>
        <w:tc>
          <w:tcPr>
            <w:tcW w:w="2640" w:type="dxa"/>
            <w:vAlign w:val="bottom"/>
            <w:gridSpan w:val="2"/>
            <w:vMerge w:val="continue"/>
            <w:shd w:val="clear" w:color="auto" w:fill="CCEEFF"/>
          </w:tcPr>
          <w:p>
            <w:pPr>
              <w:spacing w:after="0"/>
              <w:rPr>
                <w:sz w:val="15"/>
                <w:szCs w:val="15"/>
                <w:color w:val="auto"/>
              </w:rPr>
            </w:pPr>
          </w:p>
        </w:tc>
        <w:tc>
          <w:tcPr>
            <w:tcW w:w="2620" w:type="dxa"/>
            <w:vAlign w:val="bottom"/>
            <w:gridSpan w:val="2"/>
            <w:vMerge w:val="continue"/>
            <w:shd w:val="clear" w:color="auto" w:fill="CCEEFF"/>
          </w:tcPr>
          <w:p>
            <w:pPr>
              <w:spacing w:after="0"/>
              <w:rPr>
                <w:sz w:val="15"/>
                <w:szCs w:val="15"/>
                <w:color w:val="auto"/>
              </w:rPr>
            </w:pPr>
          </w:p>
        </w:tc>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in 2022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5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5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5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5"/>
                <w:szCs w:val="25"/>
                <w:color w:val="auto"/>
                <w:vertAlign w:val="superscript"/>
              </w:rPr>
              <w:t>(2)</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$255 million</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$84 million</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Initial minimum capital expenditure</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$171 million (2017 - 2021)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right="20" w:firstLine="8"/>
        <w:spacing w:after="0" w:line="250" w:lineRule="auto"/>
        <w:tabs>
          <w:tab w:leader="none" w:pos="224"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 requires a $100 million floor on annual capital expenditures for CPLV, Joliet and Non-CPLV in the aggregate. Additionally, annual building &amp; improvement capital improvements must be equal to or greater than 1% of prior year net revenues.</w:t>
      </w:r>
    </w:p>
    <w:p>
      <w:pPr>
        <w:jc w:val="both"/>
        <w:ind w:firstLine="8"/>
        <w:spacing w:after="0" w:line="276" w:lineRule="auto"/>
        <w:tabs>
          <w:tab w:leader="none" w:pos="207"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CEOC is required to spend $350 million on capital expenditures (excluding gaming equipment) over a rolling three-year period, with $255 million allocated to Non-CPLV, $84 million allocated to CPLV and the remaining balance of $11 million to facilities covered by any Formation Lease Agreement in such proportion as CEOC may elect. Additionally, CEOC is required to expend a minimum of $495 million on capital expenditures (including gaming equipment) across certain of its affiliates and other assets, together with the $350 million requirement.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79"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capital expenditure requirements of Penn National, Hard Rock, Century Casinos and JACK Entertainment under each of the respective Lease Agreements:</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Provision</w:t>
      </w: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Yearly minimum expenditure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 National Lease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Agreements</w:t>
      </w:r>
    </w:p>
    <w:p>
      <w:pPr>
        <w:spacing w:after="0" w:line="200" w:lineRule="exact"/>
        <w:rPr>
          <w:sz w:val="20"/>
          <w:szCs w:val="20"/>
          <w:color w:val="auto"/>
        </w:rPr>
      </w:pPr>
    </w:p>
    <w:p>
      <w:pPr>
        <w:spacing w:after="0" w:line="202" w:lineRule="exact"/>
        <w:rPr>
          <w:sz w:val="20"/>
          <w:szCs w:val="20"/>
          <w:color w:val="auto"/>
        </w:rPr>
      </w:pPr>
    </w:p>
    <w:p>
      <w:pPr>
        <w:ind w:left="20" w:hanging="8"/>
        <w:spacing w:after="0" w:line="381" w:lineRule="auto"/>
        <w:rPr>
          <w:sz w:val="20"/>
          <w:szCs w:val="20"/>
          <w:color w:val="auto"/>
        </w:rPr>
      </w:pPr>
      <w:r>
        <w:rPr>
          <w:rFonts w:ascii="Arial" w:cs="Arial" w:eastAsia="Arial" w:hAnsi="Arial"/>
          <w:sz w:val="15"/>
          <w:szCs w:val="15"/>
          <w:color w:val="auto"/>
        </w:rPr>
        <w:t>1% of net revenues based on rolling four-year basis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JACK</w:t>
            </w:r>
          </w:p>
        </w:tc>
        <w:tc>
          <w:tcPr>
            <w:tcW w:w="0" w:type="dxa"/>
            <w:vAlign w:val="bottom"/>
          </w:tcPr>
          <w:p>
            <w:pPr>
              <w:spacing w:after="0"/>
              <w:rPr>
                <w:sz w:val="1"/>
                <w:szCs w:val="1"/>
                <w:color w:val="auto"/>
              </w:rPr>
            </w:pPr>
          </w:p>
        </w:tc>
      </w:tr>
      <w:tr>
        <w:trPr>
          <w:trHeight w:val="203"/>
        </w:trPr>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Hard Rock Cincinnati</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Century Portfolio Lease</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Cleveland/Thistledown</w:t>
            </w:r>
          </w:p>
        </w:tc>
        <w:tc>
          <w:tcPr>
            <w:tcW w:w="0" w:type="dxa"/>
            <w:vAlign w:val="bottom"/>
          </w:tcPr>
          <w:p>
            <w:pPr>
              <w:spacing w:after="0"/>
              <w:rPr>
                <w:sz w:val="1"/>
                <w:szCs w:val="1"/>
                <w:color w:val="auto"/>
              </w:rPr>
            </w:pPr>
          </w:p>
        </w:tc>
      </w:tr>
      <w:tr>
        <w:trPr>
          <w:trHeight w:val="210"/>
        </w:trPr>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Lease Agreement</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Agreement</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Initial minimum of $30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1% of net gaming</w:t>
            </w:r>
          </w:p>
        </w:tc>
        <w:tc>
          <w:tcPr>
            <w:tcW w:w="1940" w:type="dxa"/>
            <w:vAlign w:val="bottom"/>
          </w:tcPr>
          <w:p>
            <w:pPr>
              <w:jc w:val="center"/>
              <w:spacing w:after="0" w:line="216" w:lineRule="exact"/>
              <w:rPr>
                <w:sz w:val="20"/>
                <w:szCs w:val="20"/>
                <w:color w:val="auto"/>
              </w:rPr>
            </w:pPr>
            <w:r>
              <w:rPr>
                <w:rFonts w:ascii="Arial" w:cs="Arial" w:eastAsia="Arial" w:hAnsi="Arial"/>
                <w:sz w:val="18"/>
                <w:szCs w:val="18"/>
                <w:color w:val="auto"/>
                <w:w w:val="94"/>
              </w:rPr>
              <w:t xml:space="preserve">million </w:t>
            </w:r>
            <w:r>
              <w:rPr>
                <w:rFonts w:ascii="Arial" w:cs="Arial" w:eastAsia="Arial" w:hAnsi="Arial"/>
                <w:sz w:val="25"/>
                <w:szCs w:val="25"/>
                <w:color w:val="auto"/>
                <w:w w:val="94"/>
                <w:vertAlign w:val="superscript"/>
              </w:rPr>
              <w:t>(2)</w:t>
            </w:r>
          </w:p>
        </w:tc>
        <w:tc>
          <w:tcPr>
            <w:tcW w:w="0" w:type="dxa"/>
            <w:vAlign w:val="bottom"/>
          </w:tcPr>
          <w:p>
            <w:pPr>
              <w:spacing w:after="0"/>
              <w:rPr>
                <w:sz w:val="1"/>
                <w:szCs w:val="1"/>
                <w:color w:val="auto"/>
              </w:rPr>
            </w:pPr>
          </w:p>
        </w:tc>
      </w:tr>
      <w:tr>
        <w:trPr>
          <w:trHeight w:val="108"/>
        </w:trPr>
        <w:tc>
          <w:tcPr>
            <w:tcW w:w="20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2040" w:type="dxa"/>
            <w:vAlign w:val="bottom"/>
            <w:gridSpan w:val="2"/>
            <w:vMerge w:val="continue"/>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1"/>
              </w:rPr>
              <w:t>Thereafter - 1% of net</w:t>
            </w:r>
          </w:p>
        </w:tc>
        <w:tc>
          <w:tcPr>
            <w:tcW w:w="0" w:type="dxa"/>
            <w:vAlign w:val="bottom"/>
          </w:tcPr>
          <w:p>
            <w:pPr>
              <w:spacing w:after="0"/>
              <w:rPr>
                <w:sz w:val="1"/>
                <w:szCs w:val="1"/>
                <w:color w:val="auto"/>
              </w:rPr>
            </w:pPr>
          </w:p>
        </w:tc>
      </w:tr>
      <w:tr>
        <w:trPr>
          <w:trHeight w:val="108"/>
        </w:trPr>
        <w:tc>
          <w:tcPr>
            <w:tcW w:w="2040" w:type="dxa"/>
            <w:vAlign w:val="bottom"/>
            <w:gridSpan w:val="2"/>
            <w:vMerge w:val="continue"/>
          </w:tcPr>
          <w:p>
            <w:pPr>
              <w:spacing w:after="0"/>
              <w:rPr>
                <w:sz w:val="9"/>
                <w:szCs w:val="9"/>
                <w:color w:val="auto"/>
              </w:rPr>
            </w:pPr>
          </w:p>
        </w:tc>
        <w:tc>
          <w:tcPr>
            <w:tcW w:w="2040" w:type="dxa"/>
            <w:vAlign w:val="bottom"/>
            <w:gridSpan w:val="2"/>
            <w:vMerge w:val="restart"/>
          </w:tcPr>
          <w:p>
            <w:pPr>
              <w:jc w:val="center"/>
              <w:ind w:right="80"/>
              <w:spacing w:after="0" w:line="284" w:lineRule="exact"/>
              <w:rPr>
                <w:sz w:val="20"/>
                <w:szCs w:val="20"/>
                <w:color w:val="auto"/>
              </w:rPr>
            </w:pPr>
            <w:r>
              <w:rPr>
                <w:rFonts w:ascii="Arial" w:cs="Arial" w:eastAsia="Arial" w:hAnsi="Arial"/>
                <w:sz w:val="18"/>
                <w:szCs w:val="18"/>
                <w:color w:val="auto"/>
                <w:w w:val="84"/>
              </w:rPr>
              <w:t xml:space="preserve">revenues </w:t>
            </w:r>
            <w:r>
              <w:rPr>
                <w:rFonts w:ascii="Arial" w:cs="Arial" w:eastAsia="Arial" w:hAnsi="Arial"/>
                <w:sz w:val="25"/>
                <w:szCs w:val="25"/>
                <w:color w:val="auto"/>
                <w:w w:val="84"/>
                <w:vertAlign w:val="superscript"/>
              </w:rPr>
              <w:t>(1)</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0"/>
              </w:rPr>
              <w:t>revenues on a rolling</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three-year basis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-711200</wp:posOffset>
            </wp:positionV>
            <wp:extent cx="7246620"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3">
            <w:col w:w="2660" w:space="720"/>
            <w:col w:w="1840" w:space="180"/>
            <w:col w:w="6020"/>
          </w:cols>
          <w:pgMar w:left="240" w:top="179" w:right="239" w:bottom="1440" w:gutter="0" w:footer="0" w:header="0"/>
          <w:type w:val="continuous"/>
        </w:sectPr>
      </w:pP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Caesars</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Caesars is a leading owner and operator of gaming, entertainment and leisure properties. Caesars maintains a diverse brand portfolio with a wide range of options that appeal to a variety of gaming, travel and entertainment consumers. As of December 31, 2019, Caesars operates 53 properties, consisting of 23 owned and operated properties, eight properties that it manages on behalf of third parties and 20 properties that it leases from us.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independent from Caesars. However, we believe we have a mutually beneficial relationship with Caesars. Our long-term triple-net Lease Agreements with subsidiaries of Caesars provide us with a highly predictable revenue stream with embedded growth potential. We believe our geographic diversification limits the effect of changes in any one market on our overall performance. We are focused on driving long-term total returns through managing assets and allocating capital diligently, maintaining a highly productive tenant base, capitalizing on strategic development and redevelopment opportunities, and optimizing our capital structure to support opportunistic growth.</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govern the ongoing relationship between us and Caesars and our respective subsidiaries, we entered into various agreements with Caesars and/or its subsidiaries as described herein. The summaries presented herein are not complete and are qualified in their entirety by reference to the full text of the applicable agreements, which are included as exhibits to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Guaranty</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Management and Lease Support Agreements, Caesars guarantees the payment and performance of all monetary obligations of CEOC and/or its subsidiaries under the Formation Lease Agreements and of the “User” under the Golf Course Use Agreement, subject to the following terms: (i) Caesars will be liable for the full amounts of the monetary obligations owed under the Formation Lease Agreements and the Golf Course Use Agreement (not merely for any deficiency amount), unless and until irrevocably paid in full; (ii) Caesars will have no obligation to make a payment with respect to the leases unless an event of default is continuing under the applicable Formation Lease Agreement and Caesars was given notice of the applicable default (or event or circumstance that is or would become a default) of our tenant and/or its subsidiaries under the applicable Lease Agreement, and, with respect to monetary defaults, did not cure such default within the period set forth in the agreements; and (iii) Caesars’ and the Managers’ obligations with respect to each Management and Lease Support Agreement (including Caesars’ guaranty obligations) will terminate if the applicable Formation Lease Agreement is terminated by us, except to the extent of any accrued and unpaid guaranty obligations through the date of such termination and damages to which we are entitled due to such termination. Caesars’ guaranty obligations will also terminate if (x) the Management and Lease Support Agreement is terminated by the parties thereto, (y) a replacement Lease Agreement and Management and Lease Support Agreement are entered into by us, Caesars and/or its affiliates upon certain bankruptcy-related events (or if we elect in writing not to enter into such replacement agreements or such replacement agreements are not entered into as a direct and proximate result of our acts or failure to act) or (z) we terminate a Manager for cause (as defined in the Management and Lease Support Agreements) and an arbitrator determines that cause did not exist. Notwithstanding the foregoing, Caesars’ guaranty obligations will continue (i) to the extent of any accrued and unpaid guaranty obligations through the date of termination of the guaranty and such damages to which we are entitled due to such termination, (ii) during a two-year post-termination transition period during which the applicable Manager continues to act as manager and (iii) in all respects if the Managers are terminated for cause.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Caesars’ guaranty of the Formation Leases is not currently collateralized. However, if CEOC’s first lien debt (or any guaranty thereof made by Caesars) is secured by Caesars’ or certain of its subsidiaries’ assets under certain circumstances the collateral securing any such first lien debt of CEOC shall also serve as collateral for Caesars’ guaranty obligations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such CEOC first lien debt. Such security interest will automatically be released upon the earlier to occur of (i) the termination of the security interest granted by Caesars or its subsidiaries securing CEOC’s first lien debt (or Caesars’ guaranty thereof) and (ii) (x) the date on which Caesars’ guaranty obligations under the Management and Lease Support Agreements have been irrevocably paid or</w:t>
      </w:r>
    </w:p>
    <w:p>
      <w:pPr>
        <w:spacing w:after="0" w:line="2" w:lineRule="exact"/>
        <w:rPr>
          <w:sz w:val="20"/>
          <w:szCs w:val="20"/>
          <w:color w:val="auto"/>
        </w:rPr>
      </w:pPr>
    </w:p>
    <w:p>
      <w:pPr>
        <w:jc w:val="both"/>
        <w:ind w:firstLine="8"/>
        <w:spacing w:after="0" w:line="252" w:lineRule="auto"/>
        <w:tabs>
          <w:tab w:leader="none" w:pos="2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to the extent Caesars’ guaranty obligation under the Management and Lease Support Agreement is terminated, twelve months after such termination. Such security interest would be a “silent” security interest that provides us with a secured claim against Caesars while any such Caesars debt guaranty or pledge of assets remains in effect, but we will have no voting, enforcement or default related rights with respect to such debt guaranty or collateral, unless and until the occurrence of certain defaults in respect of any of Caesars’ guaranty obligations with respect to the Lease Agreements, or CEOC’s first lien debt. The collateral that secures Caesars’ guaranty obligations will be the same collateral that secures any such Caesars debt guaranty obligations at any time, and Caesars’ guaranty obligations will be secured by such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such debt guaranty obligations for so long as such debt guaranty obligations are secured.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Covenants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Management and Lease Support Agreements contain customary terms and waivers of all suretyship and other defenses by Caesars and include a covenant by Caesars requiring that (a) a sale of certain material assets by Caesars be for fair market value consideration, on arm’s-length terms in certain cases, with the approval of Caesars’ board of directors, and (b) non-cash dividends by Caesars are permitted only to the extent such dividends would not reasonably be expected to result in Caesars’ inability to perform its guaranty obligations under such agreements.</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until October 6, 2023, or, if earlier, (x) on the date on which Caesars’ guaranty obligations under the Management and Lease Support Agreements have been irrevocably paid or (y) to the extent Caesars’ guaranty obligation under the Management and Lease Support Agreements are terminated by the express terms of the Management and Lease Support Agreements, twelve months after such termination, Caesars may not directly or indirectly (i) declare or pay any dividend, distribution, or similar payment with respect to any of Caesars’ capital stock or other equity interests, (ii) purchase or otherwise acquire or retire for value any of Caesars’ capital stock or other equity interests, or (iii) engage in any other transaction with any direct or indirect holder of Caesars’ capital stock or other equity interests, which is similar in purpose or effect to those described above. However, Caesars will be permitted to execute such transactions if (a) Caesars’ equity market capitalization after giving effect to such transaction is at least $5.5 billion, (b) the amount of such transaction (together with any and all other such dividends and distributions and other transactions made under this clause (b) but excluding, any dividends, distributions or other transactions to be made under clause (c) or (d) below in such fiscal year), does not exceed, in the aggregate, (x) 25% of the net proceeds, up to a cap of $25 million in any fiscal year, from the disposition of assets by Caesars and its subsidiaries and (y) $100 million from other sources in any fiscal year,</w:t>
      </w:r>
    </w:p>
    <w:p>
      <w:pPr>
        <w:spacing w:after="0" w:line="6" w:lineRule="exact"/>
        <w:rPr>
          <w:sz w:val="20"/>
          <w:szCs w:val="20"/>
          <w:color w:val="auto"/>
        </w:rPr>
      </w:pPr>
    </w:p>
    <w:p>
      <w:pPr>
        <w:jc w:val="both"/>
        <w:ind w:firstLine="8"/>
        <w:spacing w:after="0" w:line="269" w:lineRule="auto"/>
        <w:tabs>
          <w:tab w:leader="none" w:pos="2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Caesars’ equity market capitalization after giving effect to such transaction is at least $4.5 billion and such transaction made under this clause (c) (excluding, any dividends, distributions or other transactions made under clause (b) above or clause (d) below in such fiscal year) is less than or equal to $125 million per annum and is funded solely by asset sale proceeds or (d) solely with respect to a transaction described in clause (a) above, the aggregate amount of such transactions (excluding transactions made under clause (b) or (c) above) is not more than $199.5 million. Similarly, until October 6, 2023, or the expiration of the restrictions described above (except in the case of the exceptions under clauses (a) and (c) above), any net proceeds from the disposition of assets by Caesars or its subsidiaries in excess of $25 million that are directly or indirectly distributed to, or otherwise received by, Caesars in any fiscal year will not be used to fund any restricted payment of Caesars described above in clauses (i) through (iii)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Right of First Refusal Agreement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entered into a second amended and restated right of first refusal agreement with Caesars (the “Second Amended and Restated Right of First Refusal Agreement”), which contains a right of first refusal in our favor, pursuant to which we have the right to own (and cause to be leased to, and managed by, Caesars (or its affiliate or affiliates)) any domestic gaming facility located outside of Greater Las Vegas, proposed to be acquired or developed by Caesars that is not (i) then subject to a pre-existing lease, management agreement or other contractual restriction that was not entered into in contemplation of such acquisition or development and which (x) was entered into on arms’-length terms and (y) would not be terminated upon or prior to such transaction, (ii) a transaction for which the opco/propco structure would be prohibited by applicable laws, or which would require governmental consent or approval (unless already received), (iii) any transaction that does not consist of owning or acquiring a fee or leasehold interest in real property, (iv) a transaction in which Caesars will not own at least 50% of, or control, the entity that will own the gaming facility, (v) a transaction in which one or more third parties will own or acquire, in the aggregate, a beneficial economic interest of at least 30% in the applicable gaming facility, and such third parties are unable, or make a bona fide, good faith refusal, to enter into the opco/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7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propco structure, (vi) a transaction in which Caesars or its subsidiaries proposes to acquire a then-existing gaming facility from Caesars or its subsidiaries, and</w:t>
      </w:r>
    </w:p>
    <w:p>
      <w:pPr>
        <w:spacing w:after="0" w:line="46" w:lineRule="exact"/>
        <w:rPr>
          <w:sz w:val="20"/>
          <w:szCs w:val="20"/>
          <w:color w:val="auto"/>
        </w:rPr>
      </w:pPr>
    </w:p>
    <w:p>
      <w:pPr>
        <w:jc w:val="both"/>
        <w:ind w:firstLine="8"/>
        <w:spacing w:after="0" w:line="267" w:lineRule="auto"/>
        <w:tabs>
          <w:tab w:leader="none" w:pos="3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transaction with respect to any asset remaining in CEOC after the formation transactions. The Second Amended and Restated Right of First Refusal further provides us, subject to certain exclusions, the right to acquire (and lease to Caesars) (x) any of the properties that Caesars has acquired from Centaur Holdings, LLC, should Caesars determine to sell any such properties in a sale-leaseback transaction, (y) certain income-producing improvements if built by Caesars in lieu of the Caesars Forum Convention Center on the Eastside Property, subject to certain exclusions and (z) a portion of the undeveloped land adjacent to the Las Vegas Strip, if acquired from us and developed by Caesars in accordance with certain procedures set forth in the Non-CPLV Lease Agreement. If, among other things, we decline to exercise our right of first refusal, the Non-CPLV Lease Agreement and Joliet Lease Agreement establish a variable rent floor to any facility outside of Greater Las Vegas and located within a 30-mile radius of any facility as to which we declined our right of first refusal. If we exercise such right, we and Caesars will structure such transaction in a manner that allows the subject property to be owned by us and leased to Caesars. In such event, Caesars (or its designee) will enter into a lease with respect to the subject property whereby (i) rent thereunder will be established based on formulas consistent with the EBITDAR coverage ratio (determined based on the prior 12-month period) with respect to the Lease Agreement then in effect and (ii) such other terms as are agreed by the parties.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Second Amended and Restated Right of First Refusal Agreement also contains a right of first refusal in favor of Caesars, pursuant to which Caesars will have the right to lease and manage any domestic gaming facility located outside of Greater Las Vegas, proposed to be acquired by us that is not: (i) any asset that is then subject to a pre-existing lease, management agreement or other contractual restriction that was not entered into in contemplation of such acquisition and which (x) was entered into on arms’ length terms and (y) would not be terminated upon or prior to closing of such transaction, (ii) any transaction for which the opco/propco structure would be prohibited by applicable laws or which would require governmental consent (unless already received), (iii) any transaction structured by the seller as a sale-leaseback, (iv) any transaction in which we will not own at least 50% of, or control, the entity that will own the gaming facility, and (v) any transaction in which we propose to acquire a then-existing gaming facility from ourselves or our affiliates. If Caesars (or its designee) exercises such right, we and Caesars will structure such transaction in a manner that allows the subject property to be owned by us and leased to Caesars. In such event, Caesars (or its designee) will enter into a lease with respect to the additional property whereby (i) rent thereunder will be established based on formulas consistent with the adjusted EBITDA coverage ratio (as set forth in the agreement) with respect to the lease then in effect and (ii) such other terms as are agreed by the parties.</w:t>
      </w:r>
    </w:p>
    <w:p>
      <w:pPr>
        <w:spacing w:after="0" w:line="1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rights of first refusal will not apply if (A) the Management and Lease Support Agreements have been terminated or have expired by their terms or with our consent, (B) Caesars is no longer managing the facilities, or (C) a change of control occurs with respect to either Caesars or us. Accordingly, the Second Amended and Restated Right of First Refusal Agreement will terminate in accordance with its terms upon the consummation of the Eldorado/Caesars Merger.</w:t>
      </w:r>
    </w:p>
    <w:p>
      <w:pPr>
        <w:spacing w:after="0" w:line="9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Upon closing of the Eldorado/Caesars Merger, the Second Amended and Restated Right of First Refusal Agreement will be terminated and we will enter into the Las Vegas ROFR (as defined and described below in </w:t>
      </w:r>
      <w:hyperlink w:anchor="page56">
        <w:r>
          <w:rPr>
            <w:rFonts w:ascii="Arial" w:cs="Arial" w:eastAsia="Arial" w:hAnsi="Arial"/>
            <w:sz w:val="18"/>
            <w:szCs w:val="18"/>
            <w:u w:val="single" w:color="auto"/>
            <w:color w:val="0000EE"/>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212529"/>
        </w:rPr>
        <w:t>u</w:t>
      </w:r>
      <w:r>
        <w:rPr>
          <w:rFonts w:ascii="Arial" w:cs="Arial" w:eastAsia="Arial" w:hAnsi="Arial"/>
          <w:sz w:val="18"/>
          <w:szCs w:val="18"/>
          <w:color w:val="auto"/>
        </w:rPr>
        <w:t xml:space="preserve">nder “Management’s Discussion and Analysis-Eldorado Transaction-Las Vegas Strip Assets ROFR”) and the Horseshoe Baltimore ROFR (as defined and described below in </w:t>
      </w:r>
      <w:hyperlink w:anchor="page56">
        <w:r>
          <w:rPr>
            <w:rFonts w:ascii="Arial" w:cs="Arial" w:eastAsia="Arial" w:hAnsi="Arial"/>
            <w:sz w:val="18"/>
            <w:szCs w:val="18"/>
            <w:u w:val="single" w:color="auto"/>
            <w:color w:val="0000EE"/>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“Management’s Discussion and Analysis-Eldorado Transaction- Horseshoe Baltimore ROFR”).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entered into certain call right agreements (the “Call Right Agreements”), which provide our Operating Partnership with the opportunity to acquire Harrah’s Atlantic City, Harrah’s New Orleans and Harrah’s Laughlin (“Option Properties”) from Caesars. Our Operating Partnership can exercise the call rights within five years from the Formation Date. The purchase price for each property will be 10 multiplied by the initial property lease rent for the respective property, with the initial property lease rent for each property being the amount that causes the ratio of (x) EBITDAR of the property for the most recently ended four quarter period for which financial statements are available to (y) the initial property lease rent to equal 1.67.</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certain circumstances, the owner may propose one or more replacement properties and the material terms of the purchase and if such proposal is at least as economically beneficial to us as the exercise of the call right, the parties must proceed with the sale of that property and any dispute with respect to the same (including whether such proposal was a qualifying proposal) will be submitted to arbitration.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exercise of the call right is not permissible because a debt agreement does not permit the sale and such limitation is not resolved within one year from exercise of the right and the owner has not made an alternative proposal that is at least as economically beneficial to us as the exercise of the call right, the owner must pay us an amount equal to the value of our loss as of the Formation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7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which will increase at a rate of 8.5% per annum, with annual compounding for the period from the date of each agreement until the date on which payment of the value loss amount is made.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exercise of the call right is not permissible due to a reason other than because of a debt limitation and the owner has not made an alternative proposal that is at least as economically beneficial to us as the exercise of the call right, then the parties must use commercially reasonable efforts to resolve the issue in accordance with the agreement. If the applicable issue making the transaction impermissible is not resolved by the foregoing described deadline, the owner must use commercially reasonable efforts to sell the property to an alternative purchaser for the fair market value of the property, and, upon the closing of any such alternative transaction we would be entitled to any portion of the purchase price that exceeds the amount that would otherwise be determined in accordance with the applicable agreement.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exercise of the call right is permissible, the parties will use good faith, commercially reasonable efforts, for a period of ninety days following the delivery of the election notice to negotiate and enter into a sale agreement and conveyance and ancillary documents with respect to the applicable property together with a leaseback agreement.</w:t>
      </w:r>
    </w:p>
    <w:p>
      <w:pPr>
        <w:spacing w:after="0" w:line="127"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As described below in </w:t>
      </w:r>
      <w:hyperlink w:anchor="page56">
        <w:r>
          <w:rPr>
            <w:rFonts w:ascii="Arial" w:cs="Arial" w:eastAsia="Arial" w:hAnsi="Arial"/>
            <w:sz w:val="18"/>
            <w:szCs w:val="18"/>
            <w:u w:val="single" w:color="auto"/>
            <w:color w:val="0000EE"/>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“Management’s Discussion and Analysis-Eldorado Transaction-Acquisition of the MTA Properties” we have entered into agreements to acquire all of the land and real estate assets associated with Harrah’s Atlantic City, Harrah’s New Orleans and Harrah’s Laughlin, and the existing call right agreements will terminate, upon the earlier to occur of the closing of the corresponding MTA Property Acquisition or our obtaining specific performance or liquidated damages with respect to the relevant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Put/Call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Claudine Propco LLC (“HLV Owner”), our wholly owned subsidiary, and certain subsidiaries of Caesars entered into a put/call agreement (the “Caesars Forum Put/Call Agreement”) which provides for (i) a put right in favor of Caesars, which would result in the sale by Caesars to HLV Owner and simultaneous leaseback by HLV Owner to Caesars of a convention center (the “Caesars Forum Convention Center”) that Caesars is currently constructing on the Eastside Property (the “Put Right”), (ii) if Caesars exercises the Put Right and, among other things, the sale of the Caesars Forum Convention Center to HLV Owner does not close for certain reasons more particularly described in the agreement, then a repurchase right in favor of Caesars, which, if exercised, would result in the sale by HLV Owner to Caesars of Harrah’s Las Vegas (the “Repurchase Right”) and (iii) a call right in favor of HLV Owner, which, if exercised, would result in the sale by Caesars to HLV Owner and simultaneous leaseback by HLV Owner to Caesars of the Caesars Forum Convention Center (the “Call Right”). The Put Right may be exercised by Caesars between January 1, 2024 and December 31, 2024. The Repurchase Right may be exercised by Caesars during a one-year period commencing on the date upon which the closing under the Put Right transaction does not occur and ending on the day immediately preceding the first anniversary thereof. The purchase price for Harrah’s Las Vegas would be an amount equal to 13 times the rent due under the HLV Lease Agreement for the most recently ended four consecutive fiscal quarter period for which financial statements are available as of the date of Caesars’ election to execute the Repurchase Right. The Call Right may be exercised by HLV Owner between January 1, 2027 and December 31, 2027. The purchase price for the Caesars Forum Convention Center is equal to 13 times the rent due in connection with the leaseback thereof, which will be determined pursuant to the formulas set forth in the Caesars Forum Put/Call Agreement. The Caesars Forum Put/Call Agreement survives the closing of the Eldorado/Caesars Merger.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Use Agreement</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a golf course use agreement (as amended, the “Golf Course Use Agreement”), VICI Golf granted to CEOC and CES (collectively, the “users”) certain priority rights and privileges with respect to access and use of the following golf course properties: Rio Secco (Henderson, Nevada), Cascata (Boulder City, Nevada), Chariot Run (Laconia, Indiana) and Grand Bear (Saucier, Mississippi). Pursuant to the Golf Course Use Agreement, the users are granted specific rights and privileges to the golf courses, including (i) preferred access to tee times for guests of users’ casinos and/or hotels located within the same markets as the golf courses, (ii) preferred rates for guests of users’ casinos and/or hotels located within the same markets as the golf courses, and</w:t>
      </w:r>
    </w:p>
    <w:p>
      <w:pPr>
        <w:spacing w:after="0" w:line="2" w:lineRule="exact"/>
        <w:rPr>
          <w:sz w:val="20"/>
          <w:szCs w:val="20"/>
          <w:color w:val="auto"/>
        </w:rPr>
      </w:pPr>
    </w:p>
    <w:p>
      <w:pPr>
        <w:jc w:val="both"/>
        <w:ind w:firstLine="8"/>
        <w:spacing w:after="0" w:line="255"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for golf tournaments and events at preferred rates and discounts. Payments under the Golf Course Use Agreement are currently comprised of an approximately $10.3 million annual membership fee, $3.1 million of use fees and $1.2 million of minimum rounds fees subject to certain adjustments. The Golf Course Use Agreement survives the closing of the Eldorado/Caesars Merger.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 tax matters agreement (the “Tax Matters Agreement”), which addresses matters relating to the payment of taxes and entitlement to tax refunds by Caesars, CEOC, the Operating Partnership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relating to CEOC and for the preparation and filing by us of tax returns relating to us and our operations. Under the Tax Matters Agreement, Caesars has agreed to indemnify us for any taxes allocated to CEOC that we are required to pay pursuant to our tax returns and we have agreed to indemnify Caesars for any taxes allocated to us that Caesars or CEOC is required to pay pursuant to a Caesars or CEOC tax return.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to qualify as tax-free under the code. The Tax Matters Agreement survives the closing of the Eldorado/Caesars Merger.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24, 2019, Eldorado entered into a definitive agreement and plan of merger (the “Eldorado/Caesars Merger Agreement”) by and among Eldorado, Colt Merger Sub, Inc. (“Merger Sub”) and Caesars, pursuant to which Merger Sub will merge with and into Caesars, with Caesars surviving as a wholly owned subsidiary of Eldorado. Upon closing of the Eldorado/Caesars Merger, Eldorado will be renamed Caesars.</w:t>
      </w:r>
    </w:p>
    <w:p>
      <w:pPr>
        <w:spacing w:after="0" w:line="127" w:lineRule="exact"/>
        <w:rPr>
          <w:sz w:val="20"/>
          <w:szCs w:val="20"/>
          <w:color w:val="auto"/>
        </w:rPr>
      </w:pPr>
    </w:p>
    <w:p>
      <w:pPr>
        <w:jc w:val="both"/>
        <w:spacing w:after="0" w:line="287" w:lineRule="auto"/>
        <w:rPr>
          <w:rFonts w:ascii="Arial" w:cs="Arial" w:eastAsia="Arial" w:hAnsi="Arial"/>
          <w:sz w:val="16"/>
          <w:szCs w:val="16"/>
          <w:color w:val="000000"/>
        </w:rPr>
      </w:pPr>
      <w:r>
        <w:rPr>
          <w:rFonts w:ascii="Arial" w:cs="Arial" w:eastAsia="Arial" w:hAnsi="Arial"/>
          <w:sz w:val="16"/>
          <w:szCs w:val="16"/>
          <w:color w:val="auto"/>
        </w:rPr>
        <w:t xml:space="preserve">On the same day, in connection with the announcement of the Eldorado/Caesars Merger, we entered into a Master Transaction Agreement with Eldorado relating to the MTA Properties Acquisitions (as defined and described below </w:t>
      </w:r>
      <w:r>
        <w:rPr>
          <w:rFonts w:ascii="Arial" w:cs="Arial" w:eastAsia="Arial" w:hAnsi="Arial"/>
          <w:sz w:val="16"/>
          <w:szCs w:val="16"/>
          <w:color w:val="212529"/>
        </w:rPr>
        <w:t>in</w:t>
      </w:r>
      <w:r>
        <w:rPr>
          <w:rFonts w:ascii="Arial" w:cs="Arial" w:eastAsia="Arial" w:hAnsi="Arial"/>
          <w:sz w:val="16"/>
          <w:szCs w:val="16"/>
          <w:color w:val="auto"/>
        </w:rPr>
        <w:t xml:space="preserve"> </w:t>
      </w:r>
      <w:hyperlink w:anchor="page56">
        <w:r>
          <w:rPr>
            <w:rFonts w:ascii="Arial" w:cs="Arial" w:eastAsia="Arial" w:hAnsi="Arial"/>
            <w:sz w:val="16"/>
            <w:szCs w:val="16"/>
            <w:u w:val="single" w:color="auto"/>
            <w:color w:val="0000EE"/>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212529"/>
        </w:rPr>
        <w:t>under</w:t>
      </w:r>
      <w:r>
        <w:rPr>
          <w:rFonts w:ascii="Arial" w:cs="Arial" w:eastAsia="Arial" w:hAnsi="Arial"/>
          <w:sz w:val="16"/>
          <w:szCs w:val="16"/>
          <w:color w:val="auto"/>
        </w:rPr>
        <w:t xml:space="preserve"> </w:t>
      </w:r>
      <w:r>
        <w:rPr>
          <w:rFonts w:ascii="Arial" w:cs="Arial" w:eastAsia="Arial" w:hAnsi="Arial"/>
          <w:sz w:val="16"/>
          <w:szCs w:val="16"/>
          <w:color w:val="212529"/>
        </w:rPr>
        <w:t xml:space="preserve">“Management’s Discussion and Analysis-Eldorado Transaction-Acquisition of the MTA Properties”) </w:t>
      </w:r>
      <w:r>
        <w:rPr>
          <w:rFonts w:ascii="Arial" w:cs="Arial" w:eastAsia="Arial" w:hAnsi="Arial"/>
          <w:sz w:val="16"/>
          <w:szCs w:val="16"/>
          <w:color w:val="000000"/>
        </w:rPr>
        <w:t>and modifications to our Caesars Lease Agreements, and the entry into the Las Vegas ROFR, the Horseshoe Baltimore</w:t>
      </w:r>
      <w:r>
        <w:rPr>
          <w:rFonts w:ascii="Arial" w:cs="Arial" w:eastAsia="Arial" w:hAnsi="Arial"/>
          <w:sz w:val="16"/>
          <w:szCs w:val="16"/>
          <w:color w:val="212529"/>
        </w:rPr>
        <w:t xml:space="preserve"> </w:t>
      </w:r>
      <w:r>
        <w:rPr>
          <w:rFonts w:ascii="Arial" w:cs="Arial" w:eastAsia="Arial" w:hAnsi="Arial"/>
          <w:sz w:val="16"/>
          <w:szCs w:val="16"/>
          <w:color w:val="000000"/>
        </w:rPr>
        <w:t xml:space="preserve">ROFR and the Centaur Properties Put/Call Agreement. Additionally, as described in </w:t>
      </w:r>
      <w:hyperlink w:anchor="page56">
        <w:r>
          <w:rPr>
            <w:rFonts w:ascii="Arial" w:cs="Arial" w:eastAsia="Arial" w:hAnsi="Arial"/>
            <w:sz w:val="16"/>
            <w:szCs w:val="16"/>
            <w:u w:val="single" w:color="auto"/>
            <w:color w:val="0000EE"/>
          </w:rPr>
          <w:t>Item 7</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“Management’s Discussion and Analysis of Financial Condition and Results of Operations” below, upon the consummation of the Eldorado Transaction, Eldorado will execute new guaranties (collectively, the “Eldorado Guaranties”) of the Formation Lease Agreements and the existing guaranties by Caesars of the Formation Lease Agreements, along with all covenants and other obligations of Caesars incurred in connection with such guaranties, will be terminated with respect to Caesars (which will become a subsidiary of Eldorado following the closing of the Eldorado/Caesars Merger). The Eldorado Transaction and the Eldorado/Caesars Merger both continue to be subject to regulatory approvals and customary closing conditions. Eldorado has publicly disclosed that it expects the Eldorado/Caesars Merger to be completed in the first half of 2020, and we expect the Eldorado Transaction to close concurrently. However, we can provide no assurances that the Eldorado/Caesars Merger or the Eldorado Transaction described herein will close in the anticipated timeframe, on the contemplated terms or at all.</w:t>
      </w:r>
    </w:p>
    <w:p>
      <w:pPr>
        <w:spacing w:after="0" w:line="119"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56">
        <w:r>
          <w:rPr>
            <w:rFonts w:ascii="Arial" w:cs="Arial" w:eastAsia="Arial" w:hAnsi="Arial"/>
            <w:sz w:val="18"/>
            <w:szCs w:val="18"/>
            <w:u w:val="single" w:color="auto"/>
            <w:color w:val="0000EE"/>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“Management’s Discussion and Analysis of Financial Condition and Results of Operations” for a more detailed description of the Eldorado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compete for real property investments with other REITs, gaming companies, investment companies, private equity and hedge fund investors, sovereign funds, lenders and other investors. In addition, revenues from our properties are dependent on the ability of our tenants and operators, subsidiaries of Caesars, Penn National, Hard Rock, Century Casinos and JACK Entertainment to compete with other gaming operators. The operators of our properties compete on a local and regional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and other forms of gaming in the United States.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landlord, we compete in the real estate market with numerous developers and owners of properties. Some of our competitors are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availability of investment alternatives, availability and cost of capital, construction and renovation costs, existing laws and regulations, new legislation and population trends.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140 employees were employed by us at December 31, 2019. Of these employees, 16 are employed at our Operating Partnership and approximately 124 are employed at our TRS, VICI Golf, or their respective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Licensing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w:t>
      </w:r>
    </w:p>
    <w:p>
      <w:pPr>
        <w:spacing w:after="0" w:line="1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Gaming laws and regulations impact our business in two respects: (1) our ownership of land and buildings in which gaming activities are operated by our tenants; and (2) the operations of our tenants as operators in the gaming industry. Further, many gaming and racing regulatory agencies in the jurisdictions in which our tenants operate require us and our affiliates to apply for and maintain a license as a key business entity or supplier because of our status as landlord.</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businesses and the business of Caesars, Penn National, Hard Rock, Century Casinos and JACK Entertainment are also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Violations of Gaming Laws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our subsidiaries or the tenants of our properties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of our gaming licenses could result in an event of default under our certain of our indebtedness, and cross-default provisions in our debt agreements could cause an event of default under one debt agreement to trigger an event of default under our other debt agreements. As a result, violations by us of applicable gaming laws could have a material adverse effect on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Transactions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Lease Agreements require the tenants to maintain, with financially sound and reputable insurance companies (and in certain cases subject to the right of the tenants to self-insure), insurance (subject to customary deductibles and retentions) in such amounts and against such risks as are customarily maintained by similarly situated companies engaged in the same or similar businesses operating in the same or similar locations. The Lease Agreements provide that the amount and type of insurance that the tenants have in effect as of the commencement of the leases will satisfy for all purposes the requirements to insure the properties. However, such insurance coverage may not be sufficient to fully cover our losses.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The Lease Agreements generally obligate our tenants to comply with applicable environmental laws and to indemnify us if its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be joint and several unless the harm is divisible and there is a reasonable basis for allocation of responsibility. We also may be liable under certain of these laws for damage that occurred prior to our ownership of a property or at a site where we sent wastes for disposal. The failure to properly remediate a property may also adversely affect our ability to lease, sell or rent the property or to borrow funds using the property as collateral.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ownership of our current properties and any properties that we may acquire in the future, we could be legally responsible for environmental liabilities or costs relating to a release of hazardous substances or other regulated materials at or emanating from such property. We are not aware of any environmental issues that are expected to have a material impact on the operations of any of our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focus on developing our efforts relative to implementing and reporting on environmental sustainability efforts at our properties. We have implemented tenant engagement initiatives designed to assist us in understanding the environmental impact of our leased properties and to gather environmental sustainability data in order to monitor sustainability metrics throughout our leased property portfolio. Our existing leased properties are leased pursuant to long-term triple-net leases, which provide our tenants with complete control over operations at our leased properties, including over the implementation of environmental sustainability initiatives consistent with their business strategies and our revenue objectives, and do not permit us to require the collection or reporting of environmental sustainability data. Although not contractually required, in 2019, certain of our tenants reported to us on LEED certification, water and energy use, emissions and waste diversion. In addition, we have implemented recording and reporting protocols at our owned and operated golf courses in order to monitor our environmental impact at those properties and commence our process towards setting long-term sustainability targets. In 2019, we relocated our corporate headquarters to a LEED Gold certified building with an Energy Star label. We are committed to the improvement of environmental conditions through our business activities within the scope of our capabilities, and we periodically engage with key stakeholders with regard to environmental sustainability priorities, among other things.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the properties within our portfolio are currently operated and promoted under trademarks and brand names not owned by us, including Caesars Palace, Harrah’s, Horseshoe, Bally’s, Greektown, JACK, Hard Rock, Century and Mountaineer. In addition, properties that we may acquire in the future may be operated and promoted under these same trademarks and brand names, or under different trademarks and brand names we do not, or will not, own. During the term that our properties are managed by Caesars Penn National, Hard Rock, Century Casinos and JACK Entertainment, we are reliant on Caesars, Penn National, Hard Rock, Century Casinos and JACK Entertainment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we may not enjoy comparable recognition or status under a new brand.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Real Estate or Interests in Real Estate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focused primarily on gaming and leisure sector properties and activities directly related thereto. We own 28 market-leading properties and own and operate four golf courses. We believe there are potential opportunities to acquire additional gaming, hospitality and entertainment assets. Our future investment activities will not be limited to any geographic area or to a specific percentage of our assets. We intend to engage in such future investment activities in a manner that is consistent with our qualification as a REIT for U.S. Federal income tax purposes.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our Operating Partnership. We may also pursue opportunities to provide mortgage financing of preferred equity investments for investment in certain situations where this structure is more advantageous than owning the underlying real estate.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 our debt will have a priority over any dividends with respect to our common stock. Investments are also subject to our policy not to be required to register as an investment company under the Investment Company Act of 1940, as amended.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Real Estate Debt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we do not presently intend to invest in mortgages or other forms of real estate-related debt, other than in a manner that is ancillary to an equity investment, we may elect, in our discretion, to invest in real estate debt, including, without limitation, traditional mortgages, participating or convertible mortgages, mezzanine loans or preferred equity investments; provided, in each case, that such investment is consistent with our qualification as a REIT. Investments in real estate-related debt run the risk that a borrower may default under certain provisions governing the debt investment and that the collateral securing the investment may not be sufficient to enable us to recover our full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of or Interests in Persons Primarily Engaged in Real Estate Activities and Other Issuers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the asset tests and gross income tests necessary for REIT qualification, we may invest in securities of other REITs, other entities engaged in real estate activities or securities of other issuers, including for the purpose of exercising control over such entities.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Short-term Commercial Paper and Discount Notes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Policies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7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our Revolving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its creditors as part of the Third Amended Joint Plan of Reorganization of Caesars Entertainment Operating Company, Inc. et. al. (the “Plan of Reorganization”) confirmed by the United States Bankruptcy Court for the Northern District of Illinois (Chicago)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535 Madison Ave., 20th Floor, New York, New York 10022 and our main telephone number at that location is</w:t>
      </w:r>
    </w:p>
    <w:p>
      <w:pPr>
        <w:spacing w:after="0" w:line="46" w:lineRule="exact"/>
        <w:rPr>
          <w:sz w:val="20"/>
          <w:szCs w:val="20"/>
          <w:color w:val="auto"/>
        </w:rPr>
      </w:pPr>
    </w:p>
    <w:p>
      <w:pPr>
        <w:jc w:val="both"/>
        <w:ind w:right="20" w:firstLine="8"/>
        <w:spacing w:after="0" w:line="273" w:lineRule="auto"/>
        <w:tabs>
          <w:tab w:leader="none" w:pos="4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7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Private Securities Litigation Reform Act of 1995.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139" w:lineRule="exact"/>
        <w:rPr>
          <w:sz w:val="20"/>
          <w:szCs w:val="20"/>
          <w:color w:val="auto"/>
        </w:rPr>
      </w:pPr>
    </w:p>
    <w:p>
      <w:pPr>
        <w:ind w:left="340" w:right="160" w:hanging="332"/>
        <w:spacing w:after="0" w:line="25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subsidiaries of Caesars, Penn National, Hard Rock, Century Casinos and JACK Entertainment (and, following the completion of the Eldorado Transaction, subsidiaries of the combined Eldorado/Caesars) as tenants of our properties and Caesars, Penn National, Seminole Hard Rock, Century Casinos and Rock Ohio Ventures LLC or certain of their respective subsidiaries (and, following the completion of the Eldorado Transaction, subsidiaries of the combined Eldorado/Caesars) as guarantors of the lease payments and the negative consequences any material adverse effect on their respective businesses could have on us;</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6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w:t>
      </w:r>
    </w:p>
    <w:p>
      <w:pPr>
        <w:spacing w:after="0" w:line="1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that our tenants may choose not to renew the Lease Agreements following the initial or subsequent terms of the leases;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subject to the Lease Agreements;</w:t>
      </w:r>
    </w:p>
    <w:p>
      <w:pPr>
        <w:spacing w:after="0" w:line="63"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Caesars’, Penn National’s, Hard Rock’s, Century Casinos’ and JACK Entertainment’s (and following the completion of the Eldorado Transaction, the combined Eldorado/Caesars) historical results may not be a reliable indicator of their future results;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substantial amount of indebtedness and ability to service, refinance and otherwise fulfill our obligations under such indebtedness;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limits on our operational and financial flexibility imposed by our debt agreements;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our future results of operations, financial condition and cash flows;</w:t>
      </w:r>
    </w:p>
    <w:p>
      <w:pPr>
        <w:spacing w:after="0" w:line="6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governmental and regulatory approvals and consents required to consummate our pending acquisitions in connection with the Eldorado Transaction, or other delays or impediments to completing these acquisitions;</w:t>
      </w:r>
    </w:p>
    <w:p>
      <w:pPr>
        <w:spacing w:after="0" w:line="8"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the financing necessary to complete our pending acquisitions in connection with the Eldorado Transaction on the terms we currently expect or at all;</w:t>
      </w:r>
    </w:p>
    <w:p>
      <w:pPr>
        <w:spacing w:after="0" w:line="8"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that our pending acquisitions in connection with the Eldorado Transaction may not be completed or that completion may be unduly delayed;</w:t>
      </w:r>
    </w:p>
    <w:p>
      <w:pPr>
        <w:spacing w:after="0" w:line="8" w:lineRule="exact"/>
        <w:rPr>
          <w:rFonts w:ascii="Arial" w:cs="Arial" w:eastAsia="Arial" w:hAnsi="Arial"/>
          <w:sz w:val="18"/>
          <w:szCs w:val="18"/>
          <w:color w:val="auto"/>
        </w:rPr>
      </w:pPr>
    </w:p>
    <w:p>
      <w:pPr>
        <w:ind w:left="340" w:right="180" w:hanging="332"/>
        <w:spacing w:after="0" w:line="29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possibility that we identify significant environmental, tax, legal or other issues that materially and adversely impact the value of properties acquired (or other benefits we expect to receive) in the Eldorado Transaction or any of our other pending or recently completed acquisitions;</w:t>
      </w:r>
    </w:p>
    <w:p>
      <w:pPr>
        <w:ind w:left="340" w:right="3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our recently completed acquisition and the pending acquisitions on us, including the post-acquisition impact on our financial condition, financial and operating results, cash flows, strategy and plans;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our separation from CEOC fails to qualify as a tax-free spin-off, which could subject us to significant tax liabilities;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changes to the U.S. Federal income tax laws;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of foreclosure on our properties if we are unable to meet required debt service payments;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 rise in interest rates on us;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successfully pursue investments in, and acquisitions of, additional properties;</w:t>
      </w:r>
    </w:p>
    <w:p>
      <w:pPr>
        <w:spacing w:after="0" w:line="63" w:lineRule="exact"/>
        <w:rPr>
          <w:rFonts w:ascii="Arial" w:cs="Arial" w:eastAsia="Arial" w:hAnsi="Arial"/>
          <w:sz w:val="18"/>
          <w:szCs w:val="18"/>
          <w:color w:val="auto"/>
        </w:rPr>
      </w:pPr>
    </w:p>
    <w:p>
      <w:pPr>
        <w:ind w:left="340" w:right="28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w:t>
      </w:r>
    </w:p>
    <w:p>
      <w:pPr>
        <w:ind w:left="340" w:right="6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changes in general economic conditions, including low consumer confidence, unemployment levels and depressed real estate prices resulting from the severity and duration of any downturn in the U.S. or global economy;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operate as a stand-alone company;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maintain our qualification for taxation as a REIT;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on distributions received from the Operating Partnership to make distributions to our stockholders;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our cash distributions could be impacted if we were to sell any of our properties in the future;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make distributions to holders of our common stock or maintain anticipated levels of distributions over time;</w:t>
      </w:r>
    </w:p>
    <w:p>
      <w:pPr>
        <w:spacing w:after="0" w:line="63" w:lineRule="exact"/>
        <w:rPr>
          <w:rFonts w:ascii="Arial" w:cs="Arial" w:eastAsia="Arial" w:hAnsi="Arial"/>
          <w:sz w:val="18"/>
          <w:szCs w:val="18"/>
          <w:color w:val="auto"/>
        </w:rPr>
      </w:pPr>
    </w:p>
    <w:p>
      <w:pPr>
        <w:ind w:left="340" w:right="4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for acquisition opportunities, including from other REITs, investment companies, gaming companies. private equity and hedge fund investors, sovereign funds, lenders, gaming companies and other investors that may have greater resources and access to capital and a lower cost of capital or different investment parameters than us; and</w:t>
      </w:r>
    </w:p>
    <w:p>
      <w:pPr>
        <w:spacing w:after="0" w:line="19"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factors discussed herein under “Risk Factors” and listed from time to time in our filings with the SEC, including without limitation, in our subsequent reports on Form 10-K, Form 10-Q and Form 8-K.</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231F20"/>
        </w:rPr>
        <w:t xml:space="preserve">You should </w:t>
      </w:r>
      <w:r>
        <w:rPr>
          <w:rFonts w:ascii="Arial" w:cs="Arial" w:eastAsia="Arial" w:hAnsi="Arial"/>
          <w:sz w:val="16"/>
          <w:szCs w:val="16"/>
          <w:i w:val="1"/>
          <w:iCs w:val="1"/>
          <w:color w:val="000000"/>
        </w:rPr>
        <w:t>be aware that the occurrence of any of the events described in this section and elsewhere in this report or in any other of our filings with the SEC</w:t>
      </w:r>
      <w:r>
        <w:rPr>
          <w:rFonts w:ascii="Arial" w:cs="Arial" w:eastAsia="Arial" w:hAnsi="Arial"/>
          <w:sz w:val="16"/>
          <w:szCs w:val="16"/>
          <w:i w:val="1"/>
          <w:iCs w:val="1"/>
          <w:color w:val="231F20"/>
        </w:rPr>
        <w:t xml:space="preserve"> </w:t>
      </w:r>
      <w:r>
        <w:rPr>
          <w:rFonts w:ascii="Arial" w:cs="Arial" w:eastAsia="Arial" w:hAnsi="Arial"/>
          <w:sz w:val="16"/>
          <w:szCs w:val="16"/>
          <w:i w:val="1"/>
          <w:iCs w:val="1"/>
          <w:color w:val="000000"/>
        </w:rPr>
        <w:t xml:space="preserve">could have a material adverse effect on our business, financial position, results of operations and cash flows. In evaluating us, you should consider carefully, among other things, the risks described below. </w:t>
      </w:r>
      <w:r>
        <w:rPr>
          <w:rFonts w:ascii="Arial" w:cs="Arial" w:eastAsia="Arial" w:hAnsi="Arial"/>
          <w:sz w:val="16"/>
          <w:szCs w:val="16"/>
          <w:i w:val="1"/>
          <w:iCs w:val="1"/>
          <w:color w:val="231F20"/>
        </w:rPr>
        <w:t>The risks and uncertainties described below are not the only ones we face, but do represent those risks and</w:t>
      </w:r>
      <w:r>
        <w:rPr>
          <w:rFonts w:ascii="Arial" w:cs="Arial" w:eastAsia="Arial" w:hAnsi="Arial"/>
          <w:sz w:val="16"/>
          <w:szCs w:val="16"/>
          <w:i w:val="1"/>
          <w:iCs w:val="1"/>
          <w:color w:val="000000"/>
        </w:rPr>
        <w:t xml:space="preserve"> </w:t>
      </w:r>
      <w:r>
        <w:rPr>
          <w:rFonts w:ascii="Arial" w:cs="Arial" w:eastAsia="Arial" w:hAnsi="Arial"/>
          <w:sz w:val="16"/>
          <w:szCs w:val="16"/>
          <w:i w:val="1"/>
          <w:iCs w:val="1"/>
          <w:color w:val="231F20"/>
        </w:rPr>
        <w:t>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and will be significantly dependent on Caesars (and following the completion of the Eldorado Transaction, the combined Eldorado/Caesars) and their respective subsidiaries unless or until we substantially diversify our portfolio and an event that has a material adverse effect on any of its businesses, financial condition, liquidity, results of operations or prospects could have a material adverse effect on our business, financial condition, liquidity, results of operations and prospects.</w:t>
      </w:r>
    </w:p>
    <w:p>
      <w:pPr>
        <w:spacing w:after="0" w:line="133"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We depend on our tenants to operate the properties that we own in a manner that generates revenues sufficient to allow the tenants to meet their obligations to us. Substantially all of our revenue is from the Caesars Lease Agreements. Because these leases are triple-net leases, we depend on the tenants to pay substantially all insurance, taxes, utilities and maintenance and repair expenses in connection with these leased properties and to indemnify, defend, and hold us harmless from and against various claims, litigation, and liabilities arising in connection with their businesses. See </w:t>
      </w:r>
      <w:hyperlink w:anchor="page3">
        <w:r>
          <w:rPr>
            <w:rFonts w:ascii="Arial" w:cs="Arial" w:eastAsia="Arial" w:hAnsi="Arial"/>
            <w:sz w:val="16"/>
            <w:szCs w:val="16"/>
            <w:u w:val="single" w:color="auto"/>
            <w:color w:val="0000EE"/>
          </w:rPr>
          <w:t>Item 1 - “Business</w:t>
        </w:r>
      </w:hyperlink>
      <w:r>
        <w:rPr>
          <w:rFonts w:ascii="Arial" w:cs="Arial" w:eastAsia="Arial" w:hAnsi="Arial"/>
          <w:sz w:val="16"/>
          <w:szCs w:val="16"/>
          <w:color w:val="auto"/>
        </w:rPr>
        <w:t>.” There can be no assurance that the tenants will have sufficient assets, income or access to financing to enable them to satisfy their payment and other obligations under their leases with us, or that the applicable guarantor will be able to satisfy its guarantee of the applicable tenant’s obligations under the Caesars Lease Agreements.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Caesars relies on the properties it owns and/or operate for income to satisfy its obligations, including its debt service requirements and lease payments due to us under the Caesars Lease Agreements or to others under other lease agreements. If income from these properties were to decline for any reason, or if the debt service requirements of our tenants were to increase for any reason or if their creditworthiness were to become impaired for other reasons, Caesars (and following the completion of the Eldorado Transaction, the combined Eldorado/Caesars) may become unable or unwilling to satisfy its payment and other obligations under the Caesars Lease Agreements. The inability or unwillingness of Caesars (and following the completion of the Eldorado Transaction, the combined Eldorado/Caesars) to meet their respective subsidiaries’ payment and other obligations under the Caesars Lease Agreements, in each case, could materially and adversely affect our business, financial condition, liquidity, results of operations and prospects, including our ability to make distributions to our stockholders.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gaming and entertainment industry is highly competitive and our tenants’ failure to continue to compete successfully could adversely affect their businesses, financial conditions, results of operations, and cash flows. In particular, our tenants’ businesses may be adversely impacted by the reinvestment and expansion by competitors in existing jurisdictions, and expansion of gaming into new jurisdictions in which gaming was not previously permitted, which would result in increased competition in these jurisdictions. 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the business, financial condition, and results of operations of our tenants.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following the completion of the Eldorado Transaction, the combined Eldorado/Caesars will be our largest tenant. Eldorado has publicly disclosed that it expects to achieve approximately $500.0 million of synergies, over time, following completion of the Eldorado/Caesars Merger. The combined Eldorado/Caesars may be unable to achieve these synergies during the time period that it expects to do so, or at all, and a failure to achieve these synergies may adversely affect the combined Eldorado/Caesars, including its creditworthiness, and impair its ability to meet its obligations to us. Moreover, given the combined Eldorado/Caesar’s expected significance to our business, a failure on the part of the combined Eldorado/Caesars to realize expected synergies and any related improvement to its creditworthiness, or any deterioration of its creditworthiness, could materially and adversely affect us, even in the absence of a default under our agreements with the combined Eldorado/Caesars.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our dependence on rental payments from subsidiaries of Caesars (and following the completion of the Eldorado Transaction, the combined Eldorado/Caesars) as our primary source of revenue, we may be limited in our ability to enforce our rights under the leases or to terminate the applicable lease with respect to any particular property. Failure by the tenants to comply with the terms of their respective leases or to comply with the gaming regulations to which the leased properties are subject could require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to find another tenant for such property, to the extent possible, and there could be a decrease or cessation of rental payments by the tenants. In such event, we may be unable to locate a suitable, credit-worthy tenant at similar rental rates or at all, which would have the effect of reducing our rental revenues and could have a material adverse effect on us.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concentrated portion of our revenues are generated from the Strip, we are subject to greater risks than a company that is more geographically diversified.</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properties on the Las Vegas Strip generated approximately 33% of our lease revenue for the year ended December 31, 2019. Therefore, our business may be significantly affected by risks common to the Las Vegas tourism industry. For example, the cost and availability of air services and the impact of any events that disrupt air travel to and from Las Vegas can adversely affect the business of our tenants. We cannot control the number or frequency of flights to or from Las Vegas, but the tenants rely on air traffic for a significant portion of their visitors. Reductions in flights by major airlines as a result of higher fuel prices or lower demand can impact the number of visitors to our properties. Additionally, there is one principal interstate highway between Las Vegas and Southern California, where a large number of the customers that frequent our properties reside. Capacity constraints of that highway or any other traffic disruptions may also affect the number of customers who visit our facilities. Moreover, due to the importance of our two properties on the Strip, we may be disproportionately affected by general risks such as acts of terrorism, natural disasters, including major fires, floods and earthquakes, and severe or inclement weather, should such developments occur in or nearby Las Vegas.</w:t>
      </w:r>
    </w:p>
    <w:p>
      <w:pPr>
        <w:spacing w:after="0" w:line="12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Caesars and its subsidiaries are (and after the completion of the Eldorado Transaction, the combined Eldorado/Caesars and its subsidiaries will be) party to certain leasing and financial commitments with us, which may have a negative impact on Caesars’ business and operating condition.</w:t>
      </w:r>
    </w:p>
    <w:p>
      <w:pPr>
        <w:spacing w:after="0" w:line="70"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Caesars and/or its subsidiaries entered into certain leasing and financial commitments, evidenced by agreements, with us. See </w:t>
      </w:r>
      <w:hyperlink w:anchor="page3">
        <w:r>
          <w:rPr>
            <w:rFonts w:ascii="Arial" w:cs="Arial" w:eastAsia="Arial" w:hAnsi="Arial"/>
            <w:sz w:val="18"/>
            <w:szCs w:val="18"/>
            <w:u w:val="single" w:color="auto"/>
            <w:color w:val="0000EE"/>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“Business-Our Relationship with Caesars” for additional information regarding such agreements.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Caesars is obligated to pay us in the aggregate approximately $4.2 billion in fixed annual rents and golf course membership fees over the next five years of the respective Caesars Lease Agreements, subject to certain escalators and adjustments. If Caesars’ (or, after the completion of the Eldorado Transaction, Eldorado’s) businesses and properties fail to generate sufficient earnings, the applicable tenants, Caesars and/or CRC (before the completion of the Eldorado Transaction) and Eldorado (after the completion of the completion of the Eldorado Transaction) may be unable to satisfy their respective obligations under the Lease Agreements or the related guarantees, respectively. Additionally, these obligations may limit their ability to make investments to maintain and grow their portfolio of businesses and properties, which may adversely affect their competitiveness and ability to satisfy their obligations to us.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Subsidiaries of Caesars are required to pay a significant portion of their cash flow from operations to us pursuant to, and subject to the terms and conditions of, the Caesars Lease Agreements which could adversely affect Caesars’, ability to fund its operations or development projects, raise capital, make acquisitions, and otherwise respond to competitive and economic changes and its ability to satisfy its payment obligations to us under the Lease Agreements and the related guarantees.</w:t>
      </w:r>
    </w:p>
    <w:p>
      <w:pPr>
        <w:spacing w:after="0" w:line="133"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Subsidiaries of Caesars (and, after the completion of the completion of the Eldorado Transaction, subsidiaries of Eldorado) are required to pay a significant portion of their cash flow from operations to us pursuant to, and subject to the terms and conditions of, the Caesars Lease Agreements. See </w:t>
      </w:r>
      <w:hyperlink w:anchor="page3">
        <w:r>
          <w:rPr>
            <w:rFonts w:ascii="Arial" w:cs="Arial" w:eastAsia="Arial" w:hAnsi="Arial"/>
            <w:sz w:val="17"/>
            <w:szCs w:val="17"/>
            <w:u w:val="single" w:color="auto"/>
            <w:color w:val="0000EE"/>
          </w:rPr>
          <w:t>Item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“Business-Our Lease Agreement-Caesars Lease Agreements-Overview” and </w:t>
      </w:r>
      <w:hyperlink w:anchor="page3">
        <w:r>
          <w:rPr>
            <w:rFonts w:ascii="Arial" w:cs="Arial" w:eastAsia="Arial" w:hAnsi="Arial"/>
            <w:sz w:val="17"/>
            <w:szCs w:val="17"/>
            <w:u w:val="single" w:color="auto"/>
            <w:color w:val="0000EE"/>
          </w:rPr>
          <w:t>Item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“Business-Our Relationship with Caesars.” As a result of this commitment, Caesars’ ability to fund its operations or development projects, raise capital, make acquisitions and otherwise respond to competitive and economic changes may be adversely affected, which could adversely affect the ability of the applicable tenants to satisfy their obligations to us under the Caesars Lease Agreements and the ability of Caesars and/or CRC (before the completion of the Eldorado Transaction) and Eldorado (after the completion of the Eldorado Transaction) to satisfy their respective obligations to us under the related guarantees.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during the initial seven years of the Caesars Lease Agreements, the annual rent escalations under the Caesars Lease Agreements will continue to apply regardless of the amount of cash flows generated by the properties that are subject to the Caesars Lease Agreements. Accordingly, if the cash flows generated by such properties decrease, or do not increase at the same rate as the rent escalations, the rents payable under the Caesars Lease Agreements will comprise a higher percentage of the cash flows generated by the subsidiaries of Caesars (and, after the completion of the Eldorado Transaction, Eldorado), which could make it more difficult for the applicable subsidiaries to make their payment obligations to us under the Caesars Lease Agreements and ultimately could adversely affect the applicable guarantor’s ability to satisfy their respective obligations to us under the related guarantees.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Caesars’ indebtedness (and, after the completion of the Eldorado Transaction, Eldorado’s indebtedness) and the fact that a significant portion of its cash flow is used to make interest payments could adversely affect its ability to satisfy its obligations under the Caesars Lease Agreements.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disclosed in its Quarterly Report on Form 10-Q for the quarter ended September 30, 2019, Caesars’ consolidated estimated debt service (including principal and interest) for 2020 will be approximately $504.0 million and $10.2 billion thereafter to maturity. As a result, a significant portion of Caesars’ liquidity needs, and, after the completion of the Eldorado Transaction, Eldorado’s liquidity needs, are for debt service, including significant interest payments. Such substantial indebtedness and the restrictive covenants under the agreements governing such indebtedness could limit the ability of the applicable tenants to satisfy their obligations to us under the Lease Agreements and the ability of Caesars and/or CRC (before the completion of the Eldorado Transaction) and Eldorado (after the completion of the completion of the Eldorado Transaction) to satisfy their respective obligations under the related guarantees.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and adversely affect our business, financial condition, liquidity, results of operations and prospects.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landlord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gaming business would likely have a greater adverse effect on us than if we owned a more diversified real estate portfolio, particularly because a component of the rent under the Lease Agreements will be based, over time, on the performance of the gaming facilities operated by our tenants on our properties and such effect could be material and adverse to our business, financial condition, liquidity, results of operations and prospects.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gaming industry is characterized by a high degree of competition among a large number of participants, including riverboat casinos, dockside casinos, land-based casinos, video lottery, sweepstakes and poker machines not located in casinos, Native American gaming, internet lotteries and other internet wagering gaming services and, in a broader sense, gaming operators face competition from all manner of leisure and entertainment activities. Gaming competition is intense in most of the markets where our facilities are located. Recently, there has been additional significant competition in the gaming industry as a result of the upgrading or expansion of facilities by existing market participants, the entrance of new gaming participants into a market, internet gaming or legislative changes. As competing properties and new markets are opened, we may be negatively impacted. Additionally, decreases in discretionary consumer spending brought about by weakened general economic conditions such as, but not limited to, lackluster recoveries from recessions, high unemployment levels, higher income taxes, low levels of consumer confidence, weakness in the housing market, cultural and demographic changes and increased stock market volatility may negatively impact our revenues and operating cash flows.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tenants face extensive regulation from gaming and other regulatory authorities, and our charter provides that any of our shares held by investors who are found to be unsuitable by state gaming regulatory authorities are subject to redemption.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ownership, operation, and management of gaming and racing facilities are subject to extensive regulation.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key business entity or supplier because of our status as landlord. Gaming authorities also retain great discretion to require us to be found suitable as a landlord, and certain of our stockholders, officers and directors may be required to be found suitable as well. Regulatory authorities also have broad powers with respect to the licensing of casino operations, and may revoke, suspend, condition or limit the gaming or other licenses of our tenants, impose substantial fines or take other actions, any one of which could adversely impact the business, financial condition and results of operations of our tenants. In addition, in many jurisdictions, licenses are granted for limited durations and require renewal from time to time.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many jurisdictions, gaming laws can require certain of our stockholders to file an application, be investigated, and qualify or have his, her or its suitability determined by gaming authorities. Gaming authorities have very broad discretion in determining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Gaming authorities may conduct investigations into the conduct or associations of our directors, officers, key employees or investors to ensure compliance with applicable standards. If we are required to be found suitable and are found suitable as a landlord, we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will be registered as a public company with the gaming authorities and will be subject to disciplinary action if, after we receive notice that a person is unsuitable to be a stockholder or to have any other relationship with us, we:</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that person any distribution or interest upon any of our voting securities;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or her voting securities, including, if necessary, the immediate purchase of the voting securities for cash at fair market value.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jurisdictions also require any person who acquires beneficial ownership of more than a certain percentage of voting securities of a gaming company and, in some jurisdictions, non-voting securities, typically 5% of a publicly-traded company, to report the acquisition to gaming authorities, and gaming authorities may require such holders to apply for qualification, licensure or a finding of suitability, subject to limited exceptions for “institutional investors” that hold a company’s voting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Some jurisdictions may also limit the number of gaming licenses in which a person may hold an ownership or a controlling interest.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directors, officers, key employees and investors in our shares must meet approval standards of certain gaming regulatory authorities.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because we and our tenants are subject to regulation in numerous jurisdictions, and because regulatory agencies within each jurisdiction review compliance with gaming laws in other jurisdictions, it is possible that gaming compliance issues in one jurisdiction may lead to reviews and compliance issues in other jurisdictions. The loss of gaming licenses could result in an event of default under our certain of our indebtedness, and cross-default provisions in our debt agreements could cause an event of default under one debt agreement to trigger an event of default under our other debt agreements.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control of us or one of our subsidiaries (and certain of our affiliates) and/or require the entities to divest such control.</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Required regulatory approvals can delay or prohibit transfers of our gaming properties, which could result in periods in which we are unable to receive rent for such properties and have a material adverse effect on our business, financial condition, liquidity, results of operations and prospects.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tenants are (and any future tenants of our gaming properties will be) required to be licensed under applicable law in order to operate any of our properties as gaming facilities. If the Lease Agreements, or any future lease agreement we enter into,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or future lease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may choose not to renew the Lease Agreements.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Lease Agreements each have an initial lease term of 15 years with the potential to extend the term for up to four additional five-year terms thereafter, provided that for certain facilities the aggregate lease term, including renewals, is cutback to the extent it would otherwise exceed 80% of the remaining useful life of the applicable leased property, solely at the option of the tenants. Upon completion of the Eldorado Transaction, the initial lease term under each of the Caesars Lease Agreements shall be extended such that the expiration of such initial lease term shall occur 15 years following the completion of the Eldorado Transaction. At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expiration of the initial lease term or of any additional renewal term thereafter, a tenant may choose not to renew the Lease Agreements. If the Lease Agreements expire without renewal and we are not able to find suitable, credit-worthy tenants to replace a tenant on the same or more attractive terms, our business, financial condition, liquidity, results of operations and prospects may be materially and adversely affected, including our ability to make distributions to our stockholders at the then current level, or at all. Given the coterminous nature of the Formation Lease Agreements (and, after completion of the Eldorado Transaction, the Caesars Lease Agreements), this risk would be exacerbated if Caesars (or, after completion of the Eldorado Transaction, Eldorado) determined not to renew or was prohibited from renewing due to the remaining useful life of the leased property, all such lease agreements at any one time.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 leases may not result in fair market lease rates over time, which could negatively impact our results of operations and cash flows and reduce the amount of funds available to make distributions to stockholders.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rental revenue is generated from the Lease Agreements, which are triple-net leases, and provide greater flexibility to the respective tenants related to the use of the applicable leased property than would be the case with ordinary property leases, such as the right to freely sublease portions of each leased property, to make alterations in the leased premises and to terminate the lease prior to its expiration under specified circumstances. Furthermore, net leases typically have longer lease terms and, thus, there is an increased risk that contractual rental increases in future years will fail to result in fair market rental rates during those years. As a result, our results of operations and cash flows and distributions to our stockholders could be lower than they would otherwise be if we did not enter into a net lease.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Lease Agreements may restrict our ability to sell the properties.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sell or dispose of our properties may be hindered by the fact that such properties are subject to the Lease Agreements, as the terms of the Lease Agreements require that a purchaser assume the Lease Agreements or, in certain cases, enter into a severance lease with the tenants for the sold property on substantially the same terms as contained in the applicable Lease Agreement, which may make our properties less attractive to a potential buyer than alternative properties that may be for 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complete the Eldorado Transaction or may not complete it on the contemplated terms.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completion of the Eldorado Transaction is subject to certain customary regulatory and other closing conditions, many of which are beyond our control, including the closing of the Eldorado/Caesars Merger to which we are not a party, which make the completion and timing thereof uncertain; there can be no assurance that such conditions will be satisfied on the anticipated schedule, or at all. Completion of certain of the transactions contemplated by the Master Transaction Agreement, such as the put/call agreement relating to the Centaur Properties, the Horseshoe Baltimore ROFR, the Las Vegas ROFR and certain lease modifications, are subject to the negotiation of definitive documentation and, while the principal terms of these transactions are specified in the Master Transaction Agreement, there can be no assurance that we will be successful in negotiating definitive documentation.</w:t>
      </w:r>
    </w:p>
    <w:p>
      <w:pPr>
        <w:spacing w:after="0" w:line="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one or more of the transactions contemplated by the Eldorado Transaction is not completed on the anticipated schedule, on the contemplated terms or at all, we could be subject to a number of risks that may adversely affect our business and the market price of our common stock, including:</w:t>
      </w:r>
    </w:p>
    <w:p>
      <w:pPr>
        <w:spacing w:after="0" w:line="93"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transaction expenses relating to the Eldorado Transaction, such as legal, accounting and financial advisory fees, whether or not the Eldorado Transaction is completed;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Eldorado Transaction could otherwise have been devoted to pursuing other opportunities;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the Eldorado Transaction will be completed;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physically settle the Forward Sale Agreements prior to identifying a suitable alternative use of the proceeds thereof, our stockholders may experience significant dilution;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realize the potential benefits, including the increased rental revenue, that we expect to realize from consummating these transactions, and our earnings, FFO and AFFO per share could be materially and adversely affected.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provide any assurance that each of the transactions contemplated by the Eldorado Transaction will be completed or that there will not be a delay in the completion of any or all of these transactions. If the Eldorado Transaction is not consummated, our reputation in our industry and in the investment community could be damaged, and the market price of our common stock could decline.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the Eldorado Transaction is completed, we may not achieve the intended benefits, and the Eldorado Transaction may disrupt our current plans or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Eldorado Transaction is completed, there can be no assurance that we will be able to realize the intended benefits of such transaction. If the Eldorado/Caesars Merger is consummated, we may be obligated to complete the Eldorado Transaction even if, during the pendency of the Eldorado/Caesars Merger, the finances and operations of Eldorado are materially and adversely impacted. Moreover, the limited contractual protections under our agreements with Eldorado will not include (a) restrictions on certain asset sales by Caesars, (b) a right to automatically obtain liens on certain Caesars property under certain circumstances if Caesars refinances certain debt, (c) a right to obtain the benefit of certain covenants if made by Caesars if Caesars refinances certain debt with debt provided by affiliates or insiders of Caesars or (d) provisions designed to ensure that the guaranty and the associated leases will continue to remain in place if any lease is terminated, without our express written consent, all of which we are currently entitled to under our existing agreements with Caesars.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Eldorado Transaction is consummated and we do not receive the amount of net proceeds from the settlement of the Forward Sale Agreements that we expect, we may incur a substantially greater amount of debt either through additional long-term debt financing, under the Bridge Facilities or under our Revolving Credit Facility. This additional debt could materially and adversely affect us, including by increasing our interest expense, restricting our ability to engage in additional transactions or incur additional indebtedness, or result in a downgrade or other adverse action with respect to our credit rating.</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receive the amount of net proceeds from the settlement of the Forward Sale Agreements that we expect, we may be required to fund any shortfall with additional long-term debt, borrowings under the Bridge Facilities or borrowings under our Revolving Credit Facility equal to the difference to fund the purchase price and related fees and expenses. Our net consolidated borrowing costs will depend on our overall indebtedness, our creditworthiness, interest rates in effect from time to time (including at the time we incur such debt), the structure of our debt, taxes and other factors. No assurance can be given that long-term debt financing will be available to us on attractive terms, or at all, initially or to refinance any borrowings under the Bridge Facilities or borrowings under our Revolving Credit Facility.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ratings impact the cost and availability of borrowings and, accordingly, our cost of capital. Our credit ratings at any time will reflect each rating organization’s opinion of our financial strength, operating performance and ability to meet our debt obligations. There can be no assurance that we will achieve a particular rating or maintain a particular rating in the future. Any reduction in our credit ratings may limit our ability to borrow at interest rates consistent with the interest rates that have been available to us and may subject us to additional covenants under our debt instruments. An inability to achieve or maintain expected credit ratings would materially and adversely affect our ability to obtain long-term debt financing or to refinance amounts borrowed under the Bridge Facilities or borrowings under our Revolving Credit Facility.</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completion of the Eldorado Transaction is subject to the receipt of consents and approvals, which cannot be assured or which may impose conditions that could have a material adverse effect on us.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Completion of the Eldorado Transaction is conditioned upon the receipt of certain consents and approvals, including, without limitation, gaming regulatory approvals. Although we have agreed to use our reasonable best efforts to obtain such consents and approvals, there can be no assurance that these consents or approvals will be obtained and that the other conditions to completing these transactions will be satisfied. In addition, the governmental authorities from which the regulatory approvals are required may impose conditions on the completion of these transactions or require changes to the terms of the transaction documents. Such conditions or changes and the process of obtaining regulatory approvals could have the effect of delaying or impeding consummation of one or more of these transactions or of imposing additional costs or limitations on us following completion of the Eldorado Transaction, any of which might have a material adverse effect on us following completion of the Eldorado Transaction.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provisions under the respective transaction documents that, in specified circumstances, could require us to pay significant termination fees or liquidated damages to the sellers in the MTA Properties Acquisitions.</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transaction documents for the Eldorado Transaction provide that, in specified circumstances, we could be required to pay significant termination fees or liquidated damages to the sellers. If the Eldorado Transaction is terminated under certain circumstances, we could become liable to Eldorado for a termination fee of up to $75.0 million. If we become obligated to pay a termination fee or liquidated damages, the payment could have a material adverse effect on us.</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Eldorado declares bankruptcy and such action results in a lease being re-characterized as a disguised financing transaction in its bankruptcy proceeding, our business, results of operations, financial condition and cash flows could be materially and adversely affected.</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Eldorado declares bankruptcy, our business could be materially and adversely affected if a bankruptcy court re-characterizes the CPLV Additional Rent Acquisition or the HLV Additional Rent Acquisition (as defined below) as a disguised financing transaction. In the event of re-characterization, our claim under a lease agreement with respect to the additional rent acquired in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HLV Additional Rent Acquisition and CPLV Additional Rent Acquisition could either be secured or unsecured. Generally, the leases permit us to take steps to create and perfect a security interest in the leased property, but such attempts could be subject to challenge by the tenant or its creditors and, with respect to the CPLV Additional Rent Acquisition and the HLV Additional Rent Acquisition, there is no assurance that a court would find that portion of our claim to be secured. The bankrupt lessee and other Eldorado affiliates and their creditors under this scenario might have the ability to restructure the terms, including the amount owed to us under the lease with respect to the additional rent. If approved by the bankruptcy court, we could be bound by the new terms, and prevented from collecting such additional rent that we paid for in the CPLV Additional Rent Acquisition and HLV Additional Rent Acquisition, and our business, results of operations, financial condition and cash flows could be materially and adversely affected.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Most of the properties within our portfolio are currently operated and promoted under trademarks and brand names not owned by us, including Caesars, Horseshoe, Harrah’s, Bally’s, Margaritaville, Greektown, JACK, Hard Rock, Century and Mountaineer. In addition, properties that we may acquire in the future may be operated and promoted under these same trademarks and brand names, or under different trademarks and brand names we do not, or will not, own. During the term that our properties are managed by our tenants, we will be reliant on our tenants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we may not enjoy comparable recognition or status under a new brand. A transition of management away from a Caesars (or after the completion of the Eldorado Transaction, Eldorado), Penn National, Hard Rock, Century Casinos, or JACK Entertainment entity could also have a material adverse effect on our business, financial condition, liquidity, results of operations and prospects.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a substantial amount of indebtedness, and may incur additional indebtedness in the future. Our substantial indebtedness exposes us to the risk of default under our debt obligations, limits our operating flexibility, increases the risks associated with a downturn in our business or in the businesses of our tenants, and requires us to use a substantial portion of our cash to service our debt obligations.</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substantial amount of indebtedness and debt service requirements. As of December 31, 2019, we had approximately $4.8 billion in long-term indebtedness, consisting of:</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 billion of total indebtedness outstanding under our Term Loan B Facility;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$498.5 million of outstanding Second Lien Notes;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 billion of outstanding 2026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billion of outstanding 2029 Notes.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giving effect to the completion of our February 2020 Notes Offering (which consisted of the issuance of $750.0 million of 2025 Notes, $750.0 million of 2027 Notes and $1.0 billion of 2030 Notes) and the redemption and repayment of the Second Lien Notes with a portion of the proceeds thereof, as of February 20, 2020, we had approximately $6.9 billion principal amount of indebtedness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also have $1.0 billion of available capacity to borrow under our Revolving Credit Facility.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Term Loan B and Revolving Credit Facility are collateralized by substantially all of our properties. 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vulnerability to adverse economic, industry or competitive developments may be increased;</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which could, among other things, adversely affect our ability to capitalize upon emerging acquisition opportunities, including exercising our rights of first refusal and call rights described herein, or meet operational needs;</w:t>
      </w:r>
    </w:p>
    <w:p>
      <w:pPr>
        <w:spacing w:after="0" w:line="1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forced to dispose of one or more of our properties if permitted under the Lease Agreements, possibly on disadvantageous terms at a loss;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the Operating Partnership to distribute cash to us may be limited or prohibited, which would materially and adversely affect our ability to make distributions on our common stock;</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to comply with the payment and restrictive covenants in our loan documents, which would entitle the lenders to accelerate payment of outstanding loans and foreclose on any properties servicing such loans;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one of these events were to occur, our financial condition, results of operations, cash flows, the market price of our common stock and our ability to satisfy our debt service obligations and to pay distributions to our stockholders could be materially and adversely affected. In addition, the foreclosure on our properties could create REIT taxable income without accompanying cash proceeds, which could result in entity level taxes to us or could adversely affect our ability to meet the distribution requirements necessary to qualify or maintain qualification as a REIT.</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VICI Golf is also subject to U.S. Federal income tax at regular corporate rates on any of its taxable income. In order to maintain our status as a REIT and avoid or otherwise minimize current entity-level U.S. Federal income taxes, a substantial portion of our cash flow after operating expenses and debt service will be required to be distributed to our stockholders.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limitations on the amount of cash available to us after satisfying our debt service obligations and our distribution obligations to maintain our status as a REIT and avoid or otherwise minimize current entity-level U.S. Federal income taxes, our ability to pursue our business and growth strategies may be limited.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mechanic’s liens or similar liens incurred by the tenants under the Lease Agreements may attach to, and constitute liens on, our interests in the properties.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the tenants under the Lease Agreements make any improvements, these improvements could cause mechanic’s liens or similar liens to attach to, and constitute liens on, our interests in the properties. To the extent that mechanic’s liens or similar liens are recorded against any of the properties or any properties we may acquire in the future, the holders of such mechanic’s liens or similar liens may enforce them by court action and courts may cause the applicable properties or future properties to be sold to satisfy such liens, which could negatively impact our revenues, results of operations, cash flows and distributions to our stockholders. Further, holders of such liens could have priority over our stockholders in the event of bankruptcy or liquidation, and as a result, a trustee in bankruptcy may have difficulty realizing or foreclosing on such properties in any such bankruptcy or liquidation, and the amount of distributions our stockholders could receive in such bankruptcy or liquidation could be reduced.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or negative outlook may have a negative effect on our future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future capital needs and may not be able to obtain additional financing on acceptable terms.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incur additional indebtedness in the future to refinance our existing indebtedness or to finance newly acquired properties or for general corporate or other purposes. Any significant additional indebtedness could require a substantial portion of our cash flow to make interest and principal payments due on our indebtedness. Greater demands on our cash resources may reduce funds available to us to pay distributions, make capital expenditures and acquisitions, or carry out other aspects of our business and growth strategies.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and financial flexibility. Further, to the extent we were required to incur indebtedness, our future interest costs would increase, thereby reducing our earnings and cash flows from what they otherwise would have been.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our ability to obtain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obtain financing on favorable terms, if at all.</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Among other things, the absence of an investment grade credit rating or any credit rating downgrade or negative outlook could increase our financing costs and could limit our access to financing sources. If financing is not available when needed, or is available on unfavorable terms, we may be unable to pursue our business and growth strategies or otherwise take advantage of new business opportunities or respond to competitive pressures, any of which could have a material adverse effect on our business, financial condition, liquidity, results of operations and prospects. We may raise additional funds in the future through the issuance of equity securities and, as a result, our stockholders may experience significant dilution, which may adversely affect the market price of our common stock and make it more difficult for our stockholders to sell our shares at a time and price that they deem appropriate and could impair our future ability to raise capital through an offering of our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refinance our indebtedness as it becomes due depends on many factors, some of which are beyond our control.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refinance our existing indebtedness and any future indebtedness will depend, in part, on our current and projected financial condition, liquidity and results of operations and economic, financial, competitive, legislative, regulatory and other factors. Many of these factors are beyond our control. We cannot assure you that we will be able to refinance any of our indebtedness as it becomes due, on commercially reasonable terms or at all. If we are not able to refinance our indebtedness as it becomes due, we will be obligated to pay such indebtedness with cash from our operations and we may not have sufficient cash to do so, which would have a material and adverse effect on us.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limit our operational flexibility, and a covenant breach or default could materially and adversely affect our business, financial condition, liquidity, results of operations and prospects.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agreements governing our indebtedness contain customary covenants, including restrictions on our ability to grant liens on our assets, incur indebtedness, sell assets, make investments, engage in acquisitions, mergers or consolidations, engage in transactions with affiliates and pay certain dividends and other restricted payments. In addition, we are required to comply with certain financial maintenance covenants. These restrictions could seriously harm our business by, among other things, limiting our operational flexibility.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could elect to declare all outstanding debt under such agreements to be immediately due and payable. If we were unable to repay or refinance the accelerated debt, the lenders could proceed against any assets pledged to secure any debt that is secured by such assets, including foreclosing on or requiring the sale of our properties, and our assets may not be sufficient to repay such debt in full. Covenants that limit our operational flexibility as well as defaults under our debt instruments could have a material adverse effect on our business, financial condition, liquidity, results of operations and prospects.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rise in interest rates may increase our overall interest rate expense and could adversely affect our stock price.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rise in interest rates may increase our overall interest rate expense and have an adverse impact on our ability to pay distributions to our stockholders. The risk presented by holding variable rate indebtedness can be managed or mitigated by utilizing interest rate protection products. However, there is no assurance that we will utilize any of these products effectively or all, or that such products will be available to us. In addition, in the event of a rise in interest rates, new debt, whether fixed or variable, is likely to be more expensive, which could, among other things, make the financing of any acquisition more expensive, and we may be unable to incur new debt or replace maturing debt with new debt at equal or better interest rates.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the dividend yield on our common stock, as a percentage of the price of such common stock, will influence the market price of such common stock. Thus, an increase in market interest rates may lead prospective purchasers of our common stock to expect a higher dividend yield, which would adversely affect the market price of our common stock.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may engage in hedging transactions that may limit gains or result in losses.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derivatives to hedge certain of our liabilities and we currently have interest rate swap agreements in place. As of December 31, 2019, we had in place six interest rate swap agreements with third party financial institutions having an aggregate notional amount of $2.0 billion. The interest rate swap transactions are designated as cash flow hedges that effectively fix the LIBOR component of the interest rate on a portion of the outstanding debt under the Term Loan B Facility. The counterparties of these arrangements are major financial institutions; however, we are exposed to credit risk in the event of non-performance by the counterparties. This has certain risks, including losses on a hedge position, which may reduce the return on our investments. Such losses may exceed the amount invested in such instruments. In addition, counterparties to a hedging arrangement could default on their obligations. We may have to pay certain costs, such as transaction fees or breakage costs, related to hedging transactions.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changes in LIBOR reporting practices, the method in which LIBOR is determined or the use of alternative reference rates.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indebtedness under the Term Loan B Facility and Revolving Credit Facility bears interest at variable interest rates that use LIBOR as a benchmark rate. On July 27, 2017, the United Kingdom’s Financial Conduct Authority, which regulates LIBOR, announced that it intends to stop persuading or requiring banks to submit LIBOR quotations after 2021 (the “FCA Announcement”). The FCA Announcement indicates that the continuation of LIBOR on the current basis cannot and will not be assured after 2021 and, as such, LIBOR may cease to exist or otherwise be unsuitable for use as a benchmark. A change or transition away from LIBOR as a common reference rate in the global financial market could have a material, adverse effect on our business. Recent proposals for LIBOR reforms may result in the establishment of new methods of calculating LIBOR or the establishment of one or more alternative benchmark rates. If LIBOR ceases to exist, we cannot predict what such successor rate would be utilized and the impact of such rate on us and we may determine that we need to negotiate an amendment to our Term Loan B Facility and Revolving Credit Facility with our lenders. As a result, our interest expense may increase, our ability to refinance some or all of our existing indebtedness and our available cash flow may be adversely affected.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purchase the properties subject to the Call Right Agreements, the Second Amended and Restated Right of First Refusal Agreement or the Caesars Forum Put/Call Agreement if we are unable to obtain additional financing. In addition, we may be forced to dispose of Harrah’s Las Vegas to Caesars, possibly on disadvantageous terms.</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Call Right Agreements provide for our right for up to five years after the Formation Date to enter into binding agreements to purchase the real property interest and all improvements associated with the Option Properties from Caesars. The Caesars Forum Put/Call Agreement that we entered into with Caesars, among other things, provides us with the opportunity or the obligation to acquire the Caesars Forum Convention Center and lease it back to Caesars. The Second Amended and Restated Right of First Refusal Agreement provides us the right, subject to certain exclusions, to (i) acquire (and lease to Caesars) any domestic gaming facilities located outside of the Gaming Enterprise District of Clark County, Nevada, proposed to be acquired or developed by Caesars, and</w:t>
      </w:r>
    </w:p>
    <w:p>
      <w:pPr>
        <w:spacing w:after="0" w:line="2" w:lineRule="exact"/>
        <w:rPr>
          <w:sz w:val="20"/>
          <w:szCs w:val="20"/>
          <w:color w:val="auto"/>
        </w:rPr>
      </w:pPr>
    </w:p>
    <w:p>
      <w:pPr>
        <w:jc w:val="both"/>
        <w:ind w:firstLine="8"/>
        <w:spacing w:after="0" w:line="267" w:lineRule="auto"/>
        <w:tabs>
          <w:tab w:leader="none" w:pos="295" w:val="left"/>
        </w:tabs>
        <w:numPr>
          <w:ilvl w:val="0"/>
          <w:numId w:val="24"/>
        </w:numPr>
        <w:rPr>
          <w:rFonts w:ascii="Arial" w:cs="Arial" w:eastAsia="Arial" w:hAnsi="Arial"/>
          <w:sz w:val="17"/>
          <w:szCs w:val="17"/>
          <w:color w:val="212529"/>
        </w:rPr>
      </w:pPr>
      <w:r>
        <w:rPr>
          <w:rFonts w:ascii="Arial" w:cs="Arial" w:eastAsia="Arial" w:hAnsi="Arial"/>
          <w:sz w:val="17"/>
          <w:szCs w:val="17"/>
          <w:color w:val="auto"/>
        </w:rPr>
        <w:t xml:space="preserve">acquire (and lease to Caesars) any of the properties that Caesars has recently acquired from Centaur Holdings, LLC, in each case, should Caesars determine to sell any such properties. In order to exercise these rights,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Even if financing with acceptable terms is available to us, there can be no assurance that we will exercise any of these rights. </w:t>
      </w:r>
      <w:r>
        <w:rPr>
          <w:rFonts w:ascii="Arial" w:cs="Arial" w:eastAsia="Arial" w:hAnsi="Arial"/>
          <w:sz w:val="17"/>
          <w:szCs w:val="17"/>
          <w:color w:val="212529"/>
        </w:rPr>
        <w:t>As described in</w:t>
      </w:r>
      <w:r>
        <w:rPr>
          <w:rFonts w:ascii="Arial" w:cs="Arial" w:eastAsia="Arial" w:hAnsi="Arial"/>
          <w:sz w:val="17"/>
          <w:szCs w:val="17"/>
          <w:color w:val="auto"/>
        </w:rPr>
        <w:t xml:space="preserve"> </w:t>
      </w:r>
      <w:hyperlink w:anchor="page56">
        <w:r>
          <w:rPr>
            <w:rFonts w:ascii="Arial" w:cs="Arial" w:eastAsia="Arial" w:hAnsi="Arial"/>
            <w:sz w:val="17"/>
            <w:szCs w:val="17"/>
            <w:u w:val="single" w:color="auto"/>
            <w:color w:val="0000EE"/>
          </w:rPr>
          <w:t>Item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below </w:t>
      </w:r>
      <w:r>
        <w:rPr>
          <w:rFonts w:ascii="Arial" w:cs="Arial" w:eastAsia="Arial" w:hAnsi="Arial"/>
          <w:sz w:val="17"/>
          <w:szCs w:val="17"/>
          <w:color w:val="212529"/>
        </w:rPr>
        <w:t>under “Management’s Discussion and Analysis-Eldorado Transaction-Acquisition of the</w:t>
      </w:r>
      <w:r>
        <w:rPr>
          <w:rFonts w:ascii="Arial" w:cs="Arial" w:eastAsia="Arial" w:hAnsi="Arial"/>
          <w:sz w:val="17"/>
          <w:szCs w:val="17"/>
          <w:color w:val="auto"/>
        </w:rPr>
        <w:t xml:space="preserve"> </w:t>
      </w:r>
      <w:r>
        <w:rPr>
          <w:rFonts w:ascii="Arial" w:cs="Arial" w:eastAsia="Arial" w:hAnsi="Arial"/>
          <w:sz w:val="17"/>
          <w:szCs w:val="17"/>
          <w:color w:val="212529"/>
        </w:rPr>
        <w:t xml:space="preserve">MTA Properties” we have entered into agreements to acquire all of the land and real estate assets associated with the Option Properties, and </w:t>
      </w:r>
      <w:r>
        <w:rPr>
          <w:rFonts w:ascii="Arial" w:cs="Arial" w:eastAsia="Arial" w:hAnsi="Arial"/>
          <w:sz w:val="17"/>
          <w:szCs w:val="17"/>
          <w:color w:val="000000"/>
        </w:rPr>
        <w:t>each of the Call</w:t>
      </w:r>
      <w:r>
        <w:rPr>
          <w:rFonts w:ascii="Arial" w:cs="Arial" w:eastAsia="Arial" w:hAnsi="Arial"/>
          <w:sz w:val="17"/>
          <w:szCs w:val="17"/>
          <w:color w:val="212529"/>
        </w:rPr>
        <w:t xml:space="preserve"> </w:t>
      </w:r>
      <w:r>
        <w:rPr>
          <w:rFonts w:ascii="Arial" w:cs="Arial" w:eastAsia="Arial" w:hAnsi="Arial"/>
          <w:sz w:val="17"/>
          <w:szCs w:val="17"/>
          <w:color w:val="000000"/>
        </w:rPr>
        <w:t xml:space="preserve">Right Agreements will terminate upon the earlier to occur of the closing of the corresponding MTA Property Acquisition or our obtaining specific performance or liquidated </w:t>
      </w:r>
      <w:r>
        <w:rPr>
          <w:rFonts w:ascii="Arial" w:cs="Arial" w:eastAsia="Arial" w:hAnsi="Arial"/>
          <w:sz w:val="17"/>
          <w:szCs w:val="17"/>
          <w:color w:val="212529"/>
        </w:rPr>
        <w:t>damages with respect to the relevant property in accordance with the terms of the Master Transaction Agreement</w:t>
      </w:r>
      <w:r>
        <w:rPr>
          <w:rFonts w:ascii="Arial" w:cs="Arial" w:eastAsia="Arial" w:hAnsi="Arial"/>
          <w:sz w:val="17"/>
          <w:szCs w:val="17"/>
          <w:color w:val="000000"/>
        </w:rPr>
        <w:t xml:space="preserve">. The Second Amended and Restated Right of First Refusal Agreement will terminate upon the closing of the Eldorado/Caesars Merger </w:t>
      </w:r>
      <w:r>
        <w:rPr>
          <w:rFonts w:ascii="Arial" w:cs="Arial" w:eastAsia="Arial" w:hAnsi="Arial"/>
          <w:sz w:val="17"/>
          <w:szCs w:val="17"/>
          <w:color w:val="212529"/>
        </w:rPr>
        <w:t>and we will enter into the Las</w:t>
      </w:r>
      <w:r>
        <w:rPr>
          <w:rFonts w:ascii="Arial" w:cs="Arial" w:eastAsia="Arial" w:hAnsi="Arial"/>
          <w:sz w:val="17"/>
          <w:szCs w:val="17"/>
          <w:color w:val="000000"/>
        </w:rPr>
        <w:t xml:space="preserve"> </w:t>
      </w:r>
      <w:r>
        <w:rPr>
          <w:rFonts w:ascii="Arial" w:cs="Arial" w:eastAsia="Arial" w:hAnsi="Arial"/>
          <w:sz w:val="17"/>
          <w:szCs w:val="17"/>
          <w:color w:val="212529"/>
        </w:rPr>
        <w:t xml:space="preserve">Vegas ROFR (as defined and described below in </w:t>
      </w:r>
      <w:hyperlink w:anchor="page56">
        <w:r>
          <w:rPr>
            <w:rFonts w:ascii="Arial" w:cs="Arial" w:eastAsia="Arial" w:hAnsi="Arial"/>
            <w:sz w:val="17"/>
            <w:szCs w:val="17"/>
            <w:u w:val="single" w:color="auto"/>
            <w:color w:val="0000EE"/>
          </w:rPr>
          <w:t>Item 7</w:t>
        </w:r>
        <w:r>
          <w:rPr>
            <w:rFonts w:ascii="Arial" w:cs="Arial" w:eastAsia="Arial" w:hAnsi="Arial"/>
            <w:sz w:val="17"/>
            <w:szCs w:val="17"/>
            <w:u w:val="single" w:color="auto"/>
            <w:color w:val="212529"/>
          </w:rPr>
          <w:t xml:space="preserve"> </w:t>
        </w:r>
      </w:hyperlink>
      <w:r>
        <w:rPr>
          <w:rFonts w:ascii="Arial" w:cs="Arial" w:eastAsia="Arial" w:hAnsi="Arial"/>
          <w:sz w:val="17"/>
          <w:szCs w:val="17"/>
          <w:color w:val="212529"/>
        </w:rPr>
        <w:t xml:space="preserve">under “Management’s Discussion and Analysis-Eldorado Transaction-Las Vegas Strip Assets ROFR”) and the Horseshoe Baltimore ROFR (as defined and described below in </w:t>
      </w:r>
      <w:hyperlink w:anchor="page56">
        <w:r>
          <w:rPr>
            <w:rFonts w:ascii="Arial" w:cs="Arial" w:eastAsia="Arial" w:hAnsi="Arial"/>
            <w:sz w:val="17"/>
            <w:szCs w:val="17"/>
            <w:u w:val="single" w:color="auto"/>
            <w:color w:val="0000EE"/>
          </w:rPr>
          <w:t>Item 7</w:t>
        </w:r>
        <w:r>
          <w:rPr>
            <w:rFonts w:ascii="Arial" w:cs="Arial" w:eastAsia="Arial" w:hAnsi="Arial"/>
            <w:sz w:val="17"/>
            <w:szCs w:val="17"/>
            <w:u w:val="single" w:color="auto"/>
            <w:color w:val="212529"/>
          </w:rPr>
          <w:t xml:space="preserve"> </w:t>
        </w:r>
      </w:hyperlink>
      <w:r>
        <w:rPr>
          <w:rFonts w:ascii="Arial" w:cs="Arial" w:eastAsia="Arial" w:hAnsi="Arial"/>
          <w:sz w:val="17"/>
          <w:szCs w:val="17"/>
          <w:color w:val="212529"/>
        </w:rPr>
        <w:t>under “Management’s Discussion and Analysis-Eldorado Transaction- Horseshoe Baltimore ROFR”)</w:t>
      </w:r>
      <w:r>
        <w:rPr>
          <w:rFonts w:ascii="Arial" w:cs="Arial" w:eastAsia="Arial" w:hAnsi="Arial"/>
          <w:sz w:val="17"/>
          <w:szCs w:val="17"/>
          <w:color w:val="000000"/>
        </w:rPr>
        <w:t>.</w:t>
      </w:r>
    </w:p>
    <w:p>
      <w:pPr>
        <w:spacing w:after="0" w:line="131" w:lineRule="exact"/>
        <w:rPr>
          <w:rFonts w:ascii="Arial" w:cs="Arial" w:eastAsia="Arial" w:hAnsi="Arial"/>
          <w:sz w:val="17"/>
          <w:szCs w:val="17"/>
          <w:color w:val="auto"/>
        </w:rPr>
      </w:pPr>
    </w:p>
    <w:p>
      <w:pPr>
        <w:jc w:val="both"/>
        <w:spacing w:after="0" w:line="272" w:lineRule="auto"/>
        <w:rPr>
          <w:sz w:val="20"/>
          <w:szCs w:val="20"/>
          <w:color w:val="auto"/>
        </w:rPr>
      </w:pPr>
      <w:r>
        <w:rPr>
          <w:rFonts w:ascii="Arial" w:cs="Arial" w:eastAsia="Arial" w:hAnsi="Arial"/>
          <w:sz w:val="17"/>
          <w:szCs w:val="17"/>
          <w:color w:val="auto"/>
        </w:rPr>
        <w:t>The Caesars Forum Put/Call Agreement, among other things, grants Caesars the right to sell to (and simultaneously lease back from) us the Caesars Forum Convention Center. If Caesars exercises the right to sell to (and lease from) us the Caesars Forum Convention Center and the transactions do not close for reasons other than a default by Caesars or a failure to obtain any required regulatory approvals, Caesars will have the right to acquire Harrah’s Las Vegas from us, all on and subject to the terms and conditions set forth in the Caesars Forum Put/Call Agreement. The Caesars Forum Put/Call Agreement survives the closing of the Eldorado/Caesars Merger. In addition, the HLV Lease Agreement grants Caesars the right to purchase Harrah’s Las Vegas from us if we engage in certain transactions with entities deemed to be competitors of Caesars or if the landlord under the lease otherwise becomes a competitor of Caesars. The disposition of Harrah’s Las Vegas to Caesars pursuant to the Caesars Forum Put/Call</w:t>
      </w:r>
    </w:p>
    <w:p>
      <w:pPr>
        <w:spacing w:after="0" w:line="286"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or the HLV Lease Agreement may be at disadvantageous terms and could have a material adverse effect on our business, financial condition, liquidity, results of operations and prospects.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Eldorado Transaction is completed, we may not be able to purchase the properties subject to the Centaur Properties Put/Call Agreement, Las Vegas ROFR or the Horseshoe Baltimore ROFR if we are unable to obtain additional financing or financing on acceptable terms.</w:t>
      </w:r>
    </w:p>
    <w:p>
      <w:pPr>
        <w:spacing w:after="0" w:line="70" w:lineRule="exact"/>
        <w:rPr>
          <w:sz w:val="20"/>
          <w:szCs w:val="20"/>
          <w:color w:val="auto"/>
        </w:rPr>
      </w:pPr>
    </w:p>
    <w:p>
      <w:pPr>
        <w:jc w:val="both"/>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At the closing of the Eldorado Transaction, a right of first refusal that we have with respect to the Centaur Properties will terminate and we will enter into a put/call agreement with Eldorado, whereby (i) we will have the right to acquire all of the land and real estate assets associated with two gaming facilities in Indiana currently owned by Caesars - Harrah’s Hoosier Park and Indiana Grand (together the “Centaur Properties”) at a price equal to 13.0x the initial annual rent of each facility, and to simultaneously lease back each such property to a subsidiary of Eldorado for initial annual rent equal to the property’s trailing four quarters EBITDA at the time of acquisition divided by 1.3 (i.e., the initial annual rent will be set at 1.3x rent coverage) and (ii) Eldorado will have the right to require us to acquire the Centaur Properties at a price equal to 12.5x the initial annual rent of each facility, and to simultaneously lease back each such Centaur Property to a subsidiary of Eldorado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We will also enter into the Las Vegas ROFR (as defined and described below in </w:t>
      </w:r>
      <w:hyperlink w:anchor="page56">
        <w:r>
          <w:rPr>
            <w:rFonts w:ascii="Arial" w:cs="Arial" w:eastAsia="Arial" w:hAnsi="Arial"/>
            <w:sz w:val="17"/>
            <w:szCs w:val="17"/>
            <w:u w:val="single" w:color="auto"/>
            <w:color w:val="0000EE"/>
          </w:rPr>
          <w:t>Item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under “Management’s Discussion and Analysis-Eldorado Transaction-Las Vegas Strip Assets ROFR”) and the Horseshoe Baltimore ROFR (as defined and described below in </w:t>
      </w:r>
      <w:hyperlink w:anchor="page56">
        <w:r>
          <w:rPr>
            <w:rFonts w:ascii="Arial" w:cs="Arial" w:eastAsia="Arial" w:hAnsi="Arial"/>
            <w:sz w:val="17"/>
            <w:szCs w:val="17"/>
            <w:u w:val="single" w:color="auto"/>
            <w:color w:val="0000EE"/>
          </w:rPr>
          <w:t>Item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under “Management’s Discussion and Analysis-Eldorado Transaction- Horseshoe Baltimore ROFR”) with respect to certain Las Vegas Strip assets and the Horseshoe Baltimore gaming facility, respectively. Eldorado will make an independent financial decision regarding whether to trigger the rights and obligations under the various agreements, as applicable, and we will make an independent financial decision whether to purchase the properties. In addition, in order to exercise these rights,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Even if financing with acceptable terms is available to us, there can be no assurance that we will exercise any of these rights.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tenant or guarantor could result in the termination of the Lease Agreements and the related guarantees and material losses to us.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subject to the credit risk of our tenants. We cannot assure you that our tenants will not default on their leases and fail to make rental payments to us. In particular, disruptions in the financial and credit markets, local economic conditions and other factors affecting the gaming industry may affect our tenants’ ability to obtain financing to operate their businesses or continue to profitability execute their business plans. This, in turn, may cause our tenants to be unable to meet their financial obligations, including making rental payments to us, which may result in their bankruptcy or insolvency. In the event of a bankruptcy of Caesars, CRC, (or, after the completion of the Eldorado Transaction, Eldorado) Penn National, Hard Rock, Century Casinos or JACK Entertainment, any claim for damages under the applicable guarantee may not be paid in full. Furthermore, although the tenants’ performance and payments under the Caesars Lease Agreements are guaranteed by Caesars or CRC (or, after the completion of the Eldorado Transaction, Eldorado), as the case may be, a default by the applicable tenant under the Caesars Lease Agreements, or by the applicable guarantor with regard to its guarantee, may cause a default under certain circumstances with regard to the entire portfolio covered by the Caesars Lease Agreements. In event of a bankruptcy, there can be no assurances that the tenants or the applicable guarantor would assume the Caesars Lease Agreements or the related guarantees, and if the Caesars Lease Agreements or guarantees were rejected, the tenant or the guarantors, as applicable, may not have sufficient funds to pay the damages that would be owed to us a result of the rejection and we might not be able to find a replacement tenant on the same or better terms. For these and other reasons, the bankruptcy of one or more tenants, Caesars, CRC (or, after the completion of the Eldorado Transaction, Eldorado), Penn National, Hard Rock, Century Casinos or JACK Entertainment would have a material adverse effect on our business, financial condition, liquidity,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investments in, and acquisitions of, additional properties may be unsuccessful or fail to meet our expectations.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to the extent applicable, in combining our operations if such a transaction is completed.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operate in a highly competitive industry and face competition from other REITs, investment companies, private equity and hedge fund investors, sovereign funds, lenders, gaming companies and other investors, some of whom are significantly larger and have greater resources, access to capital and lower costs of capital. Increased competition will make it more challenging to identify and successfully capitalize on acquisition opportunities that meet our investment objectives. If we cannot identify and purchase a sufficient quantity of gaming properties and other experiential properties at favorable prices or if we are unable to finance acquisitions on commercially favorable terms, our business, financial condition, liquidity,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and acquisitions of gaming properties and other experiential properties we might seek to acquire entail risks associated with real estate investments generally, including that the investment’s performance will fail to meet expectations, that the cost estimates for necessary property improvements will prove inaccurate or the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even if we were able to acquire additional properties in the future, there is no guarantee that such properties would be able to maintain their historical performance, which may prevent the ability of our tenants to pay the partial or total amount of the required lease payments under the respective Lease Agreements. In addition, our financing of these acquisitions could negatively impact our cash flows and liquidity, require us to incur substantial debt or involve the issuance of substantial new equity, which would be dilutive to existing stockholders. We have a substantial amount of indebtedness outstanding, which may affect our ability to pay distributions, may expose us to interest rate fluctuation risk and may expose us to the risk of default under our debt obligations. In addition, we cannot assure you that we will be successful in implementing our business and growth strategies or that any expansion will improve operating results. The failure to identify and acquire new properties effectively, or the failure of any acquired properties to perform as expected, could have a material adverse effect on our business, financial condition, liquidity, results of operations and prospects and our ability to make distributions to our stockholders.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sell or divest different properties or assets after an evaluation of our portfolio of businesses. Such sales or divestitures would affect our costs, revenues, results of operations, financial condition and liquidity.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evaluate our properties and may, as a result, sell or attempt to sell, divest, or spin-off different properties or assets, subject to the terms of the Lease Agreements. These sales or divestitures would affect our costs, revenues, results of operations, financial condition, liquidity and our ability to comply with financial covenants. Divestitures have inherent risks, including possible delays in closing transactions (including potential difficulties in obtaining regulatory approvals), the risk of lower-than-expected sales proceeds for the divested businesses, and potential post-closing claims for indemnification. In addition, current economic conditions at the time and relatively illiquid real estate markets may result in fewer potential bidders and unsuccessful sales efforts.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are subject to risks from natural disasters such as earthquakes, hurricanes, severe weather and terrorism.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properties are located in areas that may be subject to natural disasters, such as earthquakes, and extreme weather conditions, including, but not limited to, hurricanes. Such natural disasters or extreme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or other cause of water shortage. A severe drought of extensive duration experienced in Las Vegas or in the other regions in which we operate could adversely affect the business and financial results at our properties. Although the tenants are required to maintain both property and business interruption insurance coverage, such coverage is subject to deductibles and limits on maximum benefits, including limitation on the coverage period for business interruption, and we cannot assure you that we or the tenants will be able to fully insure such losses or fully collect, if at all, on claims resulting from such natural disasters. While the Lease Agreements require, and new lease agreements are expected to require, that comprehensive insurance and hazard insurance be maintained by the tenants,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Terrorist attacks or other acts of violence may result in declining economic activity, which could harm the demand for goods and services offered by our tenants and the value of our properties and might adversely affect the value of an investment in our common stock. Such a resulting decrease in retail demand could make it difficult for us to renew or re-lease our properties to suitable, credit-worthy tenants at lease rates equal to or above historical rates. Terrorist activities or violence also could directly affect the value of our properties through damage, destruction or loss, and the availability of insurance for such acts, or of insurance generally, might be lower or cost more, which could increase our operating expenses and adversely affect our results of operations and cash flows. To the extent that any of our tenants is affected by future terrorist attacks or violence, its business similarly could be adversely affected, including the ability of our tenants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Non-CPLV Lease Agreement allows the tenant to remove a property from the Non-CPLV Lease Agreement and each of our Lease Agreements (excluding the Non-CPLV Lease Agreement) may be terminated by the applicable tenant if: (i) a casualty event occurs (a) in the case of the Non-CPLV Lease Agreement, the CPLV Lease Agreement, the Joliet Lease Agreement and the HLV Lease Agreement, during the final two years of the term and</w:t>
      </w:r>
    </w:p>
    <w:p>
      <w:pPr>
        <w:jc w:val="both"/>
        <w:ind w:firstLine="8"/>
        <w:spacing w:after="0" w:line="266" w:lineRule="auto"/>
        <w:tabs>
          <w:tab w:leader="none" w:pos="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case of the Hard Rock Cincinnati Lease Agreement, the Century Portfolio Lease Agreement and the JACK Cleveland/Thistledown Lease Agreement, the final year of the term, and (ii) the cost to rebuild or restore the applicable property in connection with a casualty event exceeds 25% (or, in the case of the Century Portfolio Lease Agreement, 50%) of such property’s total property fair market value. Similarly, if a condemnation event occurs that renders a facility unsuitable for its primary intended use, the applicable tenants may remove the property from the Non-CPLV Lease Agreement and may terminate the CPLV Lease Agreement, the Joliet Lease Agreement, the HLV Lease Agreement, the Hard Rock Cincinnati Lease Agreement, the Century Portfolio Lease Agreement or the JACK Cleveland/Thistledown Lease Agreement, as the case may be. The Penn National Lease Agreements allows the tenants to terminate their respective leases during the final year of the lease term if 50% or more of the square feet of the improvements are destroyed by a casualty event such that the improvements are rendered substantially untenantable. If a condemnation event occurs that renders Margaritaville or Greektown reasonably uneconomical for the operation of the improvements thereon on a commercially practicable basis for their permitted use as rentable facilities capable of producing a fair and reasonable net income therefrom, the tenant may terminate the Margaritaville Lease Agreement or the Greektown Lease Agreement, respectively. If a property is removed from the Non-CPLV Lease Agreement or if the CPLV Lease Agreement, the Joliet Lease Agreement, the HLV Lease Agreement, the Penn National Lease Agreements, the Hard Rock Cincinnati Lease Agreement, the Century Portfolio Lease Agreement or the JACK Thistledown/Cleveland Lease Agreement, as the case may be, is terminated, we will lose the rent associated with the related facility, which would have a negative impact on our financial results. In this event, following termination of the lease of a property, even if we are able to restore the affected property, we could be limited to selling or leasing such property to a new tenant in order to obtain an alternate source of revenue, which may not happen on comparable terms or at all.</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building and/or zoning laws may require us to update a property in the event of recapture or prevent us from fully restoring a property in the event of a substantial casualty loss and/or require us to meet additional or more stringent construction requirements.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changes, among other things, in applicable building and zoning laws, ordinances and codes that may affect certain of our properties that have come into effect after the initial construction of the properties, certain properties may not comply fully with current building and/or zoning laws, including electrical, fire, health and safety codes and regulations, use, lot coverage, parking and setback requirements, but may qualify as permitted non-conforming uses. Although the Lease Agreements require our tenants to pay for and ensure continued compliance with applicable law, there is no assurance that future leases will be negotiated on the same basis or that our tenants will make any changes required by the terms of the Lease Agreements and/or any future leases we may enter into. In addition, such changes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 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properties are subject to restrictions pursuant to reciprocal easement agreements, operating agreements or similar agreements.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properties that we own are, and properties that we may acquire in the future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space to third parties. Such property restrictions could include the following: limitations on alterations, changes, expansions, or reconfiguration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properties; limitations on use of properties; limitations affecting parking requirements; or restrictions on exterior or interior signage or facades. In certain cases, consent of the other party or parties to such agreements may be required when altering, reconfiguring, expanding or redeveloping. Failure to secure such consents when necessary may harm our ability to execute leasing strategies, which could adversely affect 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key personnel could have a material adverse effect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We do not have key man or similar life insurance policies covering members of our senior management. We have employment agreements with our executive officers, but these agreements do not guarantee that any given executive will remain with us, and there can be no assurance that any such officers will remain with us. The appointment or replacement of certain key members of our executive management team is subject to regulatory approvals based upon suitability determinations by gaming regulatory authorities in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under the Lease Agreements the tenants are required to indemnify us for certain environmental liabilities, including environmental liabilities it causes, the amount of such liabilities could exceed the financial ability of the applicable tenants to indemnify us. In addition, the presence of contamination or the failure to remediate contamination may adversely affect our ability to sell or lease our properties or to borrow using our properties as collateral.</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required to contribute insurance proceeds with respect to casualty events at our properties to the lenders under our debt financing agreements.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we were to receive insurance proceeds with respect to a casualty event at any of our properties, we may be required under the terms of our debt financing agreements to contribute all or a portion of those proceeds to the repayment of such debt, which may prevent us from restoring such properties to their prior state. If the remainder of the proceeds (after any such required repayment) were insufficient to make the repairs necessary to restore the damaged properties to a condition substantially equivalent to its state immediately prior to the casualty, we may not have sufficient liquidity to otherwise fund these repairs and may be required to obtain additional financing, which could materially and adversely affect our business, financial condition, liquidity, results of operations and prospects.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integrated internal controls, we may not be able to report our financial results accurately, which could have a material adverse effect on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reporting company, we are required to develop and implement substantial control systems, policies and procedures in order to satisfy our periodic SEC reporting requirements. We cannot assure you that we will be able to successfully develop and implement these systems, policies and procedures and to operate our company or that any such development and implementation will be effective. Failure to do so could jeopardize our status as a REIT or as a reporting company, and the loss of such statuses would materially and adversely affect us. If we fail to develop, implement or maintain proper overall business controls, including as required to support our growth, our operating and financial results could be harmed, or we could fail to meet our reporting obligations. In addition, the existence of a material weakness or significant deficiency could result in errors in our financial statements that could require a restatement, cause us to fail to meet our SEC reporting obligations and cause investors to lose confidence in our reported financial information, which could have a material adverse effect on us and on the market price of our common stock.</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cyber-intrusions or otherwise, as well as other significant disruptions of our information technology (IT) networks and related systems.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face risks associated with security breaches, whether through cyber-attacks or cyber-intrusions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 Any or all of the foregoing could have a material adverse effect on our financial condition, results of operations, cash flow and ability to make distributions with respect to, and the market price of, our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adversely affect our business.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Climate change, including rising sea levels, extreme weather and changes in precipitation and temperature, may result in physical damage to, a decrease in demand for and/or a decrease in rent from and value of our properties located in the areas affected by these conditions. We own a number of assets in low-lying areas close to sea level, making those assets susceptible to a rise in sea level. If sea levels were to rise, we may incur material costs to protect our low-lying assets (to the extent not covered by our tenants under the terms of our leases) or may sustain damage, a decrease in value or total loss of such assets. In addition, climate change may result in reduced economic activity in these areas, which could harm the operations of our tenants and reduce the demand at our properties, which could reduce the rent payable to us under our triple-net leases and make it difficult for us to renew or re-lease our properties on favorable lease terms</w:t>
      </w:r>
      <w:r>
        <w:rPr>
          <w:rFonts w:ascii="Arial" w:cs="Arial" w:eastAsia="Arial" w:hAnsi="Arial"/>
          <w:sz w:val="16"/>
          <w:szCs w:val="16"/>
          <w:b w:val="1"/>
          <w:bCs w:val="1"/>
          <w:color w:val="auto"/>
        </w:rPr>
        <w:t>.</w:t>
      </w:r>
      <w:r>
        <w:rPr>
          <w:rFonts w:ascii="Arial" w:cs="Arial" w:eastAsia="Arial" w:hAnsi="Arial"/>
          <w:sz w:val="16"/>
          <w:szCs w:val="16"/>
          <w:color w:val="auto"/>
        </w:rPr>
        <w:t xml:space="preserve"> Furthermore, our insurance premiums may increase as a result of the threat of climate change or the effects of climate change may not be covered by our insurance policies. In addition, changes in federal and state legislation and regulations on climate change could result in increased capital expenditures to improve the energy efficiency of our existing properties or other related aspects of our properties in order to comply with such regulations or otherwise adapt to climate change. Any of the above could have a material and adverse effect on us.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IRS issued a private letter ruling with respect to certain issues relevant to our separation from CEOC,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IRS ruling and the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reorganization fails to qualify for tax-free treatment, in general, CEOC would be subject to tax as if it had sold our assets to us in a taxable sale for their fair market value, and CEOC’s creditors who received shares of our common stock pursuant to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Plan of Reorganization would be subject to tax as if they had received a taxable distribution in respect of their claims equal to the fair market value of such shares.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or maintain our qualification as a REIT.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elected to be taxed as a REIT for U.S. Federal income tax purposes commencing with our taxable year ended December 31, 2017 and expect to operate in a manner that will allow us to continue to be classified as such.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or otherwise minimize current entity level U.S. Federal income taxes, a substantial portion of our cash flow after operating expenses and debt service will be required to be distributed to our stockholders.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were to fail to qualify as a REIT in any taxable year, we would be subject to U.S. Federal income tax on our taxable income at regular corporate rates, and dividends paid to our stockholders would not be deductible by us in computing our REIT taxable income. Any resulting corporate tax liability could be substantial and would reduce the amount of cash available for distribution to our stockholders, which in turn could have an adverse impact on the market price of our common stock. Unless we were entitled to relief under certain Code provisions, we also would be disqualified from re-electing to be taxed as a REIT for the four taxable years following the year in which we failed to qualify as a REIT. As a result, the amount available for distribution to holders of equity securities that would otherwise receive dividends would be reduced for the year or years involved. Furthermore, the U.S. Federal income tax consequences of distributions and sales of our shares to certain of our stockholders could be adversely impacted if we were to fail to qualify as a REIT.</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our qualification to be taxed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 Any failure to qualify to be taxed as a REIT, or failure to remain to be qualified to be taxed as a REIT, would have a material and adverse effect on us.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Qualification to be taxed as a REIT involves highly technical and complex provisions of the Code, and violations of these provisions could jeopardize our REIT qualification.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the form of our own common stock, in which case stockholders may be required to pay income taxes in excess of the cash dividends they receive.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to which non-corporate stockholders will generally be eligible for a deduction equal to 20% of such distributions. As a result, stockholders receiving dividends in the form of common stock may be required to pay income taxes with respect to such dividends in excess of the cash 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 such case, a U.S. stockholder could have a capital loss with respect to the common stock sold that could not be used to offset such dividend income. Moreover, with respect to certain non-U.S. stockholders, we may be required to withhold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income tax with respect to such dividends, including in respect of all or a portion of such dividend that is payable in common stock. Furthermore, such a taxable share dividend could be viewed as 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the U.S. Federal income tax laws, including the recent enactment of certain tax reform measures, could have a material and adverse effect on 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income tax laws governing REITs and other corporations and the administrative interpretations of those laws may be amended at any time, potentially with retroactive effect. We cannot predict whether, when or to what extent new U.S. federal tax laws, regulations, interpretations or rulings will be issued. Prospective investors are urged to consult their tax advisors regarding the effect of potential changes to the U.S. Federal tax laws on an investment in our common stock.</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to the U.S. federal income tax laws could have a material and adverse effect on us. For example, certain changes in law pursuant to the law known as the Tax Cuts and Jobs Act could reduce the relative competitive advantage of operating as a REIT as compared with operating as a C corporation, including by:</w:t>
      </w:r>
    </w:p>
    <w:p>
      <w:pPr>
        <w:spacing w:after="0" w:line="127"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the rate of tax applicable to individuals and C corporations, which could reduce the relative attractiveness of the generally single level of taxation on REIT distributions;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permitting immediate expensing of capital expenditures, which could likewise reduce the relative attractiveness of the REIT taxation regime; and</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deductibility of interest expense, which could increase the distribution requirement of REITs (though REITs can generally elect out of the limitation).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to be taxed as a REIT if income we receive from our tenants is not treated as qualifying income.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applicable provisions of the Code, we will not be treated as a REIT unless we satisfy various requirements, including requirements relating to the sources of our gross income. Rents received or accrued by us from our tenants will not be treated as qualifying rent for purposes of these requirements if the leases are not respected as true leases for U.S. federal income tax purposes and instead are treated as service contracts, joint ventures, financings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subject to certain exceptions, rents received or accrued by us from any tenant (or affiliated tenants) will not be treated as qualifying rent for purposes of these requirements if we or an actual or constructive owner of 10% or more of our stock actually or constructively owns 10% or more of the total combined voting power of all classes of such tenant’s stock entitled to vote or 10% or more of the total value of all classes of such tenant’s stock. Our charter provides restrictions on ownership and transfer of our shares of stock, including restrictions on such ownership or transfer that would cause the rents received or accrued by us from tenants to be treated as non-qualifying rent for purposes of the REIT gross income requirements. Nevertheless, there can be no assurance that such restrictions will be effective in ensuring that rents received or accrued by us from tenants will not be treated as qualifying rent for purposes of REIT qualification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our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taxable REIT subsidiary of ours). We may generate taxable income greater than our income for financial reporting purposes prepared in accordance with GAAP.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9"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 the form of shares of our common stock to make distributions sufficient to enable us to pay out enough of our REIT taxable income to satisfy the REIT distribution requirement and to avoid or otherwise minimize corporate income tax and the 4% excise tax in a particular year. These alternatives could increase our costs or change the value of our equity. Thus, compliance with the REIT requirements may hinder our ability to grow, which could adversely affect the market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qualify as a REIT, we may face other tax liabilities that reduce our cash flow.</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us to liquidate or forgo otherwise attractive opportunities and limit our expansion opportunities.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qualify as a REIT for U.S. federal income tax purposes, we must continually satisfy tests concerning, among other things, our sources of income, the nature of our investments in real estate and related assets, the amounts we distribute to our stockholders and the ownership of our stock. We may also be required to make distributions to stockholders at disadvantageous times or when we do not have funds readily available for distribution.</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20% of the value of our total assets can be represented by securities of one or more taxable REIT subsidiaries. In addition, not more than 25% of our total assets may be represented by debt instruments issued by publicly offered REITs that are “nonqualified” debt instruments.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portfolio, or contribute to a taxable REIT subsidiary, or forgo otherwise attractive investments in order to maintain our qualification as a REIT.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built-in gains tax on the disposition of certain of our properties.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acquire certain properties in tax-deferred transactions, which properties were held by one or more C corporations before they were held by us, we may be subject to a built-in gain tax on future disposition of such properties. This is the case with respect to all or substantially all of the properties acquired from CEOC pursuant to the formation transactions as well as certain other properties we have acquired and may acquire in the future.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tax under the built-in-gains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built-in-gain recognition period in order to avoid this built-in-gain tax. However, there can be no assurance that such a taxable transaction will not occur. The amount of any such built-in-gain tax could be material and the resulting tax liability could have a negative effect on our cash flow and limit our ability to pay distributions required to qualify and maintain our status as a REIT.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pay a purging distribution, if any, in common stock and cash.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qualify as a REIT, we must distribute any “earnings and profits,” as defined in the Code, accumulated by us during any period for which we did not qualify as a REIT or by any entity whose accumulated earnings and profits we acquire during any period for which such entity did not qualify as a REIT. Such distribution requirement applied to any earnings and profits that were allocated from CEOC to us in connection with the formation transactions by the end of the first taxable year in which we elected REIT status. Based on our analysis, we do not believe that any earnings and profits were allocated to us in connection with the formation transactions or any other transaction to which we are party and therefore did not make a purging distribution and do not currently intend to make any purging distribution, with respect to transactions to which we are a party. If we are required to make a purging distribution in the future, we may pay the purging distribution to our stockholders in a combination of cash and shares of our common stock. Each of our stockholders will be permitted to elect to receive the stockholder’s entire entitlement under the purging distribution in either cash or shares of our common stock, subject to a cash limitation. If our stockholders elect to receive a portion of cash in excess of the cash limitation, each such electing stockholder will receive a pro rata portion of cash corresponding to the stockholder’s respective entitlement under the purging distribution declaration. The IRS has issued a revenue procedure that provides that, so long as a REIT complied with certain provisions therein, certain distributions that are paid partly in cash and partly in stock will be treated as taxable dividends that would satisfy the REIT distribution requirements and qualify for the dividends paid deduction for U.S. Federal income tax purposes. In a purging distribution, if any, a stockholder of our common stock will be required to report dividend income equal to the amount of cash and common stock received as a result of the purging distribution even though we may distribute no cash or only nominal amounts of cash to such stockholder.</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cash available for distribution to stockholders may not be sufficient to pay dividends at expected levels, nor can we assure you of our ability to make distributions in the future. We may use borrowed funds to make distributions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dilution or higher leverage.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 federal income tax treatment of the cash that we might receive from cash settlement of Forward Sale Agreements is unclear and could jeopardize our ability to meet the REIT qualification requirements.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we elect to settle the Forward Sale Agreements for cash and the settlement price is below the applicable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a Forward Sale Agreement qualifies as a “securities futures contract,” the U.S. federal income tax treatment of any cash settlement payment we receive is uncertain. In the event that we recognize a significant gain from the cash settlement the Forward Sale Agreements,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we would not qualify as a REIT. Even if these relief provisions were to apply, a tax based on the amount of the relevant REIT’s non-qualifying income would be imposed.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VICI is a holding company with no direct operations and relies on distributions received from the Operating Partnership to make distributions to its stockholders.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VICI is a holding company and conducts its operations through subsidiaries, including the Operating Partnership and VICI Golf. VICI does not have, apart from the units that it owns in the Operating Partnership and VICI Golf, any independent operations. As a result, VICI relies on distributions from its Operating Partnership to make any distributions to its stockholders it might declare on its common stock and to meet any of its obligations, including any tax liability on taxable income allocated to it from the Operating Partnership (which might not be able to make distributions to VICI equal to the tax on such allocated taxable income). In turn, the ability of subsidiaries of the Operating Partnership to make distributions to the Operating Partnership, and therefore, the ability of the Operating Partnership to make distributions to VICI, depends on the operating results of these subsidiaries and the Operating Partnership and on the terms of any financing arrangements they have entered into. In addition, because VICI is a holding company, claims of common stockholders of VICI are structurally subordinated to all existing and future liabilities and other obligations (whether or not for borrowed money) and any preferred equity of the Operating Partnership and its subsidiaries. Therefore, in the event of our bankruptcy, liquidation or reorganization, VICI’s assets and those of the Operating Partnership and its subsidiaries will be available to satisfy the claims of VICI common stockholders only after all of VICI’s, the Operating Partnership’s and its subsidiaries’ liabilities and other obligations and any preferred equity of any of them have been paid in full.</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Partnership may, in connection with its acquisition of additional properties or otherwise, issue additional common units or preferred units to third parties. Such issuances would reduce VICI’s ownership in the Operating Partnership. Because stockholders of VICI do not directly own common units or preferred units of the Operating Partnership, they do not have any voting rights with respect to any such issuances or other partnership level activities of the Operating Partnership.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Maryland General Corporation Law (the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to the maximum extent permitted by Maryland law. Under Maryland law, our present directors and officers will not have any liability to us or our stockholders for money damages other than liability resulting from:</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final judgment based upon a finding that his or her action or failure to act was the result of active and deliberate dishonesty by the director or officer and was material to the cause of action adjudicated.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charter provides that we have the power to obligate ourselves, and our amended and restated bylaws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advancement of expenses to the maximum extent permitted by Maryland law. As a result, we and our stockholders may have more limited rights against our directors and officers than might otherwise exist under common law.</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board of directors may change our major corporate policies without stockholder approval and those changes may materially and adversely affect us.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will determine and may eliminate or otherwise change our major corporate policies, including our acquisition, investment, financing, growth, operations and distribution policies. While our stockholders have the power to elect or remove directors, changes in our major corporate policies may be made by our board of directors without stockholder approval and those changes could adversely affect our business, financial condition, liquidity, results of operations and prospects, the market price of our common stock and our ability to make distributions to our stockholders and to satisfy our debt service requirements.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or otherwise terminate our REIT qualification, with stockholder approval, may cause adverse consequences to our stockholders.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charter provides that our board of directors may revoke or otherwise terminate our REIT election, only with the affirmative vote of stockholders entitled to cast a majority of all votes entitled to be cast on the matter, if the board determines that it is no longer in our best interests to continue to qualify as a REIT. If we cease to be a REIT, we would become subject to Federal income tax on our taxable income and would no longer be required to distribute most of our taxable income to our stockholders, which may have adverse consequences on the total return to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and bylaws contain provisions that may delay, defer or prevent an acquisition of our common stock or a change in control.</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16" w:lineRule="exact"/>
        <w:rPr>
          <w:sz w:val="20"/>
          <w:szCs w:val="20"/>
          <w:color w:val="auto"/>
        </w:rPr>
      </w:pPr>
    </w:p>
    <w:p>
      <w:pPr>
        <w:ind w:left="140" w:hanging="105"/>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Our charter contains restrictions on the ownership and transfer of our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was granted to certain stockholders, and our board may in the future provide exceptions to the ownership limit for other stockholders, subject to certain initial and ongoing conditions designed to protect our status as a REIT.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Our board of directors has the power to cause us to issue and authorize additional shares of our capital stock without stockholder approval.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may limit the ability of a third party to acquire control of us.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spacing w:after="0" w:line="16"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 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spacing w:after="0" w:line="193"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 exempting from the Maryland Control Share Acquisition Act any and all acquisitions by any person of shares of our stock. There can be no assurance that any of these provisions of our charter or bylaws will not be amended or eliminated at any time in the future.</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shares of our common stock may be volatile.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may be volatile.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assure you that the market price of our common stock will not fluctuate or decline significantly in the future. If the market price of our common stock declines, you may be unable to sell your shares.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factors, many of which are beyond our control, that could negatively affect the market price of our common stock or result in fluctuations in the price or trading volume of our common stock include:</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 or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earnings, Funds From Operations (“FFO”) or Adjusted Funds From Operations (“AFFO”) estimates;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publication of research reports about us, our tenants or the real estate or gaming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developments involving our tenants;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interest rates that may cause purchasers of our shares to demand a different yield;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reaction to any additional capital we raise in the future, including availability and attractiveness of long-term debt financing in connection with future acquisitions;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achieve the anticipated benefits of our recently completed or pending acquisitions within the timeframe or to the extent anticipated by financial or industry analysts;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reaction to any other of our public announcements;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potential sales of our common stock by us or our significant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actions by institutional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about us, our tenants, our industry or the economy in general;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 and operations or the gaming industry;</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of any of the other risk factors presented in this Annual Report on Form 10-K or our other SEC filings;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acts of terrorism and responses to such events.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increase in market interest rates could cause potential investors to seek higher returns and therefore reduce demand for our common stock and result in a decline in our share price.</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One of the factors that may influence the market price of shares of our common stock is the yield of our shares (i.e., the annualized distributions per share of our common stock as a percentage of the market price per share of our common stock) relative to market interest rates. An increase in market interest rates, which are currently at low levels relative to historical rates, may lead prospective purchasers of our common stock to expect a higher yield which may result in a decline in the market price of our common stock. Higher interest rates would likely increase our borrowing costs and potentially decrease our cash available for distribution. Thus, higher market interest rates could also cause the market price of shares of our common stock to decline.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future, we may attempt to increase our capital resources by incurring additional debt, including medium-term notes, trust preferred securities and senior or subordinated notes, or issuing preferred shares. If a liquidation event were to occur, holders of our debt securities and preferred shares and lenders with respect to other borrowings will receive distributions of our available assets prior to the holders of our shares of common stock. In addition, our preferred stock, if issued, would likely limit our ability to make liquidating or other distributions to the holders of shares of our common stock under certain circumstances. Any future common stock offerings may dilute the holdings of our existing stockholders or reduce the market price of our common stock, or both. Holders of shares of our common stock are not entitled to preemptive rights or other protections against dilution. Since our decision to issue debt securities, incur other forms of indebtedness or to issue additional common stock or preferred stock in the future will depend on market conditions and other factors beyond our control, we cannot predict or estimate the amount, timing, nature or success of our future offerings.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shares available for future sale could adversely affect the market price of shares of our common stock.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whether future issuances of our shares or the availability of shares of our common stock for resale in the open market will decrease the market price per share of shares of our common stock. Sales of a substantial number of shares of our common stock in the public market, or the perception that such sales might occur, could adversely affect the market price of shares of our common stock. If any of our stockholders cause, or there is a perception that they may cause, a large number of their shares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to be sold in the public market, the sales could reduce the market price of shares of our common stock and could impede our ability to raise future capital.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cash distributions could affect the market price of shares of our common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may trade at prices that are higher or lower than the net asset value per share. To the extent that we retain operating cash flow for investment purposes, working capital reserves or other purposes rather than distributing the cash flows to stockholders, these retained funds, while increasing the value of our underlying assets, may negatively impact the market price of shares of our common stock. Our failure to meet market expectations with regard to future earnings and cash distributions could adversely affect the market price of shares of our common stock.</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contained in the Forward Sale Agreements could result in substantial dilution to our earnings per share or result in substantial cash payment obligations.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forward purchasers under the Forward Sale Agreements will have the right to accelerate the Forward Sale Agreements (with respect to all or any portion of the transaction under the Forward Sale Agreements that the forward purchasers determine is affected by an event described below) and require us to settle on a date specified by the forward purchasers if:</w:t>
      </w:r>
    </w:p>
    <w:p>
      <w:pPr>
        <w:spacing w:after="0" w:line="181" w:lineRule="exact"/>
        <w:rPr>
          <w:sz w:val="20"/>
          <w:szCs w:val="20"/>
          <w:color w:val="auto"/>
        </w:rPr>
      </w:pPr>
    </w:p>
    <w:p>
      <w:pPr>
        <w:jc w:val="both"/>
        <w:ind w:left="66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they or their affiliate (x) is unable in its commercially reasonable good faith judgment to hedge its exposure under the applicable Forward Sale Agreements because insufficient shares of common stock have been made available for borrowing by securities lenders or (y) would incur a stock loan cost in excess of a specified threshold to hedge its exposure under the applicable Forward Sale Agreement;</w:t>
      </w:r>
    </w:p>
    <w:p>
      <w:pPr>
        <w:spacing w:after="0" w:line="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declare any dividend, issue or distribution on our common stock (x) payable in cash in excess of specified amounts, (y) payable in securities of another company that we acquire or own (directly or indirectly) as a result of a spin-off or similar transaction or (z) payable in any other type of securities (other than our common stock), rights, warrants or other assets for payment at less than the prevailing market price;</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ownership thresholds applicable to the forward purchasers and their respective affiliates are exceeded;</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event (x) is announced that, if consummated, would result in a specified extraordinary event (including certain mergers or tender offers, as well as certain events involving our nationalization, or insolvency, or a delisting of our common shares) or (y) occurs that would constitute a delisting or change in law; or</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other events of default or termination events occur, including, among others, any material misrepresentation made in connection with the Forward Sale Agreements or our insolvency (each as more fully described in the Forward Sale Agreements).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forward purchaser’s decision to exercise its right to accelerate the settlement of its Forward Sale Agreement will be made irrespective of our interests, including our need for capital. In such cases, we could be required to issue and deliver shares of common stock under the physical settlement provisions of the applicable Forward Sale Agreement, which would result in dilution to our earnings per share.</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physically settle the Forward Sale Agreements and receive proceeds from the sale of those shares of our common stock upon one or more forward settlement dates no later than September 26, 2020. However, the Forward Sale Agreements may be settled earlier in whole or in part at our option. Subject to certain conditions, we have the right to elect physical, cash or net share settlement under the Forward Sale Agreements at any time and from time to time, in part or in full. The Forward Sale Agreements will be physically settled by delivery of shares of our common stock, unless we elect to cash settle or net share settle the Forward Sale Agreements. Delivery of shares of our common stock upon physical settlement (or, if we elect net share settlement, upon such settlement to the extent we are obligated to deliver shares of our common stock) will result in dilution to our earnings per share.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elect cash settlement or net share settlement with respect to all or a portion of the shares of common stock underlying a Forward Sale Agreement, we expect the applicable forward purchaser (or its affiliate) to purchase a number of shares of our common stock in secondary market transactions over an unwind period to:</w:t>
      </w:r>
    </w:p>
    <w:p>
      <w:pPr>
        <w:spacing w:after="0" w:line="127" w:lineRule="exact"/>
        <w:rPr>
          <w:sz w:val="20"/>
          <w:szCs w:val="20"/>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return shares of our common stock to securities lenders in order to unwind its hedge (after taking into consideration any shares of our common stock to be delivered by us to such forward purchaser, in the case of net share settlement);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shares of common stock to us to the extent required in settlement of such Forward Sale Agreements.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of shares of our common stock in connection with the forward purchasers or their respective affiliates unwinding their hedge positions could cause the price of shares of our common stock to increase over such time (or reduce the amount of a decrease over such time), thereby increasing the amount of cash we would be required to pay to the forward purchasers (or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7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decreasing the amount of cash that the forward purchasers would be required to pay us) upon a cash settlement of the Forward Sale Agreements or increasing the number of shares of common stock we would be required to deliver to the forward purchasers (or decreasing the number of shares of common stock that the forward purchasers would be required to deliver to us) upon net share settlement of the Forward Sale Agreements.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forward sale price that we expect to receive upon physical settlement of the Forward Sale Agreements will be subject to adjustment on a daily basis based on a floating interest rate factor determined by reference to a specified daily rate less a spread and will be decreased by amounts related to expected dividends on our common stock during the term of the Forward Sale Agreements. If the specified daily rate is less than the spread on any day, the interest rate factor will result in a reduction of the applicable forward sale price for that day. As of December 31, 2019, the specified daily rate was greater than the spread but we can give no assurance that this rate will not decrease to a rate below the spread during the term of the Forward Sale Agreements (which would reduce the proceeds that we would receive upon settlement of the Forward Sale Agreements). If the prevailing market price for our common stock during the unwind period under a Forward Sale Agreement is above the applicable forward sale price, in the case of cash settlement, we would pay the applicable forward purchaser under the applicable Forward Sale Agreement an amount per share in cash equal to the difference or, in the case of net share settlement, we would deliver to the applicable forward purchaser a number of shares of common stock having a value equal to the difference. Thus, we could be responsible for a potentially substantial cash payment in the case of cash settlement.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case of our bankruptcy or insolvency, the Forward Sale Agreements would automatically terminate, and we would not receive the expected proceeds from the sale of common stock under such agreements.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institute,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the Forward Sale Agreements will automatically terminate. If the Forward Sale Agreements so terminate, we would not be obligated to deliver to the forward purchasers any shares of common stock not previously delivered, and the forward purchasers would be discharged from their obligation to pay the forward sale price per share in respect of any shares of common stock not previously settled. Therefore, to the extent that there are any shares of common stock with respect to which the Forward Sale Agreements have not been settled at the time of the commencement of any such bankruptcy or insolvency proceedings, we would not receive the forward sale price per share in respect of those shares of common stock.</w:t>
      </w:r>
    </w:p>
    <w:p>
      <w:pPr>
        <w:spacing w:after="0" w:line="368"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geographically diverse portfolio consists of 28 market-leading properties that are leased to Caesars, Penn National, Hard Rock, Century Casinos and JACK Entertainment, including Caesars Palace Las Vegas and Harrah’s Las Vegas, two of the most iconic entertainment facilities on the Las Vegas Strip, approximately 34 acres of undeveloped or underdeveloped land on and adjacent to the Las Vegas Strip that is leased to Caesars and four championship golf courses located near certain of our properties, two of which are in close proximity to the Las Vegas Strip.</w:t>
      </w:r>
    </w:p>
    <w:p>
      <w:pPr>
        <w:spacing w:after="0" w:line="11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All of our properties, except for Margaritaville, our Harrah’s Joliet property in Joliet Illinois and our golf courses, secure our Term Loan B and Revolving Credit Facility. See </w:t>
      </w:r>
      <w:hyperlink w:anchor="page115">
        <w:r>
          <w:rPr>
            <w:rFonts w:ascii="Arial" w:cs="Arial" w:eastAsia="Arial" w:hAnsi="Arial"/>
            <w:sz w:val="18"/>
            <w:szCs w:val="18"/>
            <w:u w:val="single" w:color="auto"/>
            <w:color w:val="0000EE"/>
          </w:rPr>
          <w:t>Note 7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additional information.</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3">
        <w:r>
          <w:rPr>
            <w:rFonts w:ascii="Arial" w:cs="Arial" w:eastAsia="Arial" w:hAnsi="Arial"/>
            <w:sz w:val="18"/>
            <w:szCs w:val="18"/>
            <w:u w:val="single" w:color="auto"/>
            <w:color w:val="0000EE"/>
          </w:rPr>
          <w:t>Item 1 “Business-Our Properties”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pertaining to our properties.</w:t>
      </w:r>
    </w:p>
    <w:p>
      <w:pPr>
        <w:spacing w:after="0" w:line="32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2019, we are not subject to any litigation that we believe could have, individually or in the aggregate, a material adverse effect on our business, financial condition or results of operations, liquidity or cash flows.</w:t>
      </w:r>
    </w:p>
    <w:p>
      <w:pPr>
        <w:spacing w:after="0" w:line="33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9"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314" w:lineRule="exact"/>
        <w:rPr>
          <w:sz w:val="20"/>
          <w:szCs w:val="20"/>
          <w:color w:val="auto"/>
        </w:rPr>
      </w:pPr>
    </w:p>
    <w:p>
      <w:pPr>
        <w:ind w:left="1640" w:right="40" w:hanging="1606"/>
        <w:spacing w:after="0" w:line="256" w:lineRule="auto"/>
        <w:tabs>
          <w:tab w:leader="none" w:pos="16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Market for the Company’s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2018, in connection with our initial registered public offering, our common stock began trading on the New York Stock Exchange (“NYSE”) under the symbol “VICI.”</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19, 2020, there were 468,491,573 shares of common stock issued and outstanding that were held by approximately 26 stockholders of record, not including beneficial owners of shares registered in nominee or street name.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71"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intend to make regular quarterly distributions to holders of shares of our common stock. We cannot assure you that our estimated distributions will be made or sustained or that our board of directors will not change our distribution policy in the future. Any distributions will be at the sole discretion of our board of directors,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our board of directors deems relevant. For more information regarding risk factors that could materially and adversely affect us and our ability to make cash distributions, see </w:t>
      </w:r>
      <w:hyperlink w:anchor="page26">
        <w:r>
          <w:rPr>
            <w:rFonts w:ascii="Arial" w:cs="Arial" w:eastAsia="Arial" w:hAnsi="Arial"/>
            <w:sz w:val="17"/>
            <w:szCs w:val="17"/>
            <w:u w:val="single" w:color="auto"/>
            <w:color w:val="0000EE"/>
          </w:rPr>
          <w:t>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If our operations do not generate sufficient cash flow to enable us to pay our intended or required distributions, we may be required either to fund distributions from working capital, borrow or raise equity or to reduce such distributions. In addition, our charter allows us to issue preferred stock that could have a preference on distributions and could limit our ability to make distributions to our common stockholders. Additionally, under certain circumstances, agreements relating to our indebtedness could limit our ability to make distributions to our common stockholders.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equity securities during the year ended December 31, 2019.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9"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three months ended December 31, 2019, certain employees surrendered shares of common stock owned by them to satisfy their statutory minimum federal and state income tax obligations associated with the vesting of shares of restricted common stock issued under our stock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 of our common stock repurchases during the fourth quarter of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Total Number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Purchased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Of Shares That</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As Part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Average Price Paid per</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Publicly Announced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 Plans Or</w:t>
            </w:r>
          </w:p>
        </w:tc>
      </w:tr>
      <w:tr>
        <w:trPr>
          <w:trHeight w:val="243"/>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Plans Or Programs</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through October 31, 2019</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8"/>
              </w:rPr>
              <w:t>November 1, 2019 through November 30, 2019</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December 1, 2019 through December 31, 2019</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02"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23"/>
          <w:szCs w:val="23"/>
          <w:color w:val="auto"/>
          <w:vertAlign w:val="superscript"/>
        </w:rPr>
      </w:pPr>
      <w:r>
        <w:rPr>
          <w:rFonts w:ascii="Arial" w:cs="Arial" w:eastAsia="Arial" w:hAnsi="Arial"/>
          <w:sz w:val="13"/>
          <w:szCs w:val="13"/>
          <w:color w:val="auto"/>
        </w:rPr>
        <w:t>The price paid per share is based on the closing price of our common stock as of the date of the determination of the statutory minimum federal income tax.</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Offering of Securities -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9"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graph below matches VICI Properties’ cumulative total stockholder return for the period from October 18, 2017 to December 31, 2019 on common stock with the cumulative total returns of the S&amp;P 500 index and the MSCI US REIT index. The graph tracks the performance of a $100 investment in our common stock and in each index (with the reinvestment of all dividends as required by the SEC) from October 18, 2017 the first date on which our shares of common stock were publicly traded, until December 31, 2019. The return shown on the graph is not necessarily indicative of future performance.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90170</wp:posOffset>
            </wp:positionV>
            <wp:extent cx="5805805" cy="3636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580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 / Index</w:t>
            </w:r>
          </w:p>
        </w:tc>
        <w:tc>
          <w:tcPr>
            <w:tcW w:w="16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10/18/17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12/31/17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6"/>
                <w:szCs w:val="16"/>
                <w:b w:val="1"/>
                <w:bCs w:val="1"/>
                <w:color w:val="auto"/>
                <w:w w:val="93"/>
              </w:rPr>
              <w:t>3/31/18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6/30/18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9/30/18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12/31/18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6"/>
                <w:szCs w:val="16"/>
                <w:b w:val="1"/>
                <w:bCs w:val="1"/>
                <w:color w:val="auto"/>
                <w:w w:val="93"/>
              </w:rPr>
              <w:t>3/31/19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6"/>
                <w:szCs w:val="16"/>
                <w:b w:val="1"/>
                <w:bCs w:val="1"/>
                <w:color w:val="auto"/>
                <w:w w:val="97"/>
              </w:rPr>
              <w:t>6/30/19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6"/>
                <w:szCs w:val="16"/>
                <w:b w:val="1"/>
                <w:bCs w:val="1"/>
                <w:color w:val="auto"/>
                <w:w w:val="97"/>
              </w:rPr>
              <w:t>9/30/19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6"/>
                <w:szCs w:val="16"/>
                <w:b w:val="1"/>
                <w:bCs w:val="1"/>
                <w:color w:val="auto"/>
                <w:w w:val="99"/>
              </w:rPr>
              <w:t>12/31/19</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VICI Properties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138.1</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MSCI US REIT 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109.2</w:t>
            </w: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S&amp;P 500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126.1</w:t>
            </w:r>
          </w:p>
        </w:tc>
      </w:tr>
      <w:tr>
        <w:trPr>
          <w:trHeight w:val="567"/>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192"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selected financial data is derived from our Financial Statements. It should be read in conjunction with the Financial Statements and </w:t>
      </w:r>
      <w:hyperlink w:anchor="page56">
        <w:r>
          <w:rPr>
            <w:rFonts w:ascii="Arial" w:cs="Arial" w:eastAsia="Arial" w:hAnsi="Arial"/>
            <w:sz w:val="18"/>
            <w:szCs w:val="18"/>
            <w:u w:val="single" w:color="auto"/>
            <w:color w:val="0000EE"/>
          </w:rPr>
          <w:t>Item 7</w:t>
        </w:r>
      </w:hyperlink>
      <w:r>
        <w:rPr>
          <w:rFonts w:ascii="Arial" w:cs="Arial" w:eastAsia="Arial" w:hAnsi="Arial"/>
          <w:sz w:val="18"/>
          <w:szCs w:val="18"/>
          <w:color w:val="auto"/>
        </w:rPr>
        <w:t xml:space="preserve"> “Management’s Discussion and Analysis of Financial Condition and Results of Operations” in this Annual Report on Form 10-K.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 Ended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80" w:type="dxa"/>
            <w:vAlign w:val="bottom"/>
            <w:gridSpan w:val="3"/>
            <w:vMerge w:val="continue"/>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vMerge w:val="restart"/>
          </w:tcPr>
          <w:p>
            <w:pPr>
              <w:jc w:val="center"/>
              <w:ind w:right="91"/>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040" w:type="dxa"/>
            <w:vAlign w:val="bottom"/>
            <w:gridSpan w:val="3"/>
          </w:tcPr>
          <w:p>
            <w:pPr>
              <w:ind w:left="40"/>
              <w:spacing w:after="0" w:line="176" w:lineRule="exact"/>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240" w:type="dxa"/>
            <w:vAlign w:val="bottom"/>
          </w:tcPr>
          <w:p>
            <w:pPr>
              <w:spacing w:after="0"/>
              <w:rPr>
                <w:sz w:val="15"/>
                <w:szCs w:val="15"/>
                <w:color w:val="auto"/>
              </w:rPr>
            </w:pPr>
          </w:p>
        </w:tc>
        <w:tc>
          <w:tcPr>
            <w:tcW w:w="1920" w:type="dxa"/>
            <w:vAlign w:val="bottom"/>
            <w:gridSpan w:val="2"/>
          </w:tcPr>
          <w:p>
            <w:pPr>
              <w:ind w:left="140"/>
              <w:spacing w:after="0" w:line="176" w:lineRule="exact"/>
              <w:rPr>
                <w:sz w:val="20"/>
                <w:szCs w:val="20"/>
                <w:color w:val="auto"/>
              </w:rPr>
            </w:pPr>
            <w:r>
              <w:rPr>
                <w:rFonts w:ascii="Arial" w:cs="Arial" w:eastAsia="Arial" w:hAnsi="Arial"/>
                <w:sz w:val="16"/>
                <w:szCs w:val="16"/>
                <w:b w:val="1"/>
                <w:bCs w:val="1"/>
                <w:color w:val="auto"/>
              </w:rPr>
              <w:t>December 31, 2019</w:t>
            </w:r>
          </w:p>
        </w:tc>
        <w:tc>
          <w:tcPr>
            <w:tcW w:w="360" w:type="dxa"/>
            <w:vAlign w:val="bottom"/>
          </w:tcPr>
          <w:p>
            <w:pPr>
              <w:spacing w:after="0"/>
              <w:rPr>
                <w:sz w:val="15"/>
                <w:szCs w:val="15"/>
                <w:color w:val="auto"/>
              </w:rPr>
            </w:pPr>
          </w:p>
        </w:tc>
        <w:tc>
          <w:tcPr>
            <w:tcW w:w="1800" w:type="dxa"/>
            <w:vAlign w:val="bottom"/>
            <w:gridSpan w:val="2"/>
          </w:tcPr>
          <w:p>
            <w:pPr>
              <w:jc w:val="center"/>
              <w:ind w:right="460"/>
              <w:spacing w:after="0" w:line="176" w:lineRule="exact"/>
              <w:rPr>
                <w:sz w:val="20"/>
                <w:szCs w:val="20"/>
                <w:color w:val="auto"/>
              </w:rPr>
            </w:pPr>
            <w:r>
              <w:rPr>
                <w:rFonts w:ascii="Arial" w:cs="Arial" w:eastAsia="Arial" w:hAnsi="Arial"/>
                <w:sz w:val="16"/>
                <w:szCs w:val="16"/>
                <w:b w:val="1"/>
                <w:bCs w:val="1"/>
                <w:color w:val="auto"/>
                <w:w w:val="90"/>
              </w:rPr>
              <w:t>December 31, 2018</w:t>
            </w:r>
          </w:p>
        </w:tc>
        <w:tc>
          <w:tcPr>
            <w:tcW w:w="180" w:type="dxa"/>
            <w:vAlign w:val="bottom"/>
          </w:tcPr>
          <w:p>
            <w:pPr>
              <w:spacing w:after="0"/>
              <w:rPr>
                <w:sz w:val="15"/>
                <w:szCs w:val="15"/>
                <w:color w:val="auto"/>
              </w:rPr>
            </w:pPr>
          </w:p>
        </w:tc>
        <w:tc>
          <w:tcPr>
            <w:tcW w:w="1880" w:type="dxa"/>
            <w:vAlign w:val="bottom"/>
          </w:tcPr>
          <w:p>
            <w:pPr>
              <w:jc w:val="center"/>
              <w:ind w:right="71"/>
              <w:spacing w:after="0" w:line="176" w:lineRule="exact"/>
              <w:rPr>
                <w:sz w:val="20"/>
                <w:szCs w:val="20"/>
                <w:color w:val="auto"/>
              </w:rPr>
            </w:pPr>
            <w:r>
              <w:rPr>
                <w:rFonts w:ascii="Arial" w:cs="Arial" w:eastAsia="Arial" w:hAnsi="Arial"/>
                <w:sz w:val="16"/>
                <w:szCs w:val="16"/>
                <w:b w:val="1"/>
                <w:bCs w:val="1"/>
                <w:color w:val="auto"/>
                <w:w w:val="91"/>
              </w:rPr>
              <w:t>to December 31, 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180" w:type="dxa"/>
            <w:vAlign w:val="bottom"/>
            <w:tcBorders>
              <w:top w:val="single" w:sz="8" w:color="auto"/>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894,798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897,977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187,609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43,413</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842,499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757,954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144,196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42,636</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44,537</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1.1700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0.9975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129,440</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(1,361,379)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(1,140,877)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(1,136,251)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1,148,446</w:t>
            </w: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As of December 31,</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Position Data:</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7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jc w:val="center"/>
              <w:ind w:right="25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577,883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183,646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13,265,619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11,333,368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9,739,712</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4,791,563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4,122,264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4,785,756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84,875</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8,048,989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6,901,022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4,776,364</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w:t>
      </w:r>
    </w:p>
    <w:p>
      <w:pPr>
        <w:spacing w:after="0" w:line="59" w:lineRule="exact"/>
        <w:rPr>
          <w:sz w:val="20"/>
          <w:szCs w:val="20"/>
          <w:color w:val="auto"/>
        </w:rPr>
      </w:pPr>
    </w:p>
    <w:p>
      <w:pPr>
        <w:ind w:left="5620" w:right="4900" w:hanging="5615"/>
        <w:spacing w:after="0" w:line="649" w:lineRule="auto"/>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Represents the period from October 6, 2017, the date of the Company’s Formation, through December 31, 2017</w:t>
      </w:r>
      <w:r>
        <w:rPr>
          <w:rFonts w:ascii="Arial" w:cs="Arial" w:eastAsia="Arial" w:hAnsi="Arial"/>
          <w:sz w:val="14"/>
          <w:szCs w:val="14"/>
          <w:b w:val="1"/>
          <w:bCs w:val="1"/>
          <w:i w:val="1"/>
          <w:iCs w:val="1"/>
          <w:color w:val="auto"/>
        </w:rPr>
        <w:t xml:space="preserve"> </w:t>
      </w:r>
      <w:r>
        <w:rPr>
          <w:rFonts w:ascii="Arial" w:cs="Arial" w:eastAsia="Arial" w:hAnsi="Arial"/>
          <w:sz w:val="18"/>
          <w:szCs w:val="18"/>
          <w:color w:val="auto"/>
        </w:rPr>
        <w:t>52</w:t>
      </w:r>
    </w:p>
    <w:p>
      <w:pPr>
        <w:sectPr>
          <w:pgSz w:w="11900" w:h="16838" w:orient="portrait"/>
          <w:cols w:equalWidth="0" w:num="1">
            <w:col w:w="11420"/>
          </w:cols>
          <w:pgMar w:left="240" w:top="179"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following table sets forth the selected historical combined financial data of Caesars Entertainment Outdoor as our predecessor, the operations of which were contributed to VICI Golf on the Formation Date. These operations are comprised of: (i) the Rio Secco golf course in Henderson, Nevada; (ii) the Cascata golf course in Boulder City, Nevada; (iii) the Grand Bear golf course in Saucier, Mississippi; and (iv) the Chariot Run golf course in Laconia, Indiana. The following selected financial is derived from the historical combined financial statements of Caesars Entertainment Outdoor, our predecessor. It should be read in conjunction with the Financial Statements and </w:t>
      </w:r>
      <w:hyperlink w:anchor="page56">
        <w:r>
          <w:rPr>
            <w:rFonts w:ascii="Arial" w:cs="Arial" w:eastAsia="Arial" w:hAnsi="Arial"/>
            <w:sz w:val="18"/>
            <w:szCs w:val="18"/>
            <w:u w:val="single" w:color="auto"/>
            <w:color w:val="0000EE"/>
          </w:rPr>
          <w:t>Item 7</w:t>
        </w:r>
      </w:hyperlink>
      <w:r>
        <w:rPr>
          <w:rFonts w:ascii="Arial" w:cs="Arial" w:eastAsia="Arial" w:hAnsi="Arial"/>
          <w:sz w:val="18"/>
          <w:szCs w:val="18"/>
          <w:color w:val="auto"/>
        </w:rPr>
        <w:t>, “Management’s Discussion and Analysis of Financial Condition and Results of Operations” in this Annual Report on Form 10-K.</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Period from</w:t>
            </w:r>
          </w:p>
        </w:tc>
        <w:tc>
          <w:tcPr>
            <w:tcW w:w="500" w:type="dxa"/>
            <w:vAlign w:val="bottom"/>
          </w:tcPr>
          <w:p>
            <w:pPr>
              <w:spacing w:after="0"/>
              <w:rPr>
                <w:sz w:val="18"/>
                <w:szCs w:val="18"/>
                <w:color w:val="auto"/>
              </w:rPr>
            </w:pPr>
          </w:p>
        </w:tc>
        <w:tc>
          <w:tcPr>
            <w:tcW w:w="25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2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January 1, 2017 to October</w:t>
            </w:r>
          </w:p>
        </w:tc>
        <w:tc>
          <w:tcPr>
            <w:tcW w:w="5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040" w:type="dxa"/>
            <w:vAlign w:val="bottom"/>
            <w:gridSpan w:val="3"/>
          </w:tcPr>
          <w:p>
            <w:pPr>
              <w:ind w:left="40"/>
              <w:spacing w:after="0" w:line="176" w:lineRule="exact"/>
              <w:rPr>
                <w:sz w:val="20"/>
                <w:szCs w:val="20"/>
                <w:color w:val="auto"/>
              </w:rPr>
            </w:pPr>
            <w:r>
              <w:rPr>
                <w:rFonts w:ascii="Arial" w:cs="Arial" w:eastAsia="Arial" w:hAnsi="Arial"/>
                <w:sz w:val="16"/>
                <w:szCs w:val="16"/>
                <w:b w:val="1"/>
                <w:bCs w:val="1"/>
                <w:i w:val="1"/>
                <w:iCs w:val="1"/>
                <w:color w:val="auto"/>
              </w:rPr>
              <w:t>(In thousand)</w:t>
            </w:r>
          </w:p>
        </w:tc>
        <w:tc>
          <w:tcPr>
            <w:tcW w:w="300" w:type="dxa"/>
            <w:vAlign w:val="bottom"/>
          </w:tcPr>
          <w:p>
            <w:pPr>
              <w:spacing w:after="0"/>
              <w:rPr>
                <w:sz w:val="15"/>
                <w:szCs w:val="15"/>
                <w:color w:val="auto"/>
              </w:rPr>
            </w:pPr>
          </w:p>
        </w:tc>
        <w:tc>
          <w:tcPr>
            <w:tcW w:w="1760" w:type="dxa"/>
            <w:vAlign w:val="bottom"/>
          </w:tcPr>
          <w:p>
            <w:pPr>
              <w:jc w:val="center"/>
              <w:ind w:right="232"/>
              <w:spacing w:after="0" w:line="176" w:lineRule="exact"/>
              <w:rPr>
                <w:sz w:val="20"/>
                <w:szCs w:val="20"/>
                <w:color w:val="auto"/>
              </w:rPr>
            </w:pPr>
            <w:r>
              <w:rPr>
                <w:rFonts w:ascii="Arial" w:cs="Arial" w:eastAsia="Arial" w:hAnsi="Arial"/>
                <w:sz w:val="16"/>
                <w:szCs w:val="16"/>
                <w:b w:val="1"/>
                <w:bCs w:val="1"/>
                <w:color w:val="auto"/>
                <w:w w:val="89"/>
              </w:rPr>
              <w:t>5, 2017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ind w:right="772"/>
              <w:spacing w:after="0" w:line="176" w:lineRule="exact"/>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right"/>
              <w:ind w:right="771"/>
              <w:spacing w:after="0" w:line="176" w:lineRule="exact"/>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3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0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18,778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89"/>
              </w:rPr>
              <w:t>As of</w:t>
            </w:r>
          </w:p>
        </w:tc>
        <w:tc>
          <w:tcPr>
            <w:tcW w:w="500" w:type="dxa"/>
            <w:vAlign w:val="bottom"/>
          </w:tcPr>
          <w:p>
            <w:pPr>
              <w:spacing w:after="0"/>
              <w:rPr>
                <w:sz w:val="24"/>
                <w:szCs w:val="24"/>
                <w:color w:val="auto"/>
              </w:rPr>
            </w:pPr>
          </w:p>
        </w:tc>
        <w:tc>
          <w:tcPr>
            <w:tcW w:w="25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As of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Position Data:</w:t>
            </w:r>
          </w:p>
        </w:tc>
        <w:tc>
          <w:tcPr>
            <w:tcW w:w="30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October 5, 2017</w:t>
            </w:r>
          </w:p>
        </w:tc>
        <w:tc>
          <w:tcPr>
            <w:tcW w:w="500" w:type="dxa"/>
            <w:vAlign w:val="bottom"/>
          </w:tcPr>
          <w:p>
            <w:pPr>
              <w:spacing w:after="0"/>
              <w:rPr>
                <w:sz w:val="20"/>
                <w:szCs w:val="20"/>
                <w:color w:val="auto"/>
              </w:rPr>
            </w:pPr>
          </w:p>
        </w:tc>
        <w:tc>
          <w:tcPr>
            <w:tcW w:w="1560" w:type="dxa"/>
            <w:vAlign w:val="bottom"/>
          </w:tcPr>
          <w:p>
            <w:pPr>
              <w:jc w:val="right"/>
              <w:ind w:right="7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ind w:right="771"/>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90,475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Liabilities subject to compromise</w:t>
            </w: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84,143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85,375</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12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92"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should read the following discussion and analysis of our financial condition and results of operations in conjunction with the audited consolidated Financial Statements and notes thereto of VICI Properties Inc., the combined Financial Statements and notes thereto of Caesars Entertainment Outdoor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hyperlink w:anchor="page26">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section in Item 1A of this Annual Report on Form 10-K for a discussion of important factors that could cause actual results to differ materially from the results described in or implied by such forward-looking statements</w:t>
      </w: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Maryland corporation that was created to hold certain real estate assets owned by Caesars Entertainment Operating Company (“CEOC”), upon CEOC’s emergence from bankruptcy. Pursuant to CEOC’s Plan of Reorganization, on October 6, 2017 (the “Formation Date”), the historical business of CEOC was separated by means of a spin-off transaction whereby the real property assets of CEOC and certain of its subsidiaries, including four golf course businesses, were transferred through a series of transactions to us. Following the Formation Date, we are a stand-alone entity that was initially owned by certain former creditors of CEOC. We are primarily engaged in the business of owning and acquiring gaming, hospitality and entertainment destinations. We lease our properties to subsidiaries of Caesars and Penn National. We conduct our real property business through an operating partnership and our golf course business through a TRS, VICI Golf LLC.</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information included in this Annual Report on Form 10-K are our consolidated results (including the real property business and the golf course business) for the year ended December 31, 2019 and 2018 and the period from October 6, 2017 (Formation Date) to December 31, 2017. Other financial information included, beginning on page F-50 of this Annual Report on Form 10-K, are the historical combined Financial Statements of Caesars Entertainment Outdoor, the golf course business owned by CEOC until Formation Date. The financial information included for Caesars Entertainment Outdoor includes the period from January 1, 2017 to October 5,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2019 Activities (and Significant Activities Subsequent to Year-End)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2019 our significant activities,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February 2020 Senior Notes Offering and Redemption and Repayment of the Second Lien Notes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5, 2020, the Operating Partnership issued (i) $750.0 million in aggregate principal amount of 3.500% senior unsecured notes due 2025, (ii) $750.0 million in aggregate principal amount of 3.750% senior unsecured notes due 2027 and (iii) $1.0 billion of 4.125% senior unsecured notes due 2030. We placed $2.0 billion of the net proceeds into escrow pending the consummation of the Eldorado Transaction, and used the remaining net proceeds from the 2025 Notes, together with cash on hand, to redeem in full the outstanding $498.5 million in aggregate principal amount of the Second Lien Notes plus the Second Lien Notes Applicable Premium, which resulted in a total redemption amount of approximately $537.5 million. The 2025 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 Interest on the February 2020 Unsecured Notes will be payable semi-annually in cash in arrears on February 15 and August 15 of each year, commencing on August 15, 2020. The indentures governing the February 2020 Senior Unsecured Notes contain certain covenants substantially similar to those in the indentures governing the November 2019 Senior Unsecured Notes, and the February 2020 Senior Unsecured Notes are guaranteed by the guarantors of the November 2019 Senior Unsecured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24, 2020, we completed the previously announced transaction to acquire the casino-entitled land and real estate and related assets of the JACK Cleveland Casino, located in Cleveland, Ohio and the video lottery gaming and pari-mutuel wagering authorized land and real estate and related assets of the JACK Thistledown Racino located in North Randall, Ohio from affiliates of JACK Entertainment, for approximately $843.3 million in cash (the “JACK Cleveland/Thistledown Acquisition”). Simultaneous with the closing of the JACK Cleveland/Thistledown Acquisition, we entered into a master triple-net lease agreement for JACK Cleveland and JACK Thistledown with subsidiaries of JACK Entertainment. The lease has an initial total annual rent of $65.9</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79"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and an initial term of 15 years, with four five-year tenant renewal options. The tenant’s obligations under the lease are guaranteed by Rock Ohio Ventures LLC (“Rock Ohio Ventures”). Additionally, we made a $50.0 million loan (the “ROV Loan”) to affiliates of Rock Ohio Ventures secured by, among other things, certain non-gaming real estate assets owned by such affiliates and guaranteed by Rock Ohio Ventures. The ROV Loan bears interest at 9.0% per annum for a period of five years with two one-year extension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Repricing of Term Loan B Facility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Propco Term Loan B Facility from LIBOR plus 2.00% to LIBOR plus 1.75%.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2019 we and Caesars entered into a definitive agreement to sell the Harrah’s Reno asset for $50.0 million to a third party. We are entitled to receive 75% of the proceeds of the sale and Caesars is entitled to receive 25% of the proceeds. The annual rent payments under the Non-CPLV Lease Agreement will remain unchanged following completion of the disposition.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Century Portfolio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6, 2019, we completed the previously announced transaction to acquire the land and real estate assets of (i) Mountaineer Casino, Racetrack &amp; Resort located in New Cumberland, West Virginia, (ii) Century Casino Caruthersville located in Caruthersville, Missouri and (iii) Century Casino Cape Girardeau located in Cape Girardeau, Missouri from affiliates of Eldorado, for approximately $277.8 million, and a subsidiary of Century Casinos acquired the operating assets of the Century Portfolio for approximately $107.2 million (together, the “Century Portfolio Acquisition”). Simultaneous with the closing of the Century Portfolio Acquisition, we entered into a master triple-net lease agreement for the Century Portfolio with a subsidiary of Century Casinos. The master lease has an initial total annual rent of $25.0 million and an initial term of 15 years, with four five-year tenant renewal options. The tenant’s obligations under the lease are guaranteed by Century Casinos.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November 2019 Senior Notes Offering and Repayment of the CPLV CMBS Debt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26, 2019, the Operating Partnership issued (i) $1,250 million in aggregate principal amount of 4.250% Senior Notes due 2026, and (ii) $1,000 million in aggregate principal amount of 4.625% Senior Notes due 2029. We used the proceeds of the offering to repay in full the CPLV CMBS Debt, and pay certain fees and expenses, and any remaining net proceeds were used to complete the purchase of the JACK Cleveland/Thistledown Acquisition. The 2026 Notes will mature on December 1, 2026, and the 2029 Notes will mature on December 1, 2029. Interest on the 2026 Notes will accrue at a rate of 4.250% per annum, and interest on the 2029 Notes will accrue at a rate of 4.625% per annum. Interest on the Notes will be payable semi-annually in cash in arrears on June 1 and December 1 of each year, commencing on June 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Hard Rock Cincinnati</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20, 2019, we completed the previously announced transaction to acquire the casino-entitled land and real estate and related assets of Hard Rock Cincinnati, located in Cincinnati, Ohio from affiliates of JACK Entertainment LLC, for approximately $558.3 million, and a subsidiary of Hard Rock acquired the operating assets of the Hard Rock Cincinnati Casino for $186.5 million (together, the “Hard Rock Cincinnati Acquisition”). Simultaneous with the closing of the Hard Rock Cincinnati Acquisition, we entered into a triple-net lease agreement for Hard Rock Cincinnati with a subsidiary of Hard Rock. The lease has an initial total annual rent of $42.8 million and an initial term of 15 years, with four five-year tenant renewal options. The tenant’s obligations under the lease are guaranteed by Seminole Hard Rock Entertainment,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24, 2019, we entered into a master transaction agreement (the “Master Transaction Agreement” or “MTA”) with Eldorado relating to the transactions described below (collectively, the “Eldorado Transaction”), all of which are conditioned upon consummation of the closing of the merger contemplated under an Agreement and Plan of Merger (the “Eldorado/Caesars Merger Agreement”) pursuant to which a subsidiary of Eldorado will merge with and into Caesars, with Caesars surviving as a wholly owned subsidiary of Eldorado. Upon closing of the merger, Eldorado will be renamed Caesars. Any references to Eldorado in the subsequent transaction discussion refer to the combined Eldorado/Caesars subsequent to the closing of the Eldorado/Caesars Merger, as applicable.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Eldorado Transaction and the Eldorado/Caesars Merger are both subject to regulatory approvals and customary closing conditions. Eldorado has publicly disclosed that it expects the Eldorado/Caesars Merger to be completed in the first half of 2020. However, we can provide no assurances that the Eldorado/Caesars Merger or the Eldorado Transaction described herein will close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79"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in the anticipated timeframe, on the contemplated terms or at all. We intend to fund the Eldorado Transaction with a combination of cash on hand, proceeds from the settlement of our forward sales agreements entered into as part of our June equity offering, as described in </w:t>
      </w:r>
      <w:hyperlink w:anchor="page124">
        <w:r>
          <w:rPr>
            <w:rFonts w:ascii="Arial" w:cs="Arial" w:eastAsia="Arial" w:hAnsi="Arial"/>
            <w:sz w:val="17"/>
            <w:szCs w:val="17"/>
            <w:u w:val="single" w:color="auto"/>
            <w:color w:val="0000EE"/>
          </w:rPr>
          <w:t>Note 11 - Stockholders’ Equity</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the Notes to our Financial Statements, and with the proceeds from our February 2020 Senior Unsecured Notes Offering.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20" w:hanging="415"/>
        <w:spacing w:after="0" w:line="270"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have agreed to acquire all of the land and real estate assets associated with Harrah’s New Orleans, Harrah’s</w:t>
      </w:r>
      <w:r>
        <w:rPr>
          <w:rFonts w:ascii="Arial" w:cs="Arial" w:eastAsia="Arial" w:hAnsi="Arial"/>
          <w:sz w:val="17"/>
          <w:szCs w:val="17"/>
          <w:i w:val="1"/>
          <w:iCs w:val="1"/>
          <w:color w:val="auto"/>
        </w:rPr>
        <w:t xml:space="preserve"> </w:t>
      </w:r>
      <w:r>
        <w:rPr>
          <w:rFonts w:ascii="Arial" w:cs="Arial" w:eastAsia="Arial" w:hAnsi="Arial"/>
          <w:sz w:val="17"/>
          <w:szCs w:val="17"/>
          <w:color w:val="auto"/>
        </w:rPr>
        <w:t>Laughlin and Harrah’s Atlantic City (or, if necessary, certain replacement properties designated in the Master Transaction Agreement) (collectively, the “MTA Properties” and each, an “MTA Property”) for an aggregate purchase price of $1,823.5 million (which reflects a purchase price adjustment of $14.0 million related to Harrah’s New Orleans) (the “MTA Properties Acquisitions” and each, an “MTA Property Acquisition”). Simultaneous with the closing of each MTA Property Acquisition the Non-CPLV Lease Agreement will be amended to include such MTA Property, with (i) initial aggregate total annual rent payable to us and attributable to the MTA Properties of $154.0 million, (ii) so long as the MTA Property Acquisitions are consummated concurrent with the closing of the Eldorado/Caesars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23" w:lineRule="exact"/>
        <w:rPr>
          <w:rFonts w:ascii="Arial" w:cs="Arial" w:eastAsia="Arial" w:hAnsi="Arial"/>
          <w:sz w:val="17"/>
          <w:szCs w:val="17"/>
          <w:color w:val="auto"/>
        </w:rPr>
      </w:pPr>
    </w:p>
    <w:p>
      <w:pPr>
        <w:jc w:val="both"/>
        <w:ind w:left="720"/>
        <w:spacing w:after="0" w:line="287" w:lineRule="auto"/>
        <w:rPr>
          <w:rFonts w:ascii="Arial" w:cs="Arial" w:eastAsia="Arial" w:hAnsi="Arial"/>
          <w:sz w:val="17"/>
          <w:szCs w:val="17"/>
          <w:color w:val="auto"/>
        </w:rPr>
      </w:pPr>
      <w:r>
        <w:rPr>
          <w:rFonts w:ascii="Arial" w:cs="Arial" w:eastAsia="Arial" w:hAnsi="Arial"/>
          <w:sz w:val="16"/>
          <w:szCs w:val="16"/>
          <w:color w:val="auto"/>
        </w:rPr>
        <w:t>On September 26, 2019, we entered into the following agreements (each of which were entered into in accordance with the terms of the Master Transaction Agreement):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for a cash purchase price of $789.5 million (which reflects a purchase price adjustment of $14.0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“MTA Property Purchase Agreements” and each, a “MTA Property Purchase Agreement”) pursuant to which we agreed to acquire, and Eldorado agreed to cause to be sold, all of the equity interests in a newly formed entity that will acquire the land and real property improvements associated with Harrah’s Laughlin Hotel &amp; Casino in Laughlin, Nevada for a cash purchase price of $434.8 million.</w:t>
      </w:r>
    </w:p>
    <w:p>
      <w:pPr>
        <w:spacing w:after="0" w:line="118" w:lineRule="exact"/>
        <w:rPr>
          <w:rFonts w:ascii="Arial" w:cs="Arial" w:eastAsia="Arial" w:hAnsi="Arial"/>
          <w:sz w:val="17"/>
          <w:szCs w:val="17"/>
          <w:color w:val="auto"/>
        </w:rPr>
      </w:pPr>
    </w:p>
    <w:p>
      <w:pPr>
        <w:jc w:val="both"/>
        <w:ind w:left="720"/>
        <w:spacing w:after="0" w:line="255" w:lineRule="auto"/>
        <w:rPr>
          <w:rFonts w:ascii="Arial" w:cs="Arial" w:eastAsia="Arial" w:hAnsi="Arial"/>
          <w:sz w:val="17"/>
          <w:szCs w:val="17"/>
          <w:color w:val="auto"/>
        </w:rPr>
      </w:pPr>
      <w:r>
        <w:rPr>
          <w:rFonts w:ascii="Arial" w:cs="Arial" w:eastAsia="Arial" w:hAnsi="Arial"/>
          <w:sz w:val="18"/>
          <w:szCs w:val="18"/>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are subject to conditions in addition to the consummation of the Eldorado/Caesars Merger, and are not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39" w:lineRule="exact"/>
        <w:rPr>
          <w:rFonts w:ascii="Arial" w:cs="Arial" w:eastAsia="Arial" w:hAnsi="Arial"/>
          <w:sz w:val="17"/>
          <w:szCs w:val="17"/>
          <w:color w:val="auto"/>
        </w:rPr>
      </w:pPr>
    </w:p>
    <w:p>
      <w:pPr>
        <w:jc w:val="both"/>
        <w:ind w:left="720" w:hanging="415"/>
        <w:spacing w:after="0" w:line="264"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Eldorado of $1,189.9 million, we and Eldorado will amend the CPLV</w:t>
      </w:r>
      <w:r>
        <w:rPr>
          <w:rFonts w:ascii="Arial" w:cs="Arial" w:eastAsia="Arial" w:hAnsi="Arial"/>
          <w:sz w:val="18"/>
          <w:szCs w:val="18"/>
          <w:i w:val="1"/>
          <w:iCs w:val="1"/>
          <w:color w:val="auto"/>
        </w:rPr>
        <w:t xml:space="preserve"> </w:t>
      </w:r>
      <w:r>
        <w:rPr>
          <w:rFonts w:ascii="Arial" w:cs="Arial" w:eastAsia="Arial" w:hAnsi="Arial"/>
          <w:sz w:val="18"/>
          <w:szCs w:val="18"/>
          <w:color w:val="auto"/>
        </w:rPr>
        <w:t>Lease Agreement to (i) increase the annual rent payable to us under the CPLV Lease Agreement by $83.5 million (the “CPLV Additional Rent Acquisition”) and (ii) provide for the amended terms described below.</w:t>
      </w:r>
    </w:p>
    <w:p>
      <w:pPr>
        <w:spacing w:after="0" w:line="127" w:lineRule="exact"/>
        <w:rPr>
          <w:rFonts w:ascii="Arial" w:cs="Arial" w:eastAsia="Arial" w:hAnsi="Arial"/>
          <w:sz w:val="18"/>
          <w:szCs w:val="18"/>
          <w:color w:val="auto"/>
        </w:rPr>
      </w:pPr>
    </w:p>
    <w:p>
      <w:pPr>
        <w:jc w:val="both"/>
        <w:ind w:left="720" w:hanging="415"/>
        <w:spacing w:after="0" w:line="291"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Eldorado of $213.8 million, we</w:t>
      </w:r>
      <w:r>
        <w:rPr>
          <w:rFonts w:ascii="Arial" w:cs="Arial" w:eastAsia="Arial" w:hAnsi="Arial"/>
          <w:sz w:val="16"/>
          <w:szCs w:val="16"/>
          <w:i w:val="1"/>
          <w:iCs w:val="1"/>
          <w:color w:val="auto"/>
        </w:rPr>
        <w:t xml:space="preserve"> </w:t>
      </w:r>
      <w:r>
        <w:rPr>
          <w:rFonts w:ascii="Arial" w:cs="Arial" w:eastAsia="Arial" w:hAnsi="Arial"/>
          <w:sz w:val="16"/>
          <w:szCs w:val="16"/>
          <w:color w:val="auto"/>
        </w:rPr>
        <w:t>and Eldorado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3" w:lineRule="exact"/>
        <w:rPr>
          <w:rFonts w:ascii="Arial" w:cs="Arial" w:eastAsia="Arial" w:hAnsi="Arial"/>
          <w:sz w:val="16"/>
          <w:szCs w:val="16"/>
          <w:color w:val="auto"/>
        </w:rPr>
      </w:pPr>
    </w:p>
    <w:p>
      <w:pPr>
        <w:ind w:left="720" w:hanging="415"/>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Centaur Properties Put/Call Agreement</w:t>
      </w:r>
      <w:r>
        <w:rPr>
          <w:rFonts w:ascii="Arial" w:cs="Arial" w:eastAsia="Arial" w:hAnsi="Arial"/>
          <w:sz w:val="18"/>
          <w:szCs w:val="18"/>
          <w:color w:val="auto"/>
        </w:rPr>
        <w:t>. Affiliates of Caesars currently own two gaming facilities in Indiana - Harrah’s Hoosier Park and Indiana</w:t>
      </w:r>
      <w:r>
        <w:rPr>
          <w:rFonts w:ascii="Arial" w:cs="Arial" w:eastAsia="Arial" w:hAnsi="Arial"/>
          <w:sz w:val="18"/>
          <w:szCs w:val="18"/>
          <w:i w:val="1"/>
          <w:iCs w:val="1"/>
          <w:color w:val="auto"/>
        </w:rPr>
        <w:t xml:space="preserve"> </w:t>
      </w:r>
      <w:r>
        <w:rPr>
          <w:rFonts w:ascii="Arial" w:cs="Arial" w:eastAsia="Arial" w:hAnsi="Arial"/>
          <w:sz w:val="18"/>
          <w:szCs w:val="18"/>
          <w:color w:val="auto"/>
        </w:rPr>
        <w:t>Grand (together the “Centaur Properties”). At the closing of the Eldorado/Caesars Merger,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79"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720"/>
        <w:spacing w:after="0" w:line="270" w:lineRule="auto"/>
        <w:rPr>
          <w:sz w:val="20"/>
          <w:szCs w:val="20"/>
          <w:color w:val="auto"/>
        </w:rPr>
      </w:pPr>
      <w:r>
        <w:rPr>
          <w:rFonts w:ascii="Arial" w:cs="Arial" w:eastAsia="Arial" w:hAnsi="Arial"/>
          <w:sz w:val="17"/>
          <w:szCs w:val="17"/>
          <w:color w:val="auto"/>
        </w:rPr>
        <w:t>right of first refusal that we have with respect to the Centaur Properties will terminate and we will enter into a put/call agreement with Eldorado,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Eldorado for initial annual rent equal to the property’s trailing four quarters EBITDA at the time of acquisition divided by 1.3 (i.e., the initial annual rent will be set at 1.3x rent coverage) and (ii) Eldorado will have the right to require us to acquire the Centaur Properties at a price equal to 12.5x the initial annual rent of each facility, and to simultaneously lease back each such Centaur Property to a subsidiary of Eldorado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24" w:lineRule="exact"/>
        <w:rPr>
          <w:sz w:val="20"/>
          <w:szCs w:val="20"/>
          <w:color w:val="auto"/>
        </w:rPr>
      </w:pPr>
    </w:p>
    <w:p>
      <w:pPr>
        <w:jc w:val="both"/>
        <w:ind w:left="720" w:hanging="415"/>
        <w:spacing w:after="0" w:line="290"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Eldorado (the “Las Vegas ROFR”) whereby we will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right, with respect to the first two of certain specified Las Vegas Strip assets that Eldorado proposes to sell, whether pursuant to a sale leaseback or a WholeCo sale, to a third party, to acquire any such asset (it being understood that we will have the opportunity to find an operating company should Eldorado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Eldorado on any of these facilities, the leaseback will be implemented through the addition of such properties to the CPLV Lease Agreement.</w:t>
      </w:r>
    </w:p>
    <w:p>
      <w:pPr>
        <w:spacing w:after="0" w:line="112" w:lineRule="exact"/>
        <w:rPr>
          <w:rFonts w:ascii="Arial" w:cs="Arial" w:eastAsia="Arial" w:hAnsi="Arial"/>
          <w:sz w:val="16"/>
          <w:szCs w:val="16"/>
          <w:color w:val="auto"/>
        </w:rPr>
      </w:pPr>
    </w:p>
    <w:p>
      <w:pPr>
        <w:jc w:val="both"/>
        <w:ind w:left="720" w:hanging="415"/>
        <w:spacing w:after="0" w:line="312"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We and Eldorado agreed to enter into a right of first refusal agreement pursuant to which we will have the first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enter into a sale leaseback transaction with respect to the land and real estate assets associated with the Horseshoe Baltimore gaming facility (subject to any consent required from Caesars’ joint venture partners with respect to this asset) (the “Horseshoe Baltimore ROFR”).</w:t>
      </w:r>
    </w:p>
    <w:p>
      <w:pPr>
        <w:spacing w:after="0" w:line="92" w:lineRule="exact"/>
        <w:rPr>
          <w:rFonts w:ascii="Arial" w:cs="Arial" w:eastAsia="Arial" w:hAnsi="Arial"/>
          <w:sz w:val="16"/>
          <w:szCs w:val="16"/>
          <w:color w:val="auto"/>
        </w:rPr>
      </w:pPr>
    </w:p>
    <w:p>
      <w:pPr>
        <w:jc w:val="both"/>
        <w:ind w:left="720" w:hanging="415"/>
        <w:spacing w:after="0" w:line="270"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Lease Guaranties and MLSA Terminations</w:t>
      </w:r>
      <w:r>
        <w:rPr>
          <w:rFonts w:ascii="Arial" w:cs="Arial" w:eastAsia="Arial" w:hAnsi="Arial"/>
          <w:sz w:val="17"/>
          <w:szCs w:val="17"/>
          <w:color w:val="auto"/>
        </w:rPr>
        <w:t>. Eldorado will execute new guaranties (the “Eldorado Guaranties”) of the CPLV Lease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Non-CPLV 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Eldorado following the closing of the Eldorado/Caesars Merger). The Eldorado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Eldorado will terminate the Management and Lease Support Agreements with respect to the CPLV Lease Agreement, the Non-CPLV Lease Agreement and the Joliet Lease Agreement, and certain provisions currently set forth therein will be added to the respective leases, as amended, and the Eldorado Guaranties.</w:t>
      </w:r>
    </w:p>
    <w:p>
      <w:pPr>
        <w:spacing w:after="0" w:line="12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Eldorado/Caesars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Eldorado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79"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35" w:lineRule="exact"/>
        <w:rPr>
          <w:sz w:val="20"/>
          <w:szCs w:val="20"/>
          <w:color w:val="auto"/>
        </w:rPr>
      </w:pPr>
    </w:p>
    <w:p>
      <w:pPr>
        <w:jc w:val="both"/>
        <w:ind w:left="660" w:hanging="328"/>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were obligated to cause the CPLV CMBS Debt to be repaid in full prior to the closing of the Eldorado/Caesars</w:t>
      </w:r>
      <w:r>
        <w:rPr>
          <w:rFonts w:ascii="Arial" w:cs="Arial" w:eastAsia="Arial" w:hAnsi="Arial"/>
          <w:sz w:val="17"/>
          <w:szCs w:val="17"/>
          <w:i w:val="1"/>
          <w:iCs w:val="1"/>
          <w:color w:val="auto"/>
        </w:rPr>
        <w:t xml:space="preserve"> </w:t>
      </w:r>
      <w:r>
        <w:rPr>
          <w:rFonts w:ascii="Arial" w:cs="Arial" w:eastAsia="Arial" w:hAnsi="Arial"/>
          <w:sz w:val="17"/>
          <w:szCs w:val="17"/>
          <w:color w:val="auto"/>
        </w:rPr>
        <w:t>Merger. Eldorado has agreed to reimburse us for 50% of our out-of-pocket costs in connection with the prepayment penalties associated with refinancing the CPLV CMBS Debt (which reimbursement obligations exist pursuant to the MTA regardless of whether the Eldorado/Caesars Merger is consummated). We repaid the CPLV CMBS Debt in full in November 2019 resulting in a prepayment penalty of $110.8 million, $55.4 million of which will be reimbursed by Eldorado. Due to the prepayment of the CPLV CMBS Debt, we recognized a loss on extinguishment of debt of $58.1 million during the year ended December 31, 2019, the majority of which related to the prepayment penalty.</w:t>
      </w:r>
    </w:p>
    <w:p>
      <w:pPr>
        <w:spacing w:after="0" w:line="124"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Eldorado Bridge Facility</w:t>
      </w:r>
      <w:r>
        <w:rPr>
          <w:rFonts w:ascii="Arial" w:cs="Arial" w:eastAsia="Arial" w:hAnsi="Arial"/>
          <w:sz w:val="18"/>
          <w:szCs w:val="18"/>
          <w:color w:val="auto"/>
        </w:rPr>
        <w:t>. On June 24, 2019, in connection with the Eldorado Transaction, VICI PropCo entered into a commitment letter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w:t>
      </w:r>
    </w:p>
    <w:p>
      <w:pPr>
        <w:spacing w:after="0" w:line="13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Following the issuance of the 2026 Notes and 2029 Notes in November 2019, the commitments under the Bridge Facility were reduced by $1.6 billion, to $3.2 billion. Following the issuance of the February 2020 Senior Unsecured Notes we placed $2.0 billion of the net proceeds into escrow pending the consummation of the Eldorado Transactions and the commitments under the Bridge Facility were further reduced by $2.0 billion to $1.2 billion.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Master Transaction Agreement contains customary representations, warranties and covenants by the parties to the agreement and is subject to the consummation of the Eldorado/Caesars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Eldorado/Caesars Merger Agreement and a right by us to terminate the Master Transaction Agreement in the event the closing of the transactions contemplated by the Master Transaction Agreement has not occurred by the date on which the Eldorado/Caesars Merger is required to close pursuant to the Eldorado/Caesars Merger Agreement, but in no event later than December 24, 2020.</w:t>
      </w:r>
    </w:p>
    <w:p>
      <w:pPr>
        <w:spacing w:after="0" w:line="128" w:lineRule="exact"/>
        <w:rPr>
          <w:sz w:val="20"/>
          <w:szCs w:val="20"/>
          <w:color w:val="auto"/>
        </w:rPr>
      </w:pPr>
    </w:p>
    <w:p>
      <w:pPr>
        <w:jc w:val="both"/>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If the Master Transaction Agreement is terminated by Eldorado under certain circumstances where we have a financing failure, we may be obligated to pay Eldorado a reverse termination fee of $75.0 million (the “Reverse Termination Fee”). If the amendment of the CPLV Lease Agreement is not entered into on the date on which the Eldorado/Caesars Merger closes, under certain circumstances, we may be obligated to pay Eldorado a fee of $45.0 million (the “CPLV Break Payment”), provided we will not be obligated to pay both the Reverse Termination Fee and the CPLV Break Payment. If the Eldorado/Caesars Merger does not close for any reason, under certain circumstances, Eldorado may be obligated to pay us a termination fee of $75.0 million. For more information, see </w:t>
      </w:r>
      <w:hyperlink w:anchor="page26">
        <w:r>
          <w:rPr>
            <w:rFonts w:ascii="Arial" w:cs="Arial" w:eastAsia="Arial" w:hAnsi="Arial"/>
            <w:sz w:val="18"/>
            <w:szCs w:val="18"/>
            <w:u w:val="single" w:color="auto"/>
            <w:color w:val="0000EE"/>
          </w:rPr>
          <w:t>Item 1A. “Risk Factors”</w:t>
        </w:r>
      </w:hyperlink>
      <w:r>
        <w:rPr>
          <w:rFonts w:ascii="Arial" w:cs="Arial" w:eastAsia="Arial" w:hAnsi="Arial"/>
          <w:sz w:val="18"/>
          <w:szCs w:val="18"/>
          <w:color w:val="000000"/>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79"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Amendments - Upsize and Extend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15, 2019, we amended our Revolving Credit Facility to, among other things, increase borrowing capacity by $600 million to a total of $1.0 billion and extend the maturity date to May 2024. Borrowings under the Revolving Credit Facility initially bore interest at a rate based on a leverage-based pricing grid with a range of 1.75% to 2.00% over LIBOR (London Interbank Offered Rate), or between 0.75% and 1.00% over the base rate, in each case depending on our total net debt to adjusted total assets ratio. The Revolving Credit Facility replaces our previous revolving credit facility, which had a total borrowing capacity of $400 million, a maturity date in December 2022, and under which borrowings bore interest at 200 basis points over LIBOR.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2019, we entered into two additional interest rate swap agreements with third-party financial institutions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 2019, we completed the previously announced transaction to acquire the land and real estate assets of Margaritaville, located in Bossier City, Louisiana,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TRENDS THAT MAY AFFECT OUR BUSINESS</w:t>
      </w:r>
    </w:p>
    <w:p>
      <w:pPr>
        <w:spacing w:after="0" w:line="224"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Subsidiaries of Caesars Penn National, Hard Rock, Century Casinos and JACK Entertainment are the lessees of all of our properties pursuant to the Lease Agreements, and Caesars, CRC, Penn National, Seminole Hard Rock, Century Casinos or Rock Ohio Ventures LLC guarantees the obligations of the tenants under the Lease Agreements. The Lease Agreements account for substantially all of our revenues. Additionally, we expect to realize organic growth in rental revenue through annual rent escalators in our Lease Agreements. Accordingly, we are dependent on our tenants, the gaming industry and the health of the economies in the areas where our properties are located for the foreseeable future, and an event that has a material adverse effect on any of our tenant’s business, financial condition, liquidity, results of operations or prospects would have a material adverse effect on our business, financial condition, liquidity, results of operations and prospects. See </w:t>
      </w:r>
      <w:hyperlink w:anchor="page26">
        <w:r>
          <w:rPr>
            <w:rFonts w:ascii="Arial" w:cs="Arial" w:eastAsia="Arial" w:hAnsi="Arial"/>
            <w:sz w:val="16"/>
            <w:szCs w:val="16"/>
            <w:u w:val="single" w:color="auto"/>
            <w:color w:val="0000EE"/>
          </w:rPr>
          <w:t>Item 1A “Risk Factors—Risks Related to Our Business and Operations.”</w:t>
        </w:r>
      </w:hyperlink>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actively seek to grow our portfolio through acquisitions of experiential real estate in geographically diverse dynamic markets spanning hospitality, entertainment, leisure and gaming properties. Additionally, we expect to grow our portfolio through acquisitions by pursuing opportunities to execute sale leaseback transactions with the combined Eldorado/Caesars (following the closing of the Eldorado Transaction), including pursuant to: (i) the Centaur Properties Put/Call Agreement; (ii) the Caesars Forum Put/Call Agreement; and (iii) the Las Vegas Strip ROFR and Horseshoe Baltimore ROFR. However, the combined Eldorado/Caesars entity will make an independent financial decision regarding whether to trigger the rights of first refusal under the Las Vegas ROFR and Horseshoe Baltimore ROFR, and we will make an independent financial decision whether to purchase the properties. Finally, we believe the approximately 34 acres of undeveloped or underdeveloped land on and adjacent to the Las Vegas Strip that we own will provide attractive opportunities for potential future expansion and development. In pursuing external growth initiatives, we will generally seek to acquire properties that can generate stable rental revenue through long-term leases with tenants with established operating histories, and we will consider various factors when evaluating acquisitions, including the ability to continue to diversify our tenant base and increasing our geographic diversification.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performance in the future will be significantly influenced by the success of our acquisition strategy, and the timing and the availability and terms of financing of any acquisitions that we may complete. We can provide no assurance that we will exercise any of our contractual rights to purchase one or more properties from Caesars (or the combined Eldorado/Caesars following the closing of the Eldorado Transaction), that the combined Eldorado/Caesars entity will trigger the rights of first offer under the Las Vegas ROFR and Horseshoe Baltimore ROFR, or that we will otherwise be successful in acquiring any properties (whether subject to the Las Vegas ROFR, the Horseshoe Baltimore ROFR, or otherwise). Additionally, our ability to successfully implement our acquisition strategy will depend upon the availability and terms of financing, including debt and equity capital. Further, the pricing of any acquisitions we may consummate and the terms of any leases that we may enter into will significantly impact our future results. Competition to execute sale leaseback transactions with attractive properties and desirable tenants is intense, and we can provide no assurance that any future acquisitions or leases will be on terms as favorable to us as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79"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those relating to recent transactions. We anticipate that we would seek to finance these acquisitions with a combination of debt and equity, although no assurance can be given that we would be able to issue equity in such amounts on favorable terms, or at all, or that we would not determine to incur more debt on a relative basis at the relevant time due market conditions or otherwise. In addition to rent, our current Lease Agreements require our tenants to pay the following: (1) all facility maintenance; (2) all insurance required in connection with the leased properties and the business conducted on the leased properties;</w:t>
      </w:r>
    </w:p>
    <w:p>
      <w:pPr>
        <w:spacing w:after="0" w:line="2" w:lineRule="exact"/>
        <w:rPr>
          <w:sz w:val="20"/>
          <w:szCs w:val="20"/>
          <w:color w:val="auto"/>
        </w:rPr>
      </w:pPr>
    </w:p>
    <w:p>
      <w:pPr>
        <w:jc w:val="both"/>
        <w:ind w:firstLine="8"/>
        <w:spacing w:after="0" w:line="255" w:lineRule="auto"/>
        <w:tabs>
          <w:tab w:leader="none" w:pos="2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 levied on or with respect to the leased properties (other than taxes on our income); and (4) all utilities and other services necessary or appropriate for the leased properties and the business conducted on the leased properties. Accordingly, due to the “triple-net” structure of our leases, we do not expect to incur significant property-level expenses.</w:t>
      </w:r>
    </w:p>
    <w:p>
      <w:pPr>
        <w:spacing w:after="0" w:line="236"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DISCUSSION OF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December 31, 2018</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10"/>
              <w:spacing w:after="0"/>
              <w:rPr>
                <w:sz w:val="20"/>
                <w:szCs w:val="20"/>
                <w:color w:val="auto"/>
              </w:rPr>
            </w:pPr>
            <w:r>
              <w:rPr>
                <w:rFonts w:ascii="Arial" w:cs="Arial" w:eastAsia="Arial" w:hAnsi="Arial"/>
                <w:sz w:val="16"/>
                <w:szCs w:val="16"/>
                <w:b w:val="1"/>
                <w:bCs w:val="1"/>
                <w:color w:val="auto"/>
              </w:rPr>
              <w:t>Variance</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5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Income from direct financing and sales-type leases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822,205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741,564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80,641</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operating leases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Tenant reimbursement of property taxes</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81,240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(81,240)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Golf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r>
      <w:tr>
        <w:trPr>
          <w:trHeight w:val="237"/>
        </w:trPr>
        <w:tc>
          <w:tcPr>
            <w:tcW w:w="40" w:type="dxa"/>
            <w:vAlign w:val="bottom"/>
          </w:tcPr>
          <w:p>
            <w:pPr>
              <w:spacing w:after="0"/>
              <w:rPr>
                <w:sz w:val="20"/>
                <w:szCs w:val="20"/>
                <w:color w:val="auto"/>
              </w:rPr>
            </w:pPr>
          </w:p>
        </w:tc>
        <w:tc>
          <w:tcPr>
            <w:tcW w:w="5680" w:type="dxa"/>
            <w:vAlign w:val="bottom"/>
            <w:gridSpan w:val="2"/>
          </w:tcPr>
          <w:p>
            <w:pPr>
              <w:ind w:left="500"/>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894,798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897,977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(3,179)</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Property taxes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(81,810)</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Golf operations</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18,901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17,371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1,530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on impairment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Transaction and acquisition expenses</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4,605</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(87,724)</w:t>
            </w: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842,499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757,954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84,545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(212,663)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(35,721)</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8,707</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Loss from extinguishment of debt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(35,103)</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555,986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533,558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22,428</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Income tax (expense) benefit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22,164</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523,619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22,345</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our revenue was comprised of the following items: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Leasing 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76,322</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Tenant reimbursement of property taxes</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81,240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(81,240)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Golf course business revenue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1,739</w:t>
            </w:r>
          </w:p>
        </w:tc>
      </w:tr>
      <w:tr>
        <w:trPr>
          <w:trHeight w:val="257"/>
        </w:trPr>
        <w:tc>
          <w:tcPr>
            <w:tcW w:w="40" w:type="dxa"/>
            <w:vAlign w:val="bottom"/>
          </w:tcPr>
          <w:p>
            <w:pPr>
              <w:spacing w:after="0"/>
              <w:rPr>
                <w:sz w:val="22"/>
                <w:szCs w:val="22"/>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894,798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897,977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79"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and operating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11"/>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and sales-type leases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822,205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741,564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80,641</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5"/>
                <w:szCs w:val="25"/>
                <w:i w:val="1"/>
                <w:iCs w:val="1"/>
                <w:color w:val="auto"/>
                <w:vertAlign w:val="superscript"/>
              </w:rPr>
              <w:t>(1)</w:t>
            </w: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43,653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47,972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76,322</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Direct financing and sales-type lease adjustments </w:t>
            </w:r>
            <w:r>
              <w:rPr>
                <w:rFonts w:ascii="Arial" w:cs="Arial" w:eastAsia="Arial" w:hAnsi="Arial"/>
                <w:sz w:val="25"/>
                <w:szCs w:val="25"/>
                <w:i w:val="1"/>
                <w:iCs w:val="1"/>
                <w:color w:val="auto"/>
                <w:vertAlign w:val="superscript"/>
              </w:rPr>
              <w:t>(2)</w:t>
            </w: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45,643</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866,097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744,132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121,965</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firstLine="8"/>
        <w:spacing w:after="0" w:line="241" w:lineRule="auto"/>
        <w:tabs>
          <w:tab w:leader="none" w:pos="218"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right="20" w:firstLine="8"/>
        <w:spacing w:after="0" w:line="255" w:lineRule="auto"/>
        <w:tabs>
          <w:tab w:leader="none" w:pos="208"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and sales-type leases in order to recognize income on an effective interest basis at a constant rate of return over the term of the leases.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Leasing revenue is generated from rent from our Lease Agreements. Total leasing revenue increased $76.3 million during the year ended December 31, 2019 compared to the year ended December 31, 2018. Total contractual leasing revenue increased $122.0 million during the year ended December 31, 2019 compared to the year ended December 31, 2018. The increase was primarily driven by the addition of Octavius Tower, Harrah’s Philadelphia, Margaritaville, Greektown, JACK Cincinnati and the Century Portfolio to our real estate portfolio in July 2018, December 2018, January 2019, May 2019, September 2019 and December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 of property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we recorded $81.2 million of income from tenant reimbursement of property taxes. Upon the adoption of ASC 842 on January 1, 2019, we ceased recording tenant reimbursement of property taxes as these taxes are paid directly by our tenants to the applicable government entity.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golf operations increased $1.7 million during the year ended December 31, 2019 compared to the year ended December 31, 2018. The increase was primarily driven by an increase in the number of rounds played at our golf courses, as well as by an increase in the contractual fees paid to us by Caesars for the use of our golf courses, pursuant to a golf course use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 and administrative expenses increased $0.1 million during the year ended December 31, 2019 compared to the year ended December 31, 2018. The increase was primarily driven by an increase in stock based compensation which was partially offset by certain non-recurring costs incurred during the first six months of the year ended December 31, 2018 as a result of being a newly publicly-traded company primarily following our initial public offering and the transition and relocation of our corporate headquarters from Las Vegas, NV to New York, 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we recorded $81.8 million of income from tenant reimbursement of property taxes. Upon the adoption of ASC 842 on January 1, 2019, we ceased recording tenant reimbursement of property taxes as these taxes are paid directly by our tenants to the applicable government entity.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Expenses from golf operations increased $1.5 million during the year ended December 31, 2019 compared to the year ended December 31, 2018 due to an increase in the number of rounds played and an increase in the water usage charges at one of our golf courses. In addition, $3.8 million and $3.7 million of depreciation expense was incurred primarily by the golf business during the year ended December 31, 2019 and 2018,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79"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2018 the Company recognized a $12.3 million loss on impairment related to certain vacant, non-operating land parcels transferred by CEOC to us on the Formation Date. All of the land parcels are located outside of Las Vegas and none of the land parcels are a component of the operations of our regional property portfolio. We had no such related impairment during the year ended December 31,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and acquisition costs increased $4.6 million during the year ended December 31, 2019 compared to the year ended December 31, 2018. The increase was primarily due to the adoption of ASC 842, which requires us to expense certain legal and third-party costs associated with our leases that were previously capitalized.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increased $35.7 million during the year ended December 31, 2019 compared to the year ended December 31, 2018. The increase is primarily attributable to our November 2019 Senior Unsecured Notes, our interest rate swap agreements which we entered into in April 2018 and January 2019 and an increase in the amortization of our deferred financing fees as a result of the costs associated with our Revolving Credit Facility and Bridge Facilities. With respect to the interest rate swap agreements, prior to entering into such agreements in the comparative period, we were paying a lower variable rate as compared to the fixed rate under the interest rate swap agreements. These amounts were partially offset by a reduction in interest rates due to the repayment of amounts outstanding under our Revolving Credit Facility and the partial paydown of the Term Loan B Facility and Second Lien Notes in February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income increased $8.7 million during the year ended December 31, 2019 compared to the year ended December 31, 2018. The increase is primarily driven by increased cash on hand from our primary follow-on equity offerings in November 2018 and June 2019 and debt offering in November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we recognized a loss on extinguishment of debt of $58.1 million resulting from the$110.8 million prepayment penalties associated with the full repayment of our CPLV CMBS Debt in November 2019, net of $55.4 million of which will be reimbursed by Eldorado. During the year ended December 31, 2018 we recognized a loss on extinguishment of debt of $23.0 million resulting from the redemption of $268.4 million in aggregate principal of our Second Lien Notes in February 2018 at a redemption price of 108%.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2018 and the Period from October 6, 2017 to December 31, 2017</w:t>
      </w:r>
    </w:p>
    <w:p>
      <w:pPr>
        <w:spacing w:after="0" w:line="175"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For a comparison of our results of operations for the fiscal years ended December 31, 2018 and the period from October 6, 2017 to December 31, 2017, see “</w:t>
      </w:r>
      <w:hyperlink r:id="rId24">
        <w:r>
          <w:rPr>
            <w:rFonts w:ascii="Arial" w:cs="Arial" w:eastAsia="Arial" w:hAnsi="Arial"/>
            <w:sz w:val="18"/>
            <w:szCs w:val="18"/>
            <w:u w:val="single" w:color="auto"/>
            <w:color w:val="0000EE"/>
          </w:rPr>
          <w:t>Part II, Item 7. Management’s Discussion and Analysis of Financial Condition and Results of Operations</w:t>
        </w:r>
      </w:hyperlink>
      <w:r>
        <w:rPr>
          <w:rFonts w:ascii="Arial" w:cs="Arial" w:eastAsia="Arial" w:hAnsi="Arial"/>
          <w:sz w:val="18"/>
          <w:szCs w:val="18"/>
          <w:color w:val="auto"/>
        </w:rPr>
        <w:t>” of our annual report on Form 10-K for the fiscal year ended December 31, 2018, filed with the SEC on February 14, 2019 and incorporated by reference herein.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79"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we define FFO as net income (or loss)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AFFO is a non-GAAP financial measure that we use as a supplemental operating measure to evaluate our performance. We calculate AFFO by adding or subtracting from FFO direct financing and sales-type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and gains (or losses) on debt extinguishment.</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interest expense and interest income (collectively, interest expense, net) and income tax expense.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79"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FFO, FFO per Share, AFFO, AFFO per Share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529590</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1940" w:type="dxa"/>
            <w:vAlign w:val="bottom"/>
          </w:tcPr>
          <w:p>
            <w:pPr>
              <w:jc w:val="right"/>
              <w:ind w:right="31"/>
              <w:spacing w:after="0"/>
              <w:rPr>
                <w:sz w:val="20"/>
                <w:szCs w:val="20"/>
                <w:color w:val="auto"/>
              </w:rPr>
            </w:pPr>
            <w:r>
              <w:rPr>
                <w:rFonts w:ascii="Arial" w:cs="Arial" w:eastAsia="Arial" w:hAnsi="Arial"/>
                <w:sz w:val="16"/>
                <w:szCs w:val="16"/>
                <w:b w:val="1"/>
                <w:bCs w:val="1"/>
                <w:color w:val="auto"/>
                <w:w w:val="91"/>
              </w:rPr>
              <w:t>Year Ended December 31,</w:t>
            </w: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120" w:type="dxa"/>
            <w:vAlign w:val="bottom"/>
          </w:tcPr>
          <w:p>
            <w:pPr>
              <w:spacing w:after="0"/>
              <w:rPr>
                <w:sz w:val="17"/>
                <w:szCs w:val="17"/>
                <w:color w:val="auto"/>
              </w:rPr>
            </w:pPr>
          </w:p>
        </w:tc>
        <w:tc>
          <w:tcPr>
            <w:tcW w:w="1940" w:type="dxa"/>
            <w:vAlign w:val="bottom"/>
          </w:tcPr>
          <w:p>
            <w:pPr>
              <w:jc w:val="right"/>
              <w:ind w:right="7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771"/>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523,619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Real-estate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FFO</w:t>
            </w:r>
          </w:p>
        </w:tc>
        <w:tc>
          <w:tcPr>
            <w:tcW w:w="1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545,964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523,619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Direct financing and sales-type lease adjustments attributable to common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(44,852)</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Transaction and acquisition expenses</w:t>
            </w: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393</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33,034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5,976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12,334</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23,040</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649,572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525,632</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195,336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195,380</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846,613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722,453</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 per common share</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 per common share</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435,071,096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367,226,395</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439,152,946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367,316,901</w:t>
            </w:r>
          </w:p>
        </w:tc>
      </w:tr>
      <w:tr>
        <w:trPr>
          <w:trHeight w:val="540"/>
        </w:trPr>
        <w:tc>
          <w:tcPr>
            <w:tcW w:w="7200" w:type="dxa"/>
            <w:vAlign w:val="bottom"/>
            <w:gridSpan w:val="3"/>
          </w:tcPr>
          <w:p>
            <w:pPr>
              <w:ind w:left="56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our available cash balances, short-term investments and capacity under our Revolving Credit Facility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7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jc w:val="right"/>
              <w:ind w:right="833"/>
              <w:spacing w:after="0"/>
              <w:rPr>
                <w:sz w:val="20"/>
                <w:szCs w:val="20"/>
                <w:color w:val="auto"/>
              </w:rPr>
            </w:pPr>
            <w:r>
              <w:rPr>
                <w:rFonts w:ascii="Arial" w:cs="Arial" w:eastAsia="Arial" w:hAnsi="Arial"/>
                <w:sz w:val="15"/>
                <w:szCs w:val="15"/>
                <w:b w:val="1"/>
                <w:bCs w:val="1"/>
                <w:color w:val="auto"/>
              </w:rPr>
              <w:t>December 31, 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73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1,101,893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520" w:type="dxa"/>
            <w:vAlign w:val="bottom"/>
          </w:tcPr>
          <w:p>
            <w:pPr>
              <w:spacing w:after="0"/>
              <w:rPr>
                <w:sz w:val="21"/>
                <w:szCs w:val="21"/>
                <w:color w:val="auto"/>
              </w:rPr>
            </w:pP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59,474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5"/>
                <w:szCs w:val="25"/>
                <w:color w:val="auto"/>
                <w:vertAlign w:val="superscript"/>
              </w:rPr>
              <w:t>(1)</w:t>
            </w:r>
          </w:p>
        </w:tc>
        <w:tc>
          <w:tcPr>
            <w:tcW w:w="520" w:type="dxa"/>
            <w:vAlign w:val="bottom"/>
            <w:tcBorders>
              <w:bottom w:val="single" w:sz="8" w:color="auto"/>
            </w:tcBorders>
            <w:shd w:val="clear" w:color="auto" w:fill="CCEEFF"/>
          </w:tcPr>
          <w:p>
            <w:pPr>
              <w:spacing w:after="0"/>
              <w:rPr>
                <w:sz w:val="23"/>
                <w:szCs w:val="23"/>
                <w:color w:val="auto"/>
              </w:rPr>
            </w:pPr>
          </w:p>
        </w:tc>
        <w:tc>
          <w:tcPr>
            <w:tcW w:w="2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2,161,367</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68" w:lineRule="exact"/>
        <w:rPr>
          <w:sz w:val="20"/>
          <w:szCs w:val="20"/>
          <w:color w:val="auto"/>
        </w:rPr>
      </w:pPr>
    </w:p>
    <w:p>
      <w:pPr>
        <w:jc w:val="both"/>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123">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EE"/>
          </w:rPr>
          <w:t>Note 10 - Commitments and Contingent</w:t>
        </w:r>
      </w:hyperlink>
      <w:r>
        <w:rPr>
          <w:rFonts w:ascii="Arial" w:cs="Arial" w:eastAsia="Arial" w:hAnsi="Arial"/>
          <w:sz w:val="18"/>
          <w:szCs w:val="18"/>
          <w:color w:val="auto"/>
        </w:rPr>
        <w:t xml:space="preserve"> </w:t>
      </w:r>
      <w:hyperlink w:anchor="page123">
        <w:r>
          <w:rPr>
            <w:rFonts w:ascii="Arial" w:cs="Arial" w:eastAsia="Arial" w:hAnsi="Arial"/>
            <w:sz w:val="18"/>
            <w:szCs w:val="18"/>
            <w:u w:val="single" w:color="auto"/>
            <w:color w:val="0000EE"/>
          </w:rPr>
          <w:t>Liabilities</w:t>
        </w:r>
        <w:r>
          <w:rPr>
            <w:rFonts w:ascii="Arial" w:cs="Arial" w:eastAsia="Arial" w:hAnsi="Arial"/>
            <w:sz w:val="18"/>
            <w:szCs w:val="18"/>
            <w:color w:val="000000"/>
          </w:rPr>
          <w:t>, in the Notes to our Financial Statements.</w:t>
        </w:r>
      </w:hyperlink>
    </w:p>
    <w:p>
      <w:pPr>
        <w:spacing w:after="0" w:line="13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long-term obligations consist primarily of principal payments on our outstanding debt obligations. Taking into account our February 2020 Senior Unsecured Notes Offering and the redemption of our Second Lien Secured Notes, we currently have $6.9 billion of debt obligations outstanding, none of which are maturing in the next twelve months. For a summary of principal debt balances and their maturity dates and principal terms refer to </w:t>
      </w:r>
      <w:hyperlink w:anchor="page115">
        <w:r>
          <w:rPr>
            <w:rFonts w:ascii="Arial" w:cs="Arial" w:eastAsia="Arial" w:hAnsi="Arial"/>
            <w:sz w:val="18"/>
            <w:szCs w:val="18"/>
            <w:u w:val="single" w:color="auto"/>
            <w:color w:val="0000EE"/>
          </w:rPr>
          <w:t>Note 7 - Debt</w:t>
        </w:r>
      </w:hyperlink>
      <w:r>
        <w:rPr>
          <w:rFonts w:ascii="Arial" w:cs="Arial" w:eastAsia="Arial" w:hAnsi="Arial"/>
          <w:sz w:val="18"/>
          <w:szCs w:val="18"/>
          <w:color w:val="auto"/>
        </w:rPr>
        <w:t>, in the Notes to our Consolidated Financial Statements.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closed the JACK Cleveland/Thistledown Acquisition on January 24, 2020 using a mix of cash on hand and a portion of the proceeds that we raised from our November 2019 Senior Unsecured Notes Offering. We anticipate closing the Eldorado Transaction in the first half of 2020 and expect to fund the purchase with a mix of cash on hand, the settlement of our Forward Sales Agreements and a portion of the proceeds that we raised from our February 2020 Senior Unsecured Notes Offering. To the extent we are unable to settle the Forward Sales Agreements we intend to use the capacity under the Bridge Facility in lieu of such financing. We anticipate funding future transactions with a mix of debt, equity and available cash.</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we have sufficient liquidity to meet our liquidity and capital resource requirements primarily through currently available cash and cash equivalents, restricted cash, short term investments, cash received under our Lease Agreements, borrowings from banks, including undrawn capacity under our Revolving Credit Facility and Bridge Facilities, and proceeds from the issuance of debt and equity securities (including issuances under our Forward Sale Agreements and our ATM Agreement). All of the Lease Agreements call for an initial term of fifteen years with four, five-year tenant renewal options and are designed to provide us with a reliable and predictable long-term revenue stream. However, our cash flows from operations and our ability to access capital resources could be adversely affected due to uncertain economic factors and volatility in the financial and credit markets. In particular, we can provide no assurances that our tenants will not default on their leases or fail to make full rental payments if their businesses become challenged due to, among other things, adverse economic conditions.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79"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years ended December 31,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7"/>
                <w:szCs w:val="17"/>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392"/>
              <w:spacing w:after="0"/>
              <w:rPr>
                <w:sz w:val="20"/>
                <w:szCs w:val="20"/>
                <w:color w:val="auto"/>
              </w:rPr>
            </w:pPr>
            <w:r>
              <w:rPr>
                <w:rFonts w:ascii="Arial" w:cs="Arial" w:eastAsia="Arial" w:hAnsi="Arial"/>
                <w:sz w:val="16"/>
                <w:szCs w:val="16"/>
                <w:b w:val="1"/>
                <w:bCs w:val="1"/>
                <w:color w:val="auto"/>
              </w:rPr>
              <w:t>Variance ($)</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460"/>
              <w:spacing w:after="0"/>
              <w:rPr>
                <w:sz w:val="20"/>
                <w:szCs w:val="20"/>
                <w:color w:val="auto"/>
              </w:rPr>
            </w:pPr>
            <w:r>
              <w:rPr>
                <w:rFonts w:ascii="Arial" w:cs="Arial" w:eastAsia="Arial" w:hAnsi="Arial"/>
                <w:sz w:val="18"/>
                <w:szCs w:val="18"/>
                <w:color w:val="auto"/>
              </w:rPr>
              <w:t>Provided by operating activities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682,159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504,082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178,077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Used in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(1,361,379)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(1,140,877)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(220,502)</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460"/>
              <w:spacing w:after="0"/>
              <w:rPr>
                <w:sz w:val="20"/>
                <w:szCs w:val="20"/>
                <w:color w:val="auto"/>
              </w:rPr>
            </w:pPr>
            <w:r>
              <w:rPr>
                <w:rFonts w:ascii="Arial" w:cs="Arial" w:eastAsia="Arial" w:hAnsi="Arial"/>
                <w:sz w:val="18"/>
                <w:szCs w:val="18"/>
                <w:color w:val="auto"/>
              </w:rPr>
              <w:t>Provided by financing activities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1,182,666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1,037,836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144,830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503,446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401,041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102,405</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increased $178.1 million for the year ended December 31, 2019 compared with the year ended December 31, 2018. The increase is primarily driven by an increase in cash rental payments from the addition of Octavius Tower, Harrah’s Philadelphia, Margaritaville, Greektown, Hard Rock Cincinnati and the Century Portfolio to our real estate portfolio in July 2018, December 2018, January 2019, May 2019, September 2019 and December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increased $220.5 million for the year ended December 31, 2019 compared with the year ended December 31, 2018. The increase is primarily driven by the acquisitions of Margaritaville, Greektown, Hard Rock Cincinnati and the Century Portfolio for a total of $1,821.1 million, including acquisition costs, during the year ended December 31, 2019 compared with the acquisition of Octavius Tower and Harrah’s Philadelphia for a total of $619.3 million, including acquisition costs and net of the lease modification fee, during the year ended December 31, 2018. This increase was partially offset by an increase in net maturities of short-term investments of $982.3 million during the year ended December 31, 2019 as compared to the year ended December 31,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increased $144.8 million for the year ended December 31, 2019 compared with the year ended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primary sources and uses of cash from financing activities included:</w:t>
      </w:r>
    </w:p>
    <w:p>
      <w:pPr>
        <w:spacing w:after="0" w:line="117" w:lineRule="exact"/>
        <w:rPr>
          <w:sz w:val="20"/>
          <w:szCs w:val="20"/>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proceeds from the sale of an aggregate of $1,164.3 million of our common stock from a primary follow-on offering and our at-the-market offering program;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Gross proceeds from our November 2019 Senior Unsecured Notes offering of $2,250.0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Full repayment of $1,550.0 million of our CPLV CMBS Debt, including the $110.8 million prepayment penalty plus fees;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Dividend payments of $504.0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issuance costs of $56.1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of $8.1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the primary sources and uses of cash from financing activities include:</w:t>
      </w:r>
    </w:p>
    <w:p>
      <w:pPr>
        <w:spacing w:after="0" w:line="117" w:lineRule="exact"/>
        <w:rPr>
          <w:sz w:val="20"/>
          <w:szCs w:val="20"/>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proceeds from the sale of an aggregate of $2,001.5 million of our common stock from our initial public offering and our November 2018 primary follow-on offering;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Redemption of $290.1 million in aggregate principal amount of our Second Lien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 payments of $262.7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issuance costs of $1.1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of $9.8 million to non-controlling interest.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79"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December 31, 2019:</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44"/>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220" w:type="dxa"/>
            <w:vAlign w:val="bottom"/>
          </w:tcPr>
          <w:p>
            <w:pPr>
              <w:spacing w:after="0"/>
              <w:rPr>
                <w:sz w:val="21"/>
                <w:szCs w:val="21"/>
                <w:color w:val="auto"/>
              </w:rPr>
            </w:pPr>
          </w:p>
        </w:tc>
        <w:tc>
          <w:tcPr>
            <w:tcW w:w="1040" w:type="dxa"/>
            <w:vAlign w:val="bottom"/>
          </w:tcPr>
          <w:p>
            <w:pPr>
              <w:jc w:val="right"/>
              <w:ind w:right="272"/>
              <w:spacing w:after="0" w:line="244"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5"/>
                <w:szCs w:val="25"/>
                <w:i w:val="1"/>
                <w:iCs w:val="1"/>
                <w:color w:val="auto"/>
                <w:vertAlign w:val="superscript"/>
              </w:rPr>
              <w:t>(1)</w:t>
            </w:r>
          </w:p>
        </w:tc>
        <w:tc>
          <w:tcPr>
            <w:tcW w:w="0" w:type="dxa"/>
            <w:vAlign w:val="bottom"/>
          </w:tcPr>
          <w:p>
            <w:pPr>
              <w:spacing w:after="0"/>
              <w:rPr>
                <w:sz w:val="1"/>
                <w:szCs w:val="1"/>
                <w:color w:val="auto"/>
              </w:rPr>
            </w:pPr>
          </w:p>
        </w:tc>
      </w:tr>
      <w:tr>
        <w:trPr>
          <w:trHeight w:val="244"/>
        </w:trPr>
        <w:tc>
          <w:tcPr>
            <w:tcW w:w="64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i w:val="1"/>
                <w:iCs w:val="1"/>
                <w:color w:val="auto"/>
                <w:vertAlign w:val="superscript"/>
              </w:rPr>
              <w:t>(2)</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Term Loan B Facility</w:t>
            </w:r>
            <w:r>
              <w:rPr>
                <w:rFonts w:ascii="Arial" w:cs="Arial" w:eastAsia="Arial" w:hAnsi="Arial"/>
                <w:sz w:val="25"/>
                <w:szCs w:val="25"/>
                <w:i w:val="1"/>
                <w:iCs w:val="1"/>
                <w:color w:val="auto"/>
                <w:vertAlign w:val="superscript"/>
              </w:rPr>
              <w:t>(3)</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2,076,962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Second Lien Notes</w:t>
            </w:r>
            <w:r>
              <w:rPr>
                <w:rFonts w:ascii="Arial" w:cs="Arial" w:eastAsia="Arial" w:hAnsi="Arial"/>
                <w:sz w:val="25"/>
                <w:szCs w:val="25"/>
                <w:i w:val="1"/>
                <w:iCs w:val="1"/>
                <w:color w:val="auto"/>
                <w:vertAlign w:val="superscript"/>
              </w:rPr>
              <w:t>(4)</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November 2019 Senior Unsecured Notes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2026 Notes</w:t>
            </w:r>
            <w:r>
              <w:rPr>
                <w:rFonts w:ascii="Arial" w:cs="Arial" w:eastAsia="Arial" w:hAnsi="Arial"/>
                <w:sz w:val="25"/>
                <w:szCs w:val="25"/>
                <w:i w:val="1"/>
                <w:iCs w:val="1"/>
                <w:color w:val="auto"/>
                <w:vertAlign w:val="superscript"/>
              </w:rPr>
              <w:t>(5)</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1,231,227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2029 Notes</w:t>
            </w:r>
            <w:r>
              <w:rPr>
                <w:rFonts w:ascii="Arial" w:cs="Arial" w:eastAsia="Arial" w:hAnsi="Arial"/>
                <w:sz w:val="25"/>
                <w:szCs w:val="25"/>
                <w:i w:val="1"/>
                <w:iCs w:val="1"/>
                <w:color w:val="auto"/>
                <w:vertAlign w:val="superscript"/>
              </w:rPr>
              <w:t>(5)</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2029</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984,894</w:t>
            </w:r>
          </w:p>
        </w:tc>
        <w:tc>
          <w:tcPr>
            <w:tcW w:w="0" w:type="dxa"/>
            <w:vAlign w:val="bottom"/>
          </w:tcPr>
          <w:p>
            <w:pPr>
              <w:spacing w:after="0"/>
              <w:rPr>
                <w:sz w:val="1"/>
                <w:szCs w:val="1"/>
                <w:color w:val="auto"/>
              </w:rPr>
            </w:pPr>
          </w:p>
        </w:tc>
      </w:tr>
      <w:tr>
        <w:trPr>
          <w:trHeight w:val="25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4,848,480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4,791,563</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original issue discount and unamortized debt issuance costs incurred in conjunction with debt.</w:t>
      </w:r>
    </w:p>
    <w:p>
      <w:pPr>
        <w:spacing w:after="0" w:line="13" w:lineRule="exact"/>
        <w:rPr>
          <w:rFonts w:ascii="Arial" w:cs="Arial" w:eastAsia="Arial" w:hAnsi="Arial"/>
          <w:sz w:val="14"/>
          <w:szCs w:val="14"/>
          <w:i w:val="1"/>
          <w:iCs w:val="1"/>
          <w:color w:val="auto"/>
        </w:rPr>
      </w:pPr>
    </w:p>
    <w:p>
      <w:pPr>
        <w:jc w:val="both"/>
        <w:ind w:left="340" w:hanging="332"/>
        <w:spacing w:after="0" w:line="241"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Revolving Credit Facility initially bore interest at LIBOR plus 2.25% and was subject to a 0.5% commitment fee. Upon our initial public offering, on February 5, 2018, the interest rate was reduced to LIBOR plus 2.00%. On May 15, 2019, we amended our Revolving Credit Facility to, among other things, increase borrowing capacity by $600 million to a total of $1.0 billion and extend the maturity date to May 2024. After giving effect to the amendments executed on May 15, 2019, borrowings under the Revolving Credit Facility will bear interest at a rate based on a leverage 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As of December 31, 2019, the commitment fee was 0.375%.</w:t>
      </w:r>
    </w:p>
    <w:p>
      <w:pPr>
        <w:spacing w:after="0" w:line="2"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Interest on any outstanding balance is payable monthly. The Term Loan B Facility initially bore interest at LIBOR plus 2.25%. Upon our initial public offering, on February 5, 2018, the interest rate was reduced to LIBOR plus 2.00%. In connection with the repricing of the Term Loan B Facility in January of 2020, the interest rate was decreased to LIBOR plus 1.75%. As of December 31, 2019, we had six interest rate swap agreements outstanding with third-party financial institutions having an aggregate notional amount of $2.0 billion at a blended LIBOR rate of 2.7173%. The interest rate swaps are designated as cash flow hedges that effectively fix the LIBOR component of the interest rate on a portion of the outstanding debt. Final maturity is December 2024 or, to the extent the Second Lien Notes remain outstanding, July 2023 (three months prior to the maturity of the Second Lien Notes).</w:t>
      </w:r>
    </w:p>
    <w:p>
      <w:pPr>
        <w:jc w:val="both"/>
        <w:ind w:left="340" w:hanging="332"/>
        <w:spacing w:after="0" w:line="241"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 Subsequent to the year end, on February 20, 2020 we used the proceeds from the issuance of the 2025 Notes to redeem in full the Second Lien Notes at a redemption price of 100% of the principal amount of the Second Lien Notes then outstanding plus the Second Lien Notes Applicable Premium, which resulted in a total redemption amount of approximately $537.5 million.</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quarterly.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February 2020 Senior Notes Offering and Redemption and Repayment of the Second Lien Notes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5, 2020, the Operating Partnership issued (i) $750 million in aggregate principal amount of 3.500% senior unsecured notes due 2025, (ii) $750 million in aggregate principal amount of 3.750% senior unsecured notes due 2027 and (iii) $1.0 billion of 4.125% senior unsecured notes due 2030. We placed $2.0 billion of the net proceeds into escrow pending the consummation of the Eldorado Transaction, and used the remaining net proceeds from the 2025 Notes, together with cash on hand, to redeem in full the outstanding $498.5 million in aggregate principal amount of the Second Lien Notes plus the Second Lien Notes Applicable Premium, which resulted in a total redemption amount of approximately $537.5 million. The 2025 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November 2019 Senior Notes Offering and Repayment of the CPLV CMBS Debt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26, 2019, the Operating Partnership issued (i) $1,250 million in aggregate principal amount of 4.250% Senior Notes due 2026, and (ii) $1,000 million in aggregate principal amount of 4.625% Senior Notes due 2029. We used the proceeds of the offering to repay in full the CPLV CMBS Debt, and pay certain fees and expenses, and any remaining net proceeds were used to complete the JACK Cleveland/Thistledown Acquisition (which we consummated on January 24, 2020). The 2026 Notes will mature on December 1, 2026, and the 2029 Notes will mature on December 1, 2029. Interest on the 2026 Notes will accrue at a rate of 4.250% per annum, and interest on the 2029 Notes will accrue at a rate of 4.625% per annum.</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79"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Initial Public Offering</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5, 2018, we completed an initial public offering of 69,575,000 shares of common stock (which included 9,075,000 shares of common stock related to the overallotment option exercised by the underwriters in full) at an offering price of $20.00 per share for gross proceeds of $1.4 billion, resulting in net proceeds of $1.3 billion after commissions and expenses. We utilized a portion of the net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22, 2017, VICI PropCo entered into a credit agreement (the “Credit Agreement”) governing the Term Loan B Facility and the Revolving Credit Facility. 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(as defined in the Credit Agreement)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Second Lien Notes were issued on October 6, 2017, pursuant to an indenture (the “Second Lien Notes Indenture”) by and among VICI PropCo and its wholly owned subsidiary, VICI FC Inc. (together, the “Second Lien Notes Issuers”), the subsidiary guarantors party thereto, and UMB Bank National Association, as trustee. The Second Lien Notes Indenture contains covenants that limit the Second Lien Notes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 Subsequent to December 31, 2019, on February 20, 2020 we used the proceeds from the issuance of the 2025 Notes to redeem in full the Second Lien Notes at a redemption price of 100% of the principal amount of the Second Lien Notes then outstanding plus the Second Lien Notes Applicable Premium, which resulted in a total redemption amount of approximately $537.5 million.</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November 2019 Senior Unsecured Notes were issued in November 2019, pursuant to indentures (the “2019 Senior Unsecured Notes Indentures”) by and among the Operating Partnership and VICI Note Co. Inc. (the “Co-Issuer” and, together with the Operating Partnership, the “2019 Senior Unsecured Notes Issuers”), the subsidiary guarantors party thereto and UMB Bank, National Association, as trustee. The 2019 Senior Unsecured Notes Indentures contains covenants that limit the 2019 Senior Unsecured Notes Issuers’ and their restricted subsidiaries’ ability to, among other things: (i) incur additional debt; (ii) create liens on assets; (iii) make distributions and pay dividends on or redeem or repurchase stock; (iv) make certain types of investments; (v) sell stock in certain subsidiaries; (vi) enter into agreements that restrict dividends or other payments from subsidiaries; (vii) enter into transactions with affiliates; (viii) issue guarantees of debt; and (ix) sell assets or merge with other companies.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79"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distribution, and the ability to make certain restricted payments not to exceed 95% of our cumulative Funds From Operations (as defined in the 2019 Senior Unsecured Notes Indentures), plus the aggregate net proceeds from (i) the sale of certain equity interests in, (ii) capital contributions to, and (iii) certain convertible indebtedness of, the Operating Partnership. The indentures governing the February 2020 Senior Unsecured Notes contain certain covenants substantially similar to those in the indentures governing the November 2019 Senior Unsecured Notes.</w:t>
      </w:r>
    </w:p>
    <w:p>
      <w:pPr>
        <w:spacing w:after="0" w:line="117" w:lineRule="exact"/>
        <w:rPr>
          <w:sz w:val="20"/>
          <w:szCs w:val="20"/>
          <w:color w:val="auto"/>
        </w:rPr>
      </w:pPr>
    </w:p>
    <w:p>
      <w:pPr>
        <w:ind w:right="2720"/>
        <w:spacing w:after="0" w:line="493" w:lineRule="auto"/>
        <w:rPr>
          <w:sz w:val="20"/>
          <w:szCs w:val="20"/>
          <w:color w:val="auto"/>
        </w:rPr>
      </w:pPr>
      <w:r>
        <w:rPr>
          <w:rFonts w:ascii="Arial" w:cs="Arial" w:eastAsia="Arial" w:hAnsi="Arial"/>
          <w:sz w:val="16"/>
          <w:szCs w:val="16"/>
          <w:color w:val="auto"/>
        </w:rPr>
        <w:t xml:space="preserve">At December 31, 2019, the Company was in compliance with all required debt-related financial covenants. </w:t>
      </w:r>
      <w:r>
        <w:rPr>
          <w:rFonts w:ascii="Arial" w:cs="Arial" w:eastAsia="Arial" w:hAnsi="Arial"/>
          <w:sz w:val="16"/>
          <w:szCs w:val="16"/>
          <w:b w:val="1"/>
          <w:bCs w:val="1"/>
          <w:i w:val="1"/>
          <w:iCs w:val="1"/>
          <w:color w:val="auto"/>
        </w:rPr>
        <w:t>Non-Guarantor Subsidiaries of November 2019 Senior Unsecured Notes and February 2020 Senior Unsecured Notes</w:t>
      </w:r>
    </w:p>
    <w:p>
      <w:pPr>
        <w:jc w:val="both"/>
        <w:ind w:right="20"/>
        <w:spacing w:after="0" w:line="286" w:lineRule="auto"/>
        <w:rPr>
          <w:sz w:val="20"/>
          <w:szCs w:val="20"/>
          <w:color w:val="auto"/>
        </w:rPr>
      </w:pPr>
      <w:r>
        <w:rPr>
          <w:rFonts w:ascii="Arial" w:cs="Arial" w:eastAsia="Arial" w:hAnsi="Arial"/>
          <w:sz w:val="17"/>
          <w:szCs w:val="17"/>
          <w:color w:val="auto"/>
        </w:rPr>
        <w:t>The subsidiaries of the Operating Partnership that do not guarantee the November 2019 Senior Unsecured Notes or the February 2020 Senior Unsecured Notes accounted for: (i) 7.0% of the Operating Partnership’s revenue (or 6.8% of our consolidated revenue) for the fiscal year ended December 31, 2019 and (ii) 5.2% of the Operating Partnership’s total assets (or 5.2% of our consolidated total assets) as of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are described in </w:t>
      </w:r>
      <w:hyperlink w:anchor="page3">
        <w:r>
          <w:rPr>
            <w:rFonts w:ascii="Arial" w:cs="Arial" w:eastAsia="Arial" w:hAnsi="Arial"/>
            <w:sz w:val="18"/>
            <w:szCs w:val="18"/>
            <w:u w:val="single" w:color="auto"/>
            <w:color w:val="0000EE"/>
          </w:rPr>
          <w:t>Item 1 “Business-Overview of our Lease Agreements”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79" w:lineRule="auto"/>
        <w:rPr>
          <w:rFonts w:ascii="Arial" w:cs="Arial" w:eastAsia="Arial" w:hAnsi="Arial"/>
          <w:sz w:val="17"/>
          <w:szCs w:val="17"/>
          <w:color w:val="0000EE"/>
        </w:rPr>
      </w:pPr>
      <w:hyperlink w:anchor="page3">
        <w:r>
          <w:rPr>
            <w:rFonts w:ascii="Arial" w:cs="Arial" w:eastAsia="Arial" w:hAnsi="Arial"/>
            <w:sz w:val="17"/>
            <w:szCs w:val="17"/>
            <w:color w:val="auto"/>
          </w:rPr>
          <w:t xml:space="preserve">Our leases provide for certain increases in rent as a result of a fixed annual rent escalator or changes in the Consumer Price Index as further described in </w:t>
        </w:r>
        <w:r>
          <w:rPr>
            <w:rFonts w:ascii="Arial" w:cs="Arial" w:eastAsia="Arial" w:hAnsi="Arial"/>
            <w:sz w:val="17"/>
            <w:szCs w:val="17"/>
            <w:u w:val="single" w:color="auto"/>
            <w:color w:val="0000EE"/>
          </w:rPr>
          <w:t>Item</w:t>
        </w:r>
      </w:hyperlink>
      <w:r>
        <w:rPr>
          <w:rFonts w:ascii="Arial" w:cs="Arial" w:eastAsia="Arial" w:hAnsi="Arial"/>
          <w:sz w:val="17"/>
          <w:szCs w:val="17"/>
          <w:color w:val="auto"/>
        </w:rPr>
        <w:t xml:space="preserve"> </w:t>
      </w:r>
      <w:hyperlink w:anchor="page3">
        <w:r>
          <w:rPr>
            <w:rFonts w:ascii="Arial" w:cs="Arial" w:eastAsia="Arial" w:hAnsi="Arial"/>
            <w:sz w:val="17"/>
            <w:szCs w:val="17"/>
            <w:u w:val="single" w:color="auto"/>
            <w:color w:val="0000EE"/>
          </w:rPr>
          <w:t>1 “Business-Overview of our Lease Agreements”</w:t>
        </w:r>
        <w:r>
          <w:rPr>
            <w:rFonts w:ascii="Arial" w:cs="Arial" w:eastAsia="Arial" w:hAnsi="Arial"/>
            <w:sz w:val="17"/>
            <w:szCs w:val="17"/>
            <w:color w:val="000000"/>
          </w:rPr>
          <w:t>. Inflation may cause the rent provisions to result in rent increases over time. However, we could be</w:t>
        </w:r>
      </w:hyperlink>
      <w:r>
        <w:rPr>
          <w:rFonts w:ascii="Arial" w:cs="Arial" w:eastAsia="Arial" w:hAnsi="Arial"/>
          <w:sz w:val="17"/>
          <w:szCs w:val="17"/>
          <w:color w:val="0000EE"/>
        </w:rPr>
        <w:t xml:space="preserve"> </w:t>
      </w:r>
      <w:r>
        <w:rPr>
          <w:rFonts w:ascii="Arial" w:cs="Arial" w:eastAsia="Arial" w:hAnsi="Arial"/>
          <w:sz w:val="17"/>
          <w:szCs w:val="17"/>
          <w:color w:val="000000"/>
        </w:rPr>
        <w:t>negatively affected if increases in rent are not sufficient to cover increases in our operating expenses due to inflation. In addition, inflation and increased cost may have an adverse impact on our tenants if increases in their operating expenses exceed increases in revenue due to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as of the date this report was filed, we do not have any off-balance sheet arrangements.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79"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are prepared in accordance with GAAP. We have identified certain accounting policies that we believe are the most critical to the presentation of our financial information over a period of time. These accounting policies may require our management to take decisions on subjective and/or complex matters relating to reported amounts of assets, liabilities, revenue, costs, expenses and related disclosures, including, but not limited to, the application of fresh start reporting, determining the useful lives of real estate properties, and evaluating the impairment of long-lived assets, and allocation of costs and deferred income taxes. The judgment on such estimates and underlying assumptions is based on our historical experience that we believe is reasonable under the circumstances. Actual results may differ from the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Sales-Type Leases,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adoption of ASC 842, we made an accounting policy election to use a package of practical expedients that, among other things, allow us to not reassess prior lease classifications or initial direct costs for leases that existed as of the balance sheet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79"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Within 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2-3 Years</w:t>
            </w: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4-5 Years</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After 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9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5"/>
                <w:szCs w:val="25"/>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1,250,000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 xml:space="preserve">Term Loan B Facility, principal </w:t>
            </w:r>
            <w:r>
              <w:rPr>
                <w:rFonts w:ascii="Arial" w:cs="Arial" w:eastAsia="Arial" w:hAnsi="Arial"/>
                <w:sz w:val="25"/>
                <w:szCs w:val="25"/>
                <w:color w:val="auto"/>
                <w:vertAlign w:val="superscript"/>
              </w:rPr>
              <w:t>(4)</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2,100,000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2,090,000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Second Lien Notes, principal </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498,480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 xml:space="preserve">Revolving Credit Facility, principal </w:t>
            </w:r>
            <w:r>
              <w:rPr>
                <w:rFonts w:ascii="Arial" w:cs="Arial" w:eastAsia="Arial" w:hAnsi="Arial"/>
                <w:sz w:val="25"/>
                <w:szCs w:val="25"/>
                <w:color w:val="auto"/>
                <w:vertAlign w:val="superscript"/>
              </w:rPr>
              <w:t>(6)</w:t>
            </w: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5"/>
                <w:szCs w:val="25"/>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1,451,134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242,823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479,284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399,808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329,219</w:t>
            </w:r>
          </w:p>
        </w:tc>
        <w:tc>
          <w:tcPr>
            <w:tcW w:w="0" w:type="dxa"/>
            <w:vAlign w:val="bottom"/>
          </w:tcPr>
          <w:p>
            <w:pPr>
              <w:spacing w:after="0"/>
              <w:rPr>
                <w:sz w:val="1"/>
                <w:szCs w:val="1"/>
                <w:color w:val="auto"/>
              </w:rPr>
            </w:pPr>
          </w:p>
        </w:tc>
      </w:tr>
      <w:tr>
        <w:trPr>
          <w:trHeight w:val="237"/>
        </w:trPr>
        <w:tc>
          <w:tcPr>
            <w:tcW w:w="4940" w:type="dxa"/>
            <w:vAlign w:val="bottom"/>
            <w:gridSpan w:val="3"/>
          </w:tcPr>
          <w:p>
            <w:pPr>
              <w:ind w:left="40"/>
              <w:spacing w:after="0"/>
              <w:rPr>
                <w:sz w:val="20"/>
                <w:szCs w:val="20"/>
                <w:color w:val="auto"/>
              </w:rPr>
            </w:pPr>
            <w:r>
              <w:rPr>
                <w:rFonts w:ascii="Arial" w:cs="Arial" w:eastAsia="Arial" w:hAnsi="Arial"/>
                <w:sz w:val="18"/>
                <w:szCs w:val="18"/>
                <w:color w:val="auto"/>
              </w:rPr>
              <w:t>Total debt contractual obligations</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6,299,614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242,823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489,284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2,988,288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2,579,219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40" w:type="dxa"/>
            <w:vAlign w:val="bottom"/>
            <w:gridSpan w:val="3"/>
          </w:tcPr>
          <w:p>
            <w:pPr>
              <w:ind w:left="40"/>
              <w:spacing w:after="0"/>
              <w:rPr>
                <w:sz w:val="20"/>
                <w:szCs w:val="20"/>
                <w:color w:val="auto"/>
              </w:rPr>
            </w:pPr>
            <w:r>
              <w:rPr>
                <w:rFonts w:ascii="Arial" w:cs="Arial" w:eastAsia="Arial" w:hAnsi="Arial"/>
                <w:sz w:val="18"/>
                <w:szCs w:val="18"/>
                <w:color w:val="auto"/>
              </w:rPr>
              <w:t>Leases and contracts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for Cascata Golf Course Land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Golf maintenance contract for Rio Secco and Cascata Golf</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Course</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Office leases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37"/>
        </w:trPr>
        <w:tc>
          <w:tcPr>
            <w:tcW w:w="4940" w:type="dxa"/>
            <w:vAlign w:val="bottom"/>
            <w:gridSpan w:val="3"/>
          </w:tcPr>
          <w:p>
            <w:pPr>
              <w:ind w:left="40"/>
              <w:spacing w:after="0"/>
              <w:rPr>
                <w:sz w:val="20"/>
                <w:szCs w:val="20"/>
                <w:color w:val="auto"/>
              </w:rPr>
            </w:pPr>
            <w:r>
              <w:rPr>
                <w:rFonts w:ascii="Arial" w:cs="Arial" w:eastAsia="Arial" w:hAnsi="Arial"/>
                <w:sz w:val="18"/>
                <w:szCs w:val="18"/>
                <w:color w:val="auto"/>
              </w:rPr>
              <w:t>Total leases and contract obligations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gridSpan w:val="3"/>
          </w:tcPr>
          <w:p>
            <w:pPr>
              <w:ind w:left="40"/>
              <w:spacing w:after="0"/>
              <w:rPr>
                <w:sz w:val="20"/>
                <w:szCs w:val="20"/>
                <w:color w:val="auto"/>
              </w:rPr>
            </w:pPr>
            <w:r>
              <w:rPr>
                <w:rFonts w:ascii="Arial" w:cs="Arial" w:eastAsia="Arial" w:hAnsi="Arial"/>
                <w:sz w:val="18"/>
                <w:szCs w:val="18"/>
                <w:color w:val="auto"/>
              </w:rPr>
              <w:t>Total Contractual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6,342,722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247,578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499,566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2,995,376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2,600,202</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180" w:hanging="172"/>
        <w:spacing w:after="0" w:line="251" w:lineRule="auto"/>
        <w:tabs>
          <w:tab w:leader="none" w:pos="196"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Subsequent to December 31, 2019, on February 5, 2020, the Operating Partnership issued (i) $750.0 million in aggregate principal amount of 3.500% senior unsecured notes due 2025, (ii) $750.0 million in aggregate principal amount of 3.750% senior unsecured notes due 2027 and (iii) $1.0 billion of 4.125% senior unsecured notes due 2030. The 2025 Notes will mature on February 15, 2025, the 2027 Notes will mature on February 15, 2027 and the 2030 Notes will mature on August 15, 2030.</w:t>
      </w:r>
    </w:p>
    <w:p>
      <w:pPr>
        <w:spacing w:after="0" w:line="1" w:lineRule="exact"/>
        <w:rPr>
          <w:rFonts w:ascii="Arial" w:cs="Arial" w:eastAsia="Arial" w:hAnsi="Arial"/>
          <w:sz w:val="23"/>
          <w:szCs w:val="23"/>
          <w:color w:val="auto"/>
          <w:vertAlign w:val="superscript"/>
        </w:rPr>
      </w:pPr>
    </w:p>
    <w:p>
      <w:pPr>
        <w:ind w:left="200" w:hanging="192"/>
        <w:spacing w:after="0" w:line="196" w:lineRule="auto"/>
        <w:tabs>
          <w:tab w:leader="none" w:pos="200"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The 2026 Notes will mature on December 1, 2026.</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The 2029 Notes will mature on December 1, 2029.</w:t>
      </w:r>
    </w:p>
    <w:p>
      <w:pPr>
        <w:spacing w:after="0" w:line="24" w:lineRule="exact"/>
        <w:rPr>
          <w:rFonts w:ascii="Arial" w:cs="Arial" w:eastAsia="Arial" w:hAnsi="Arial"/>
          <w:sz w:val="22"/>
          <w:szCs w:val="22"/>
          <w:color w:val="auto"/>
          <w:vertAlign w:val="superscript"/>
        </w:rPr>
      </w:pPr>
    </w:p>
    <w:p>
      <w:pPr>
        <w:jc w:val="both"/>
        <w:ind w:left="180" w:hanging="172"/>
        <w:spacing w:after="0" w:line="265" w:lineRule="auto"/>
        <w:tabs>
          <w:tab w:leader="none" w:pos="196"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the date that is three months prior to the maturity of the Second Lien Notes, whichever is earlier (or if the maturity is extended pursuant to the terms of the agreement, such extended maturity date as determined pursuant thereto). Subsequent to December 31, 2019, on January 24, 2020 the Term Loan B Facility was amended to reduce the interest rate from LIBOR plus 2.00% to LIBOR plus 1.75%</w:t>
      </w:r>
    </w:p>
    <w:p>
      <w:pPr>
        <w:spacing w:after="0" w:line="12" w:lineRule="exact"/>
        <w:rPr>
          <w:rFonts w:ascii="Arial" w:cs="Arial" w:eastAsia="Arial" w:hAnsi="Arial"/>
          <w:sz w:val="23"/>
          <w:szCs w:val="23"/>
          <w:color w:val="auto"/>
          <w:vertAlign w:val="superscript"/>
        </w:rPr>
      </w:pPr>
    </w:p>
    <w:p>
      <w:pPr>
        <w:jc w:val="both"/>
        <w:ind w:left="180" w:hanging="172"/>
        <w:spacing w:after="0" w:line="251" w:lineRule="auto"/>
        <w:tabs>
          <w:tab w:leader="none" w:pos="196"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Subsequent to the year end, on February 20, 2020 we used the proceeds from the issuance of the 2025 Notes to redeem in full the Second Lien Notes at a redemption price of 100% of the principal amount of the Second Lien Notes then outstanding plus the Second Lien Notes Applicable Premium, which resulted in a total redemption amount of approximately $537.5 million.</w:t>
      </w:r>
    </w:p>
    <w:p>
      <w:pPr>
        <w:spacing w:after="0" w:line="1" w:lineRule="exact"/>
        <w:rPr>
          <w:rFonts w:ascii="Arial" w:cs="Arial" w:eastAsia="Arial" w:hAnsi="Arial"/>
          <w:sz w:val="23"/>
          <w:szCs w:val="23"/>
          <w:color w:val="auto"/>
          <w:vertAlign w:val="superscript"/>
        </w:rPr>
      </w:pPr>
    </w:p>
    <w:p>
      <w:pPr>
        <w:ind w:left="200" w:hanging="192"/>
        <w:spacing w:after="0" w:line="196" w:lineRule="auto"/>
        <w:tabs>
          <w:tab w:leader="none" w:pos="200"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The Revolving Credit Facility will mature on May 15, 2024.</w:t>
      </w:r>
    </w:p>
    <w:p>
      <w:pPr>
        <w:spacing w:after="0" w:line="23" w:lineRule="exact"/>
        <w:rPr>
          <w:rFonts w:ascii="Arial" w:cs="Arial" w:eastAsia="Arial" w:hAnsi="Arial"/>
          <w:sz w:val="23"/>
          <w:szCs w:val="23"/>
          <w:color w:val="auto"/>
          <w:vertAlign w:val="superscript"/>
        </w:rPr>
      </w:pPr>
    </w:p>
    <w:p>
      <w:pPr>
        <w:ind w:left="180" w:hanging="172"/>
        <w:spacing w:after="0" w:line="191" w:lineRule="auto"/>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4"/>
          <w:szCs w:val="14"/>
          <w:color w:val="auto"/>
        </w:rPr>
        <w:t>Estimated interest payments on variable interest loans are based on a LIBOR rate as of December 31, 2019.</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79"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income, cash flows and fair values relevant to financial instruments are dependent upon prevailing market interest rates. In the normal course of business, we are exposed to the effect of interest rate changes. We have entered into derivative agreements to mitigate exposure to unexpected changes in interest. Market risk refers to the risk of loss from adverse changes in market interest rates. We periodically use derivative financial instruments to seek to manage, or hedge, interest rate risks related to our borrowings. We do not use derivatives for trading or speculative purposes and only enter into contracts with major financial institutions based on their credit rating and other factors. We intend to enter into derivative agreements only with counterparties that we believe have a strong credit rating to mitigate the risk of counterparty default or insolvency.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$4,848.5 million of debt outstanding of which $2,748.5 million was fixed rate debt and $2,000.0 million was hedged variable rate debt, the remaining $100.0 million of our indebtedness was unhedged. As of December 31, 2019, a one percent increase or decrease in the annual interest rate on our unhedged variable rate borrowings of $100.0 million would increase or decrease our annual cash interest expense by approximately $1.0 million.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w:t>
      </w:r>
    </w:p>
    <w:p>
      <w:pPr>
        <w:spacing w:after="0" w:line="27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Financial Data</w:t>
      </w:r>
    </w:p>
    <w:p>
      <w:pPr>
        <w:spacing w:after="0" w:line="192"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financial statements required by this item and the reports of the independent accountants thereon required by Item 15 - Exhibits and Financial Statement Schedules of this Form 10-K appear on pages F-2 to F-63. See accompanying </w:t>
      </w:r>
      <w:hyperlink w:anchor="page84">
        <w:r>
          <w:rPr>
            <w:rFonts w:ascii="Arial" w:cs="Arial" w:eastAsia="Arial" w:hAnsi="Arial"/>
            <w:sz w:val="17"/>
            <w:szCs w:val="17"/>
            <w:u w:val="single" w:color="auto"/>
            <w:color w:val="0000EE"/>
          </w:rPr>
          <w:t>Index to the 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on page F-1. The supplementary financial data required by Item 302 of Regulation S-K appears in pages S-1 to S-6 to the consolidated financial statements.</w:t>
      </w:r>
    </w:p>
    <w:p>
      <w:pPr>
        <w:spacing w:after="0" w:line="26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79"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the design and operation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reporting purposes in accordance with GAAP.</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our management; and provide reasonable assurance regarding prevention or timely detection of unauthorized acquisition, use or disposition of our assets that could have a material effect on our consolidated financial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2019 based on the framework established in the updated Internal Control – Integrated Framework (2013) issued by the Committee of Sponsoring Organizations of the Treadway Commission (COSO). Based on this assessment, management has determined that our internal control over financial reporting was effective as of December 31, 2019.</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audited our financial statements included in this report on Form 10-K and issued its attestation report, which is included herein and expresses an unqualified opinion on the effectiveness of our internal control over financial reporting as of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is defined in Rules 13a–15(f) and 15d–15(f) under the Exchange Act) that occurred during our most recent quarter, that has materially affected, or is reasonably likely to materially affect, our internal control over financial reporting.</w:t>
      </w:r>
    </w:p>
    <w:p>
      <w:pPr>
        <w:spacing w:after="0" w:line="21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79"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III</w:t>
      </w:r>
    </w:p>
    <w:p>
      <w:pPr>
        <w:spacing w:after="0" w:line="31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29, 2020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29, 2020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29, 2020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29, 2020 with the SEC pursuant to Regulation 14A under the Exchange Act.</w:t>
      </w:r>
    </w:p>
    <w:p>
      <w:pPr>
        <w:spacing w:after="0" w:line="26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29, 2020 with the SEC pursuant to Regulation 14A under the Exchange Act.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79"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368"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b w:val="1"/>
          <w:bCs w:val="1"/>
          <w:color w:val="auto"/>
        </w:rPr>
        <w:t>Financial Statements.</w:t>
      </w:r>
    </w:p>
    <w:p>
      <w:pPr>
        <w:spacing w:after="0" w:line="17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the accompanying </w:t>
      </w:r>
      <w:hyperlink w:anchor="page84">
        <w:r>
          <w:rPr>
            <w:rFonts w:ascii="Arial" w:cs="Arial" w:eastAsia="Arial" w:hAnsi="Arial"/>
            <w:sz w:val="16"/>
            <w:szCs w:val="16"/>
            <w:u w:val="single" w:color="auto"/>
            <w:color w:val="0000EE"/>
          </w:rPr>
          <w:t>Index to Consolidated Financial Statements and Schedules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F-1.</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5"/>
          <w:szCs w:val="15"/>
          <w:b w:val="1"/>
          <w:bCs w:val="1"/>
          <w:color w:val="auto"/>
        </w:rPr>
        <w:t>Financial Statement Schedules.</w:t>
      </w:r>
    </w:p>
    <w:p>
      <w:pPr>
        <w:spacing w:after="0" w:line="17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the accompanying </w:t>
      </w:r>
      <w:hyperlink w:anchor="page84">
        <w:r>
          <w:rPr>
            <w:rFonts w:ascii="Arial" w:cs="Arial" w:eastAsia="Arial" w:hAnsi="Arial"/>
            <w:sz w:val="16"/>
            <w:szCs w:val="16"/>
            <w:u w:val="single" w:color="auto"/>
            <w:color w:val="0000EE"/>
          </w:rPr>
          <w:t>Index to Consolidated Financial Statements and Schedules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F-1.</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gridSpan w:val="19"/>
            <w:vMerge w:val="restart"/>
          </w:tcPr>
          <w:p>
            <w:pPr>
              <w:ind w:left="4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center"/>
              <w:spacing w:after="0" w:line="202"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20" w:type="dxa"/>
            <w:vAlign w:val="bottom"/>
            <w:tcBorders>
              <w:top w:val="single" w:sz="8" w:color="auto"/>
            </w:tcBorders>
            <w:gridSpan w:val="25"/>
          </w:tcPr>
          <w:p>
            <w:pPr>
              <w:spacing w:after="0" w:line="202"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Third Amended Joint Plan of Reorganization of Caesars Entertainment Operating</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5"/>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Company, Inc., et al., under Chapter 11 of the Bankruptcy Code, dated January 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ind w:left="20"/>
              <w:spacing w:after="0" w:line="196" w:lineRule="exact"/>
              <w:rPr>
                <w:rFonts w:ascii="Arial" w:cs="Arial" w:eastAsia="Arial" w:hAnsi="Arial"/>
                <w:sz w:val="18"/>
                <w:szCs w:val="18"/>
                <w:color w:val="0000FF"/>
                <w:w w:val="84"/>
              </w:rPr>
            </w:pPr>
            <w:hyperlink r:id="rId26">
              <w:r>
                <w:rPr>
                  <w:rFonts w:ascii="Arial" w:cs="Arial" w:eastAsia="Arial" w:hAnsi="Arial"/>
                  <w:sz w:val="18"/>
                  <w:szCs w:val="18"/>
                  <w:color w:val="0000FF"/>
                  <w:w w:val="84"/>
                </w:rPr>
                <w:t>2016.</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8"/>
                <w:szCs w:val="18"/>
                <w:color w:val="0000FF"/>
              </w:rPr>
            </w:pPr>
            <w:hyperlink r:id="rId27">
              <w:r>
                <w:rPr>
                  <w:rFonts w:ascii="Arial" w:cs="Arial" w:eastAsia="Arial" w:hAnsi="Arial"/>
                  <w:sz w:val="18"/>
                  <w:szCs w:val="18"/>
                  <w:color w:val="0000FF"/>
                </w:rPr>
                <w:t>Separation Agreement, dated as of October 6, 2017, between Caesars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Entertainment Operating Company, Inc. and VICI Properties Inc.</w:t>
              </w:r>
            </w:hyperlink>
          </w:p>
        </w:tc>
        <w:tc>
          <w:tcPr>
            <w:tcW w:w="280" w:type="dxa"/>
            <w:vAlign w:val="bottom"/>
            <w:tcBorders>
              <w:top w:val="single" w:sz="8" w:color="0000FF"/>
            </w:tcBorders>
          </w:tcPr>
          <w:p>
            <w:pPr>
              <w:spacing w:after="0"/>
              <w:rPr>
                <w:sz w:val="17"/>
                <w:szCs w:val="17"/>
                <w:color w:val="auto"/>
              </w:rPr>
            </w:pPr>
          </w:p>
        </w:tc>
        <w:tc>
          <w:tcPr>
            <w:tcW w:w="1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2.</w:t>
              </w:r>
              <w:r>
                <w:rPr>
                  <w:rFonts w:ascii="Arial" w:cs="Arial" w:eastAsia="Arial" w:hAnsi="Arial"/>
                  <w:sz w:val="18"/>
                  <w:szCs w:val="18"/>
                  <w:u w:val="single" w:color="auto"/>
                  <w:color w:val="0000FF"/>
                  <w:w w:val="95"/>
                </w:rPr>
                <w:t>3</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20"/>
          </w:tcPr>
          <w:p>
            <w:pPr>
              <w:spacing w:after="0"/>
              <w:rPr>
                <w:rFonts w:ascii="Arial" w:cs="Arial" w:eastAsia="Arial" w:hAnsi="Arial"/>
                <w:sz w:val="18"/>
                <w:szCs w:val="18"/>
                <w:color w:val="0000FF"/>
                <w:w w:val="88"/>
              </w:rPr>
            </w:pPr>
            <w:hyperlink r:id="rId28">
              <w:r>
                <w:rPr>
                  <w:rFonts w:ascii="Arial" w:cs="Arial" w:eastAsia="Arial" w:hAnsi="Arial"/>
                  <w:sz w:val="18"/>
                  <w:szCs w:val="18"/>
                  <w:color w:val="0000FF"/>
                  <w:w w:val="88"/>
                </w:rPr>
                <w:t>Purchase and Sale Agreement dated as of July 11, 2018 by and between Chester</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Downs and Marina, LLC and Philadelphia Propco LLC</w:t>
              </w:r>
            </w:hyperlink>
          </w:p>
        </w:tc>
        <w:tc>
          <w:tcPr>
            <w:tcW w:w="2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2.</w:t>
              </w:r>
              <w:r>
                <w:rPr>
                  <w:rFonts w:ascii="Arial" w:cs="Arial" w:eastAsia="Arial" w:hAnsi="Arial"/>
                  <w:sz w:val="18"/>
                  <w:szCs w:val="18"/>
                  <w:u w:val="single" w:color="auto"/>
                  <w:color w:val="0000FF"/>
                  <w:w w:val="95"/>
                </w:rPr>
                <w:t>4</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Equity Purchase Agreement dated as of April 5, 2019 by and among Jack Ohio</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Finance LLC and VICI Properties L.P.</w:t>
              </w:r>
            </w:hyperlink>
          </w:p>
        </w:tc>
        <w:tc>
          <w:tcPr>
            <w:tcW w:w="2900" w:type="dxa"/>
            <w:vAlign w:val="bottom"/>
            <w:tcBorders>
              <w:top w:val="single" w:sz="8" w:color="0000FF"/>
            </w:tcBorders>
            <w:gridSpan w:val="12"/>
          </w:tcPr>
          <w:p>
            <w:pPr>
              <w:spacing w:after="0"/>
              <w:rPr>
                <w:sz w:val="17"/>
                <w:szCs w:val="17"/>
                <w:color w:val="auto"/>
              </w:rPr>
            </w:pP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2.</w:t>
              </w:r>
              <w:r>
                <w:rPr>
                  <w:rFonts w:ascii="Arial" w:cs="Arial" w:eastAsia="Arial" w:hAnsi="Arial"/>
                  <w:sz w:val="18"/>
                  <w:szCs w:val="18"/>
                  <w:u w:val="single" w:color="auto"/>
                  <w:color w:val="0000FF"/>
                  <w:w w:val="95"/>
                </w:rPr>
                <w:t>5</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Borders>
              <w:bottom w:val="single" w:sz="8" w:color="0000FF"/>
            </w:tcBorders>
            <w:gridSpan w:val="24"/>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Transaction Agreement dated as of April 5, 2019 by and among Jack Ohio Finance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5"/>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LLC, Jack Ohio LLC, HR Cincinnati, LLC, VICI Properties L.P. and Seminole HR</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Holdings, LLC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31">
              <w:r>
                <w:rPr>
                  <w:rFonts w:ascii="Arial" w:cs="Arial" w:eastAsia="Arial" w:hAnsi="Arial"/>
                  <w:sz w:val="18"/>
                  <w:szCs w:val="18"/>
                  <w:color w:val="0000FF"/>
                  <w:w w:val="95"/>
                </w:rPr>
                <w:t>2.</w:t>
              </w:r>
              <w:r>
                <w:rPr>
                  <w:rFonts w:ascii="Arial" w:cs="Arial" w:eastAsia="Arial" w:hAnsi="Arial"/>
                  <w:sz w:val="18"/>
                  <w:szCs w:val="18"/>
                  <w:u w:val="single" w:color="auto"/>
                  <w:color w:val="0000FF"/>
                  <w:w w:val="95"/>
                </w:rPr>
                <w:t>6</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8"/>
          </w:tcPr>
          <w:p>
            <w:pPr>
              <w:spacing w:after="0"/>
              <w:rPr>
                <w:rFonts w:ascii="Arial" w:cs="Arial" w:eastAsia="Arial" w:hAnsi="Arial"/>
                <w:sz w:val="18"/>
                <w:szCs w:val="18"/>
                <w:color w:val="0000FF"/>
                <w:w w:val="88"/>
              </w:rPr>
            </w:pPr>
            <w:hyperlink r:id="rId31">
              <w:r>
                <w:rPr>
                  <w:rFonts w:ascii="Arial" w:cs="Arial" w:eastAsia="Arial" w:hAnsi="Arial"/>
                  <w:sz w:val="18"/>
                  <w:szCs w:val="18"/>
                  <w:color w:val="0000FF"/>
                  <w:w w:val="88"/>
                </w:rPr>
                <w:t>Purchase and Sale Agreement dated as of September 26, 2019 by and between</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Eldorado Resorts, Inc. and VICI Properties L.P. (Harrah’s New Orleans; New</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Orleans, Louisiana)</w:t>
              </w:r>
            </w:hyperlink>
          </w:p>
        </w:tc>
        <w:tc>
          <w:tcPr>
            <w:tcW w:w="4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153">
              <w:r>
                <w:rPr>
                  <w:rFonts w:ascii="Arial" w:cs="Arial" w:eastAsia="Arial" w:hAnsi="Arial"/>
                  <w:sz w:val="18"/>
                  <w:szCs w:val="18"/>
                  <w:color w:val="0000FF"/>
                  <w:w w:val="95"/>
                </w:rPr>
                <w:t>2.</w:t>
              </w:r>
              <w:r>
                <w:rPr>
                  <w:rFonts w:ascii="Arial" w:cs="Arial" w:eastAsia="Arial" w:hAnsi="Arial"/>
                  <w:sz w:val="18"/>
                  <w:szCs w:val="18"/>
                  <w:u w:val="single" w:color="auto"/>
                  <w:color w:val="0000FF"/>
                  <w:w w:val="95"/>
                </w:rPr>
                <w:t>7</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53">
              <w:r>
                <w:rPr>
                  <w:rFonts w:ascii="Arial" w:cs="Arial" w:eastAsia="Arial" w:hAnsi="Arial"/>
                  <w:sz w:val="18"/>
                  <w:szCs w:val="18"/>
                  <w:color w:val="0000FF"/>
                  <w:w w:val="89"/>
                </w:rPr>
                <w:t>First Amendment to Purchase and Sale Agreement by and between Eldorado</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5"/>
          </w:tcPr>
          <w:p>
            <w:pPr>
              <w:spacing w:after="0" w:line="196" w:lineRule="exact"/>
              <w:rPr>
                <w:rFonts w:ascii="Arial" w:cs="Arial" w:eastAsia="Arial" w:hAnsi="Arial"/>
                <w:sz w:val="18"/>
                <w:szCs w:val="18"/>
                <w:color w:val="0000FF"/>
                <w:w w:val="98"/>
              </w:rPr>
            </w:pPr>
            <w:hyperlink w:anchor="page153">
              <w:r>
                <w:rPr>
                  <w:rFonts w:ascii="Arial" w:cs="Arial" w:eastAsia="Arial" w:hAnsi="Arial"/>
                  <w:sz w:val="18"/>
                  <w:szCs w:val="18"/>
                  <w:color w:val="0000FF"/>
                  <w:w w:val="98"/>
                </w:rPr>
                <w:t>Resorts, Inc. and VICI Properties L.P. (Harrah’s New Orleans; New Orleans,</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153">
              <w:r>
                <w:rPr>
                  <w:rFonts w:ascii="Arial" w:cs="Arial" w:eastAsia="Arial" w:hAnsi="Arial"/>
                  <w:sz w:val="18"/>
                  <w:szCs w:val="18"/>
                  <w:color w:val="0000FF"/>
                </w:rPr>
                <w:t>Louisiana)</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2.</w:t>
              </w:r>
              <w:r>
                <w:rPr>
                  <w:rFonts w:ascii="Arial" w:cs="Arial" w:eastAsia="Arial" w:hAnsi="Arial"/>
                  <w:sz w:val="18"/>
                  <w:szCs w:val="18"/>
                  <w:u w:val="single" w:color="auto"/>
                  <w:color w:val="0000FF"/>
                  <w:w w:val="95"/>
                </w:rPr>
                <w:t>8</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8"/>
          </w:tcPr>
          <w:p>
            <w:pPr>
              <w:spacing w:after="0"/>
              <w:rPr>
                <w:rFonts w:ascii="Arial" w:cs="Arial" w:eastAsia="Arial" w:hAnsi="Arial"/>
                <w:sz w:val="18"/>
                <w:szCs w:val="18"/>
                <w:color w:val="0000FF"/>
                <w:w w:val="88"/>
              </w:rPr>
            </w:pPr>
            <w:hyperlink r:id="rId32">
              <w:r>
                <w:rPr>
                  <w:rFonts w:ascii="Arial" w:cs="Arial" w:eastAsia="Arial" w:hAnsi="Arial"/>
                  <w:sz w:val="18"/>
                  <w:szCs w:val="18"/>
                  <w:color w:val="0000FF"/>
                  <w:w w:val="88"/>
                </w:rPr>
                <w:t>Purchase and Sale Agreement dated as of September 26, 2019 by and between</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Eldorado Resorts, Inc. and VICI Properties L.P. (Harrah’s Resort Atlantic City and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Harrah’s Atlantic City Waterfront Conference Center; Atlantic City, New Jersey)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2.</w:t>
              </w:r>
              <w:r>
                <w:rPr>
                  <w:rFonts w:ascii="Arial" w:cs="Arial" w:eastAsia="Arial" w:hAnsi="Arial"/>
                  <w:sz w:val="18"/>
                  <w:szCs w:val="18"/>
                  <w:u w:val="single" w:color="auto"/>
                  <w:color w:val="0000FF"/>
                  <w:w w:val="95"/>
                </w:rPr>
                <w:t>9</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8"/>
          </w:tcPr>
          <w:p>
            <w:pPr>
              <w:spacing w:after="0"/>
              <w:rPr>
                <w:rFonts w:ascii="Arial" w:cs="Arial" w:eastAsia="Arial" w:hAnsi="Arial"/>
                <w:sz w:val="18"/>
                <w:szCs w:val="18"/>
                <w:color w:val="0000FF"/>
                <w:w w:val="88"/>
              </w:rPr>
            </w:pPr>
            <w:hyperlink r:id="rId33">
              <w:r>
                <w:rPr>
                  <w:rFonts w:ascii="Arial" w:cs="Arial" w:eastAsia="Arial" w:hAnsi="Arial"/>
                  <w:sz w:val="18"/>
                  <w:szCs w:val="18"/>
                  <w:color w:val="0000FF"/>
                  <w:w w:val="88"/>
                </w:rPr>
                <w:t>Purchase and Sale Agreement dated as of September 26, 2019 by and between</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Eldorado Resorts, Inc. and VICI Properties L.P. (Harrah’s Laughlin Hotel &amp;</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Casino; Laughlin, Nevada)</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8"/>
                <w:szCs w:val="18"/>
                <w:color w:val="0000FF"/>
              </w:rPr>
            </w:pPr>
            <w:hyperlink r:id="rId34">
              <w:r>
                <w:rPr>
                  <w:rFonts w:ascii="Arial" w:cs="Arial" w:eastAsia="Arial" w:hAnsi="Arial"/>
                  <w:sz w:val="18"/>
                  <w:szCs w:val="18"/>
                  <w:color w:val="0000FF"/>
                </w:rPr>
                <w:t>Articles of Amendment and Restatement of VICI Properties Inc.</w:t>
              </w:r>
            </w:hyperlink>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Amended and Restated Bylaws of VICI Properties Inc.</w:t>
              </w:r>
            </w:hyperlink>
          </w:p>
        </w:tc>
        <w:tc>
          <w:tcPr>
            <w:tcW w:w="680" w:type="dxa"/>
            <w:vAlign w:val="bottom"/>
            <w:tcBorders>
              <w:top w:val="single" w:sz="8" w:color="0000FF"/>
            </w:tcBorders>
            <w:gridSpan w:val="2"/>
          </w:tcPr>
          <w:p>
            <w:pPr>
              <w:spacing w:after="0"/>
              <w:rPr>
                <w:sz w:val="24"/>
                <w:szCs w:val="24"/>
                <w:color w:val="auto"/>
              </w:rPr>
            </w:pPr>
          </w:p>
        </w:tc>
        <w:tc>
          <w:tcPr>
            <w:tcW w:w="1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7"/>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Indenture, dated as of October 6, 2017, by and among VICI Properties 1 LLC,</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25"/>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VICI FC Inc., the subsidiary guarantors party thereto from time to time, and UMB</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120" w:type="dxa"/>
            <w:vAlign w:val="bottom"/>
            <w:gridSpan w:val="17"/>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Bank, National Association, as trustee, governing the 8.0% Second-Priority Senior</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5"/>
          </w:tcPr>
          <w:p>
            <w:pPr>
              <w:spacing w:after="0" w:line="196" w:lineRule="exact"/>
              <w:rPr>
                <w:rFonts w:ascii="Arial" w:cs="Arial" w:eastAsia="Arial" w:hAnsi="Arial"/>
                <w:sz w:val="18"/>
                <w:szCs w:val="18"/>
                <w:color w:val="0000FF"/>
                <w:w w:val="87"/>
              </w:rPr>
            </w:pPr>
            <w:hyperlink r:id="rId36">
              <w:r>
                <w:rPr>
                  <w:rFonts w:ascii="Arial" w:cs="Arial" w:eastAsia="Arial" w:hAnsi="Arial"/>
                  <w:sz w:val="18"/>
                  <w:szCs w:val="18"/>
                  <w:color w:val="0000FF"/>
                  <w:w w:val="87"/>
                </w:rPr>
                <w:t>Secured Notes due 2023.</w:t>
              </w:r>
            </w:hyperlink>
          </w:p>
        </w:tc>
        <w:tc>
          <w:tcPr>
            <w:tcW w:w="42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9"/>
        </w:trPr>
        <w:tc>
          <w:tcPr>
            <w:tcW w:w="10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Filed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T-3/A of VICI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Properties 1</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T3E-2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8/11/2017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7/12/2018</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9/25/2019</w:t>
            </w:r>
          </w:p>
        </w:tc>
        <w:tc>
          <w:tcPr>
            <w:tcW w:w="0" w:type="dxa"/>
            <w:vAlign w:val="bottom"/>
          </w:tcPr>
          <w:p>
            <w:pPr>
              <w:spacing w:after="0"/>
              <w:rPr>
                <w:sz w:val="1"/>
                <w:szCs w:val="1"/>
                <w:color w:val="auto"/>
              </w:rPr>
            </w:pPr>
          </w:p>
        </w:tc>
      </w:tr>
      <w:tr>
        <w:trPr>
          <w:trHeight w:val="71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9/25/2019</w:t>
            </w:r>
          </w:p>
        </w:tc>
        <w:tc>
          <w:tcPr>
            <w:tcW w:w="0" w:type="dxa"/>
            <w:vAlign w:val="bottom"/>
          </w:tcPr>
          <w:p>
            <w:pPr>
              <w:spacing w:after="0"/>
              <w:rPr>
                <w:sz w:val="1"/>
                <w:szCs w:val="1"/>
                <w:color w:val="auto"/>
              </w:rPr>
            </w:pPr>
          </w:p>
        </w:tc>
      </w:tr>
      <w:tr>
        <w:trPr>
          <w:trHeight w:val="82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9/26/2019</w:t>
            </w:r>
          </w:p>
        </w:tc>
        <w:tc>
          <w:tcPr>
            <w:tcW w:w="0" w:type="dxa"/>
            <w:vAlign w:val="bottom"/>
          </w:tcPr>
          <w:p>
            <w:pPr>
              <w:spacing w:after="0"/>
              <w:rPr>
                <w:sz w:val="1"/>
                <w:szCs w:val="1"/>
                <w:color w:val="auto"/>
              </w:rPr>
            </w:pPr>
          </w:p>
        </w:tc>
      </w:tr>
      <w:tr>
        <w:trPr>
          <w:trHeight w:val="824"/>
        </w:trPr>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9/26/2019</w:t>
            </w:r>
          </w:p>
        </w:tc>
        <w:tc>
          <w:tcPr>
            <w:tcW w:w="0" w:type="dxa"/>
            <w:vAlign w:val="bottom"/>
          </w:tcPr>
          <w:p>
            <w:pPr>
              <w:spacing w:after="0"/>
              <w:rPr>
                <w:sz w:val="1"/>
                <w:szCs w:val="1"/>
                <w:color w:val="auto"/>
              </w:rPr>
            </w:pPr>
          </w:p>
        </w:tc>
      </w:tr>
      <w:tr>
        <w:trPr>
          <w:trHeight w:val="82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9/26/2019</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71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bl>
    <w:p>
      <w:pPr>
        <w:spacing w:after="0" w:line="497" w:lineRule="exact"/>
        <w:rPr>
          <w:sz w:val="20"/>
          <w:szCs w:val="20"/>
          <w:color w:val="auto"/>
        </w:rPr>
      </w:pPr>
    </w:p>
    <w:p>
      <w:pPr>
        <w:sectPr>
          <w:pgSz w:w="11900" w:h="16838" w:orient="portrait"/>
          <w:cols w:equalWidth="0" w:num="2">
            <w:col w:w="6840" w:space="40"/>
            <w:col w:w="4540"/>
          </w:cols>
          <w:pgMar w:left="240" w:top="179"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79"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40" w:right="200" w:hanging="550"/>
        <w:spacing w:after="0" w:line="286" w:lineRule="auto"/>
        <w:tabs>
          <w:tab w:leader="none" w:pos="720" w:val="left"/>
        </w:tabs>
        <w:rPr>
          <w:rFonts w:ascii="Arial" w:cs="Arial" w:eastAsia="Arial" w:hAnsi="Arial"/>
          <w:sz w:val="17"/>
          <w:szCs w:val="17"/>
          <w:u w:val="single" w:color="auto"/>
          <w:color w:val="0000FF"/>
        </w:rPr>
      </w:pPr>
      <w:hyperlink r:id="rId37">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37">
        <w:r>
          <w:rPr>
            <w:rFonts w:ascii="Arial" w:cs="Arial" w:eastAsia="Arial" w:hAnsi="Arial"/>
            <w:sz w:val="17"/>
            <w:szCs w:val="17"/>
            <w:u w:val="single" w:color="auto"/>
            <w:color w:val="0000FF"/>
          </w:rPr>
          <w:t>Supplemental Indenture No. 1, dated as of December 26, 2017, among Claudine</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Propco LLC as New Guarantor, VICI Properties 1 LLC and VICI FC Inc., as</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issuers, and UMB Bank, National Association, as trustee.</w:t>
        </w:r>
      </w:hyperlink>
    </w:p>
    <w:p>
      <w:pPr>
        <w:spacing w:after="0" w:line="125" w:lineRule="exact"/>
        <w:rPr>
          <w:rFonts w:ascii="Arial" w:cs="Arial" w:eastAsia="Arial" w:hAnsi="Arial"/>
          <w:sz w:val="17"/>
          <w:szCs w:val="17"/>
          <w:u w:val="single" w:color="auto"/>
          <w:color w:val="0000FF"/>
        </w:rPr>
      </w:pPr>
    </w:p>
    <w:p>
      <w:pPr>
        <w:ind w:left="740" w:right="100" w:hanging="550"/>
        <w:spacing w:after="0" w:line="286" w:lineRule="auto"/>
        <w:tabs>
          <w:tab w:leader="none" w:pos="720" w:val="left"/>
        </w:tabs>
        <w:rPr>
          <w:rFonts w:ascii="Arial" w:cs="Arial" w:eastAsia="Arial" w:hAnsi="Arial"/>
          <w:sz w:val="17"/>
          <w:szCs w:val="17"/>
          <w:u w:val="single" w:color="auto"/>
          <w:color w:val="0000FF"/>
        </w:rPr>
      </w:pPr>
      <w:hyperlink r:id="rId38">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38">
        <w:r>
          <w:rPr>
            <w:rFonts w:ascii="Arial" w:cs="Arial" w:eastAsia="Arial" w:hAnsi="Arial"/>
            <w:sz w:val="17"/>
            <w:szCs w:val="17"/>
            <w:u w:val="single" w:color="auto"/>
            <w:color w:val="0000FF"/>
          </w:rPr>
          <w:t>Supplemental Indenture No. 2, dated as of December 26, 2017, among Claudine</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Propco LLC as New Guarantor, among VICI Properties 1 LLC and VICI FC Inc.,</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as issuers, and UMB Bank, National Association, as trustee.</w:t>
        </w:r>
      </w:hyperlink>
    </w:p>
    <w:p>
      <w:pPr>
        <w:spacing w:after="0" w:line="125" w:lineRule="exact"/>
        <w:rPr>
          <w:rFonts w:ascii="Arial" w:cs="Arial" w:eastAsia="Arial" w:hAnsi="Arial"/>
          <w:sz w:val="17"/>
          <w:szCs w:val="17"/>
          <w:u w:val="single" w:color="auto"/>
          <w:color w:val="0000FF"/>
        </w:rPr>
      </w:pPr>
    </w:p>
    <w:p>
      <w:pPr>
        <w:ind w:left="740" w:right="460" w:hanging="550"/>
        <w:spacing w:after="0" w:line="264" w:lineRule="auto"/>
        <w:tabs>
          <w:tab w:leader="none" w:pos="720" w:val="left"/>
        </w:tabs>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39">
        <w:r>
          <w:rPr>
            <w:rFonts w:ascii="Arial" w:cs="Arial" w:eastAsia="Arial" w:hAnsi="Arial"/>
            <w:sz w:val="18"/>
            <w:szCs w:val="18"/>
            <w:u w:val="single" w:color="auto"/>
            <w:color w:val="0000FF"/>
          </w:rPr>
          <w:t>Supplemental Indenture No. 3, dated as of September 24, 2018, among VICI</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Properties 1 LLC and VICI FC Inc., as issuers, and UMB Bank, National</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Association, as trustee</w:t>
        </w:r>
      </w:hyperlink>
    </w:p>
    <w:p>
      <w:pPr>
        <w:spacing w:after="0" w:line="141" w:lineRule="exact"/>
        <w:rPr>
          <w:rFonts w:ascii="Arial" w:cs="Arial" w:eastAsia="Arial" w:hAnsi="Arial"/>
          <w:sz w:val="18"/>
          <w:szCs w:val="18"/>
          <w:u w:val="single" w:color="auto"/>
          <w:color w:val="0000FF"/>
        </w:rPr>
      </w:pPr>
    </w:p>
    <w:p>
      <w:pPr>
        <w:ind w:left="740" w:right="280" w:hanging="550"/>
        <w:spacing w:after="0" w:line="286" w:lineRule="auto"/>
        <w:tabs>
          <w:tab w:leader="none" w:pos="720" w:val="left"/>
        </w:tabs>
        <w:rPr>
          <w:rFonts w:ascii="Arial" w:cs="Arial" w:eastAsia="Arial" w:hAnsi="Arial"/>
          <w:sz w:val="17"/>
          <w:szCs w:val="17"/>
          <w:u w:val="single" w:color="auto"/>
          <w:color w:val="0000FF"/>
        </w:rPr>
      </w:pPr>
      <w:hyperlink w:anchor="page156">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w:anchor="page156">
        <w:r>
          <w:rPr>
            <w:rFonts w:ascii="Arial" w:cs="Arial" w:eastAsia="Arial" w:hAnsi="Arial"/>
            <w:sz w:val="17"/>
            <w:szCs w:val="17"/>
            <w:u w:val="single" w:color="auto"/>
            <w:color w:val="0000FF"/>
          </w:rPr>
          <w:t>Supplemental Indenture No. 4, dated as of August 20, 2019, among Greektown</w:t>
        </w:r>
      </w:hyperlink>
      <w:r>
        <w:rPr>
          <w:rFonts w:ascii="Arial" w:cs="Arial" w:eastAsia="Arial" w:hAnsi="Arial"/>
          <w:sz w:val="17"/>
          <w:szCs w:val="17"/>
          <w:u w:val="single" w:color="auto"/>
          <w:color w:val="0000FF"/>
        </w:rPr>
        <w:t xml:space="preserve"> </w:t>
      </w:r>
      <w:hyperlink w:anchor="page156">
        <w:r>
          <w:rPr>
            <w:rFonts w:ascii="Arial" w:cs="Arial" w:eastAsia="Arial" w:hAnsi="Arial"/>
            <w:sz w:val="17"/>
            <w:szCs w:val="17"/>
            <w:u w:val="single" w:color="auto"/>
            <w:color w:val="0000FF"/>
          </w:rPr>
          <w:t>Propco LLC as New Guarantor, VICI Properties 1 LLC and VICI FC Inc., as</w:t>
        </w:r>
      </w:hyperlink>
      <w:r>
        <w:rPr>
          <w:rFonts w:ascii="Arial" w:cs="Arial" w:eastAsia="Arial" w:hAnsi="Arial"/>
          <w:sz w:val="17"/>
          <w:szCs w:val="17"/>
          <w:u w:val="single" w:color="auto"/>
          <w:color w:val="0000FF"/>
        </w:rPr>
        <w:t xml:space="preserve"> </w:t>
      </w:r>
      <w:hyperlink w:anchor="page156">
        <w:r>
          <w:rPr>
            <w:rFonts w:ascii="Arial" w:cs="Arial" w:eastAsia="Arial" w:hAnsi="Arial"/>
            <w:sz w:val="17"/>
            <w:szCs w:val="17"/>
            <w:u w:val="single" w:color="auto"/>
            <w:color w:val="0000FF"/>
          </w:rPr>
          <w:t>issuers, and UMB Bank, National Association, as trustee</w:t>
        </w:r>
      </w:hyperlink>
    </w:p>
    <w:p>
      <w:pPr>
        <w:spacing w:after="0" w:line="125" w:lineRule="exact"/>
        <w:rPr>
          <w:rFonts w:ascii="Arial" w:cs="Arial" w:eastAsia="Arial" w:hAnsi="Arial"/>
          <w:sz w:val="17"/>
          <w:szCs w:val="17"/>
          <w:u w:val="single" w:color="auto"/>
          <w:color w:val="0000FF"/>
        </w:rPr>
      </w:pPr>
    </w:p>
    <w:p>
      <w:pPr>
        <w:ind w:left="740" w:right="100" w:hanging="550"/>
        <w:spacing w:after="0" w:line="264" w:lineRule="auto"/>
        <w:tabs>
          <w:tab w:leader="none" w:pos="720" w:val="left"/>
        </w:tabs>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w:anchor="page160">
        <w:r>
          <w:rPr>
            <w:rFonts w:ascii="Arial" w:cs="Arial" w:eastAsia="Arial" w:hAnsi="Arial"/>
            <w:sz w:val="18"/>
            <w:szCs w:val="18"/>
            <w:u w:val="single" w:color="auto"/>
            <w:color w:val="0000FF"/>
          </w:rPr>
          <w:t>Supplemental Indenture No. 5, dated as of December 16, 2019, among Cincinnati</w:t>
        </w:r>
      </w:hyperlink>
      <w:r>
        <w:rPr>
          <w:rFonts w:ascii="Arial" w:cs="Arial" w:eastAsia="Arial" w:hAnsi="Arial"/>
          <w:sz w:val="18"/>
          <w:szCs w:val="18"/>
          <w:u w:val="single" w:color="auto"/>
          <w:color w:val="0000FF"/>
        </w:rPr>
        <w:t xml:space="preserve"> </w:t>
      </w:r>
      <w:hyperlink w:anchor="page160">
        <w:r>
          <w:rPr>
            <w:rFonts w:ascii="Arial" w:cs="Arial" w:eastAsia="Arial" w:hAnsi="Arial"/>
            <w:sz w:val="18"/>
            <w:szCs w:val="18"/>
            <w:u w:val="single" w:color="auto"/>
            <w:color w:val="0000FF"/>
          </w:rPr>
          <w:t>Propco LLC as New Guarantor, VICI Properties 1 LLC and VICI FC Inc., as</w:t>
        </w:r>
      </w:hyperlink>
      <w:r>
        <w:rPr>
          <w:rFonts w:ascii="Arial" w:cs="Arial" w:eastAsia="Arial" w:hAnsi="Arial"/>
          <w:sz w:val="18"/>
          <w:szCs w:val="18"/>
          <w:u w:val="single" w:color="auto"/>
          <w:color w:val="0000FF"/>
        </w:rPr>
        <w:t xml:space="preserve"> </w:t>
      </w:r>
      <w:hyperlink w:anchor="page160">
        <w:r>
          <w:rPr>
            <w:rFonts w:ascii="Arial" w:cs="Arial" w:eastAsia="Arial" w:hAnsi="Arial"/>
            <w:sz w:val="18"/>
            <w:szCs w:val="18"/>
            <w:u w:val="single" w:color="auto"/>
            <w:color w:val="0000FF"/>
          </w:rPr>
          <w:t>issuers, and UMB Bank, National Association, as trustee</w:t>
        </w:r>
      </w:hyperlink>
    </w:p>
    <w:p>
      <w:pPr>
        <w:spacing w:after="0" w:line="141" w:lineRule="exact"/>
        <w:rPr>
          <w:rFonts w:ascii="Arial" w:cs="Arial" w:eastAsia="Arial" w:hAnsi="Arial"/>
          <w:sz w:val="18"/>
          <w:szCs w:val="18"/>
          <w:u w:val="single" w:color="auto"/>
          <w:color w:val="0000FF"/>
        </w:rPr>
      </w:pPr>
    </w:p>
    <w:p>
      <w:pPr>
        <w:ind w:left="740" w:hanging="550"/>
        <w:spacing w:after="0" w:line="264" w:lineRule="auto"/>
        <w:tabs>
          <w:tab w:leader="none" w:pos="720" w:val="left"/>
        </w:tabs>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w:anchor="page164">
        <w:r>
          <w:rPr>
            <w:rFonts w:ascii="Arial" w:cs="Arial" w:eastAsia="Arial" w:hAnsi="Arial"/>
            <w:sz w:val="18"/>
            <w:szCs w:val="18"/>
            <w:u w:val="single" w:color="auto"/>
            <w:color w:val="0000FF"/>
          </w:rPr>
          <w:t>Supplemental Indenture No. 6, dated as of December 19, 2019, among CPLV</w:t>
        </w:r>
      </w:hyperlink>
      <w:r>
        <w:rPr>
          <w:rFonts w:ascii="Arial" w:cs="Arial" w:eastAsia="Arial" w:hAnsi="Arial"/>
          <w:sz w:val="18"/>
          <w:szCs w:val="18"/>
          <w:u w:val="single" w:color="auto"/>
          <w:color w:val="0000FF"/>
        </w:rPr>
        <w:t xml:space="preserve"> </w:t>
      </w:r>
      <w:hyperlink w:anchor="page164">
        <w:r>
          <w:rPr>
            <w:rFonts w:ascii="Arial" w:cs="Arial" w:eastAsia="Arial" w:hAnsi="Arial"/>
            <w:sz w:val="18"/>
            <w:szCs w:val="18"/>
            <w:u w:val="single" w:color="auto"/>
            <w:color w:val="0000FF"/>
          </w:rPr>
          <w:t>Property Owner LLC as New Guarantor, VICI Properties 1 LLC and VICI FC Inc.,</w:t>
        </w:r>
      </w:hyperlink>
      <w:r>
        <w:rPr>
          <w:rFonts w:ascii="Arial" w:cs="Arial" w:eastAsia="Arial" w:hAnsi="Arial"/>
          <w:sz w:val="18"/>
          <w:szCs w:val="18"/>
          <w:u w:val="single" w:color="auto"/>
          <w:color w:val="0000FF"/>
        </w:rPr>
        <w:t xml:space="preserve"> </w:t>
      </w:r>
      <w:hyperlink w:anchor="page164">
        <w:r>
          <w:rPr>
            <w:rFonts w:ascii="Arial" w:cs="Arial" w:eastAsia="Arial" w:hAnsi="Arial"/>
            <w:sz w:val="18"/>
            <w:szCs w:val="18"/>
            <w:u w:val="single" w:color="auto"/>
            <w:color w:val="0000FF"/>
          </w:rPr>
          <w:t>as issuers, and UMB Bank, National Association, as trustee</w:t>
        </w:r>
      </w:hyperlink>
    </w:p>
    <w:p>
      <w:pPr>
        <w:spacing w:after="0" w:line="141" w:lineRule="exact"/>
        <w:rPr>
          <w:rFonts w:ascii="Arial" w:cs="Arial" w:eastAsia="Arial" w:hAnsi="Arial"/>
          <w:sz w:val="18"/>
          <w:szCs w:val="18"/>
          <w:u w:val="single" w:color="auto"/>
          <w:color w:val="0000FF"/>
        </w:rPr>
      </w:pPr>
    </w:p>
    <w:p>
      <w:pPr>
        <w:jc w:val="both"/>
        <w:ind w:left="740" w:right="280" w:hanging="550"/>
        <w:spacing w:after="0" w:line="286" w:lineRule="auto"/>
        <w:tabs>
          <w:tab w:leader="none" w:pos="720" w:val="left"/>
        </w:tabs>
        <w:rPr>
          <w:rFonts w:ascii="Arial" w:cs="Arial" w:eastAsia="Arial" w:hAnsi="Arial"/>
          <w:sz w:val="17"/>
          <w:szCs w:val="17"/>
          <w:u w:val="single" w:color="auto"/>
          <w:color w:val="0000FF"/>
        </w:rPr>
      </w:pPr>
      <w:hyperlink r:id="rId40">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40">
        <w:r>
          <w:rPr>
            <w:rFonts w:ascii="Arial" w:cs="Arial" w:eastAsia="Arial" w:hAnsi="Arial"/>
            <w:sz w:val="17"/>
            <w:szCs w:val="17"/>
            <w:u w:val="single" w:color="auto"/>
            <w:color w:val="0000FF"/>
          </w:rPr>
          <w:t>4.250% Senior Notes Indenture, dated as of November 26, 2019, among VICI</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Properties L.P., VICI Note Co. Inc., the subsidiary guarantors party thereto and</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UMB Bank, National Association, as trustee.</w:t>
        </w:r>
      </w:hyperlink>
    </w:p>
    <w:p>
      <w:pPr>
        <w:spacing w:after="0" w:line="125" w:lineRule="exact"/>
        <w:rPr>
          <w:rFonts w:ascii="Arial" w:cs="Arial" w:eastAsia="Arial" w:hAnsi="Arial"/>
          <w:sz w:val="17"/>
          <w:szCs w:val="17"/>
          <w:u w:val="single" w:color="auto"/>
          <w:color w:val="0000FF"/>
        </w:rPr>
      </w:pPr>
    </w:p>
    <w:p>
      <w:pPr>
        <w:jc w:val="both"/>
        <w:ind w:left="740" w:right="280" w:hanging="550"/>
        <w:spacing w:after="0" w:line="286" w:lineRule="auto"/>
        <w:tabs>
          <w:tab w:leader="none" w:pos="720" w:val="left"/>
        </w:tabs>
        <w:rPr>
          <w:rFonts w:ascii="Arial" w:cs="Arial" w:eastAsia="Arial" w:hAnsi="Arial"/>
          <w:sz w:val="17"/>
          <w:szCs w:val="17"/>
          <w:u w:val="single" w:color="auto"/>
          <w:color w:val="0000FF"/>
        </w:rPr>
      </w:pPr>
      <w:hyperlink r:id="rId41">
        <w:r>
          <w:rPr>
            <w:rFonts w:ascii="Arial" w:cs="Arial" w:eastAsia="Arial" w:hAnsi="Arial"/>
            <w:sz w:val="18"/>
            <w:szCs w:val="18"/>
            <w:u w:val="single" w:color="auto"/>
            <w:color w:val="0000FF"/>
          </w:rPr>
          <w:t>4.9</w:t>
        </w:r>
      </w:hyperlink>
      <w:r>
        <w:rPr>
          <w:rFonts w:ascii="Arial" w:cs="Arial" w:eastAsia="Arial" w:hAnsi="Arial"/>
          <w:sz w:val="18"/>
          <w:szCs w:val="18"/>
          <w:u w:val="single" w:color="auto"/>
          <w:color w:val="0000FF"/>
        </w:rPr>
        <w:tab/>
      </w:r>
      <w:hyperlink r:id="rId41">
        <w:r>
          <w:rPr>
            <w:rFonts w:ascii="Arial" w:cs="Arial" w:eastAsia="Arial" w:hAnsi="Arial"/>
            <w:sz w:val="17"/>
            <w:szCs w:val="17"/>
            <w:u w:val="single" w:color="auto"/>
            <w:color w:val="0000FF"/>
          </w:rPr>
          <w:t>4.625% Senior Notes Indenture, dated as of November 26, 2019, among VICI</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Properties L.P., VICI Note Co. Inc., the subsidiary guarantors party thereto and</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UMB Bank, National Association, as trustee.</w:t>
        </w:r>
      </w:hyperlink>
    </w:p>
    <w:p>
      <w:pPr>
        <w:spacing w:after="0" w:line="125" w:lineRule="exact"/>
        <w:rPr>
          <w:rFonts w:ascii="Arial" w:cs="Arial" w:eastAsia="Arial" w:hAnsi="Arial"/>
          <w:sz w:val="17"/>
          <w:szCs w:val="17"/>
          <w:u w:val="single" w:color="auto"/>
          <w:color w:val="0000FF"/>
        </w:rPr>
      </w:pPr>
    </w:p>
    <w:p>
      <w:pPr>
        <w:ind w:left="740" w:right="180" w:hanging="595"/>
        <w:spacing w:after="0" w:line="257" w:lineRule="auto"/>
        <w:tabs>
          <w:tab w:leader="none" w:pos="720" w:val="left"/>
        </w:tabs>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4.10</w:t>
        </w:r>
      </w:hyperlink>
      <w:r>
        <w:rPr>
          <w:rFonts w:ascii="Arial" w:cs="Arial" w:eastAsia="Arial" w:hAnsi="Arial"/>
          <w:sz w:val="18"/>
          <w:szCs w:val="18"/>
          <w:u w:val="single" w:color="auto"/>
          <w:color w:val="0000FF"/>
        </w:rPr>
        <w:tab/>
      </w:r>
      <w:hyperlink w:anchor="page168">
        <w:r>
          <w:rPr>
            <w:rFonts w:ascii="Arial" w:cs="Arial" w:eastAsia="Arial" w:hAnsi="Arial"/>
            <w:sz w:val="18"/>
            <w:szCs w:val="18"/>
            <w:u w:val="single" w:color="auto"/>
            <w:color w:val="0000FF"/>
          </w:rPr>
          <w:t>Supplemental Indenture No. 1 to the 4.250% Senior Notes Indenture, dated as of</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December 20, 2019, among CPLV Property Owner LLC as the Guaranteeing</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Entity, VICI Properties L.P. and VICI Note Co. Inc., as issuers, and UMB Bank,</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National Association, as trustee, as ratified by the subsidiary guarantors party</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thereto.</w:t>
        </w:r>
      </w:hyperlink>
    </w:p>
    <w:p>
      <w:pPr>
        <w:spacing w:after="0" w:line="148" w:lineRule="exact"/>
        <w:rPr>
          <w:rFonts w:ascii="Arial" w:cs="Arial" w:eastAsia="Arial" w:hAnsi="Arial"/>
          <w:sz w:val="18"/>
          <w:szCs w:val="18"/>
          <w:u w:val="single" w:color="auto"/>
          <w:color w:val="0000FF"/>
        </w:rPr>
      </w:pPr>
    </w:p>
    <w:p>
      <w:pPr>
        <w:ind w:left="740" w:right="180" w:hanging="592"/>
        <w:spacing w:after="0" w:line="257" w:lineRule="auto"/>
        <w:tabs>
          <w:tab w:leader="none" w:pos="720" w:val="left"/>
        </w:tabs>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4.11</w:t>
        </w:r>
      </w:hyperlink>
      <w:r>
        <w:rPr>
          <w:rFonts w:ascii="Arial" w:cs="Arial" w:eastAsia="Arial" w:hAnsi="Arial"/>
          <w:sz w:val="18"/>
          <w:szCs w:val="18"/>
          <w:u w:val="single" w:color="auto"/>
          <w:color w:val="0000FF"/>
        </w:rPr>
        <w:tab/>
      </w:r>
      <w:hyperlink w:anchor="page174">
        <w:r>
          <w:rPr>
            <w:rFonts w:ascii="Arial" w:cs="Arial" w:eastAsia="Arial" w:hAnsi="Arial"/>
            <w:sz w:val="18"/>
            <w:szCs w:val="18"/>
            <w:u w:val="single" w:color="auto"/>
            <w:color w:val="0000FF"/>
          </w:rPr>
          <w:t>Supplemental Indenture No. 1 to the 4.625% Senior Notes Indenture, dated as of</w:t>
        </w:r>
      </w:hyperlink>
      <w:r>
        <w:rPr>
          <w:rFonts w:ascii="Arial" w:cs="Arial" w:eastAsia="Arial" w:hAnsi="Arial"/>
          <w:sz w:val="18"/>
          <w:szCs w:val="18"/>
          <w:u w:val="single" w:color="auto"/>
          <w:color w:val="0000FF"/>
        </w:rPr>
        <w:t xml:space="preserve"> </w:t>
      </w:r>
      <w:hyperlink w:anchor="page174">
        <w:r>
          <w:rPr>
            <w:rFonts w:ascii="Arial" w:cs="Arial" w:eastAsia="Arial" w:hAnsi="Arial"/>
            <w:sz w:val="18"/>
            <w:szCs w:val="18"/>
            <w:u w:val="single" w:color="auto"/>
            <w:color w:val="0000FF"/>
          </w:rPr>
          <w:t>December 20, 2019, among CPLV Property Owner LLC as the Guaranteeing</w:t>
        </w:r>
      </w:hyperlink>
      <w:r>
        <w:rPr>
          <w:rFonts w:ascii="Arial" w:cs="Arial" w:eastAsia="Arial" w:hAnsi="Arial"/>
          <w:sz w:val="18"/>
          <w:szCs w:val="18"/>
          <w:u w:val="single" w:color="auto"/>
          <w:color w:val="0000FF"/>
        </w:rPr>
        <w:t xml:space="preserve"> </w:t>
      </w:r>
      <w:hyperlink w:anchor="page174">
        <w:r>
          <w:rPr>
            <w:rFonts w:ascii="Arial" w:cs="Arial" w:eastAsia="Arial" w:hAnsi="Arial"/>
            <w:sz w:val="18"/>
            <w:szCs w:val="18"/>
            <w:u w:val="single" w:color="auto"/>
            <w:color w:val="0000FF"/>
          </w:rPr>
          <w:t>Entity, VICI Properties L.P. and VICI Note Co. Inc., as issuers, and UMB Bank,</w:t>
        </w:r>
      </w:hyperlink>
      <w:r>
        <w:rPr>
          <w:rFonts w:ascii="Arial" w:cs="Arial" w:eastAsia="Arial" w:hAnsi="Arial"/>
          <w:sz w:val="18"/>
          <w:szCs w:val="18"/>
          <w:u w:val="single" w:color="auto"/>
          <w:color w:val="0000FF"/>
        </w:rPr>
        <w:t xml:space="preserve"> </w:t>
      </w:r>
      <w:hyperlink w:anchor="page174">
        <w:r>
          <w:rPr>
            <w:rFonts w:ascii="Arial" w:cs="Arial" w:eastAsia="Arial" w:hAnsi="Arial"/>
            <w:sz w:val="18"/>
            <w:szCs w:val="18"/>
            <w:u w:val="single" w:color="auto"/>
            <w:color w:val="0000FF"/>
          </w:rPr>
          <w:t>National Association, as trustee, as ratified by the subsidiary guarantors party</w:t>
        </w:r>
      </w:hyperlink>
      <w:r>
        <w:rPr>
          <w:rFonts w:ascii="Arial" w:cs="Arial" w:eastAsia="Arial" w:hAnsi="Arial"/>
          <w:sz w:val="18"/>
          <w:szCs w:val="18"/>
          <w:u w:val="single" w:color="auto"/>
          <w:color w:val="0000FF"/>
        </w:rPr>
        <w:t xml:space="preserve"> </w:t>
      </w:r>
      <w:hyperlink w:anchor="page174">
        <w:r>
          <w:rPr>
            <w:rFonts w:ascii="Arial" w:cs="Arial" w:eastAsia="Arial" w:hAnsi="Arial"/>
            <w:sz w:val="18"/>
            <w:szCs w:val="18"/>
            <w:u w:val="single" w:color="auto"/>
            <w:color w:val="0000FF"/>
          </w:rPr>
          <w:t>thereto.</w:t>
        </w:r>
      </w:hyperlink>
    </w:p>
    <w:p>
      <w:pPr>
        <w:spacing w:after="0" w:line="148" w:lineRule="exact"/>
        <w:rPr>
          <w:rFonts w:ascii="Arial" w:cs="Arial" w:eastAsia="Arial" w:hAnsi="Arial"/>
          <w:sz w:val="18"/>
          <w:szCs w:val="18"/>
          <w:u w:val="single" w:color="auto"/>
          <w:color w:val="0000FF"/>
        </w:rPr>
      </w:pPr>
    </w:p>
    <w:p>
      <w:pPr>
        <w:ind w:left="140"/>
        <w:spacing w:after="0"/>
        <w:tabs>
          <w:tab w:leader="none" w:pos="720" w:val="left"/>
        </w:tabs>
        <w:rPr>
          <w:rFonts w:ascii="Arial" w:cs="Arial" w:eastAsia="Arial" w:hAnsi="Arial"/>
          <w:sz w:val="16"/>
          <w:szCs w:val="16"/>
          <w:u w:val="single" w:color="auto"/>
          <w:color w:val="0000FF"/>
        </w:rPr>
      </w:pPr>
      <w:hyperlink w:anchor="page180">
        <w:r>
          <w:rPr>
            <w:rFonts w:ascii="Arial" w:cs="Arial" w:eastAsia="Arial" w:hAnsi="Arial"/>
            <w:sz w:val="18"/>
            <w:szCs w:val="18"/>
            <w:u w:val="single" w:color="auto"/>
            <w:color w:val="0000FF"/>
          </w:rPr>
          <w:t>4.12</w:t>
        </w:r>
      </w:hyperlink>
      <w:r>
        <w:rPr>
          <w:rFonts w:ascii="Arial" w:cs="Arial" w:eastAsia="Arial" w:hAnsi="Arial"/>
          <w:sz w:val="18"/>
          <w:szCs w:val="18"/>
          <w:u w:val="single" w:color="auto"/>
          <w:color w:val="0000FF"/>
        </w:rPr>
        <w:tab/>
      </w:r>
      <w:hyperlink w:anchor="page180">
        <w:r>
          <w:rPr>
            <w:rFonts w:ascii="Arial" w:cs="Arial" w:eastAsia="Arial" w:hAnsi="Arial"/>
            <w:sz w:val="16"/>
            <w:szCs w:val="16"/>
            <w:u w:val="single" w:color="auto"/>
            <w:color w:val="0000FF"/>
          </w:rPr>
          <w:t>Description of Securities</w:t>
        </w:r>
      </w:hyperlink>
    </w:p>
    <w:p>
      <w:pPr>
        <w:spacing w:after="0" w:line="185" w:lineRule="exact"/>
        <w:rPr>
          <w:sz w:val="20"/>
          <w:szCs w:val="20"/>
          <w:color w:val="auto"/>
        </w:rPr>
      </w:pPr>
    </w:p>
    <w:p>
      <w:pPr>
        <w:ind w:left="740" w:right="80" w:hanging="595"/>
        <w:spacing w:after="0" w:line="264" w:lineRule="auto"/>
        <w:tabs>
          <w:tab w:leader="none" w:pos="720" w:val="left"/>
        </w:tabs>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42">
        <w:r>
          <w:rPr>
            <w:rFonts w:ascii="Arial" w:cs="Arial" w:eastAsia="Arial" w:hAnsi="Arial"/>
            <w:sz w:val="18"/>
            <w:szCs w:val="18"/>
            <w:u w:val="single" w:color="auto"/>
            <w:color w:val="0000FF"/>
          </w:rPr>
          <w:t>Lease (CPLV), dated as of October 6, 2017, by and among CPLV Property Owner</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LLC, Desert Palace LLC, Caesars Entertainment Operating Company, Inc. and</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CEOC, LLC, relating to the CPLV Facilities.</w:t>
        </w:r>
      </w:hyperlink>
    </w:p>
    <w:p>
      <w:pPr>
        <w:spacing w:after="0" w:line="141" w:lineRule="exact"/>
        <w:rPr>
          <w:rFonts w:ascii="Arial" w:cs="Arial" w:eastAsia="Arial" w:hAnsi="Arial"/>
          <w:sz w:val="18"/>
          <w:szCs w:val="18"/>
          <w:u w:val="single" w:color="auto"/>
          <w:color w:val="0000FF"/>
        </w:rPr>
      </w:pPr>
    </w:p>
    <w:p>
      <w:pPr>
        <w:ind w:left="740" w:right="20" w:hanging="595"/>
        <w:spacing w:after="0" w:line="308" w:lineRule="auto"/>
        <w:tabs>
          <w:tab w:leader="none" w:pos="720" w:val="left"/>
        </w:tabs>
        <w:rPr>
          <w:rFonts w:ascii="Arial" w:cs="Arial" w:eastAsia="Arial" w:hAnsi="Arial"/>
          <w:sz w:val="17"/>
          <w:szCs w:val="17"/>
          <w:u w:val="single" w:color="auto"/>
          <w:color w:val="0000FF"/>
        </w:rPr>
      </w:pPr>
      <w:hyperlink r:id="rId43">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43">
        <w:r>
          <w:rPr>
            <w:rFonts w:ascii="Arial" w:cs="Arial" w:eastAsia="Arial" w:hAnsi="Arial"/>
            <w:sz w:val="17"/>
            <w:szCs w:val="17"/>
            <w:u w:val="single" w:color="auto"/>
            <w:color w:val="0000FF"/>
          </w:rPr>
          <w:t>First Amendment to Lease (CPLV), dated as of December 26, 2018, by and among</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CPLV Property Owner LLC, Desert Palace LLC and CEOC, LLC.</w:t>
        </w:r>
      </w:hyperlink>
    </w:p>
    <w:p>
      <w:pPr>
        <w:spacing w:after="0" w:line="106" w:lineRule="exact"/>
        <w:rPr>
          <w:rFonts w:ascii="Arial" w:cs="Arial" w:eastAsia="Arial" w:hAnsi="Arial"/>
          <w:sz w:val="18"/>
          <w:szCs w:val="18"/>
          <w:u w:val="single" w:color="auto"/>
          <w:color w:val="0000FF"/>
        </w:rPr>
      </w:pPr>
    </w:p>
    <w:p>
      <w:pPr>
        <w:ind w:left="740" w:right="140" w:hanging="595"/>
        <w:spacing w:after="0" w:line="264" w:lineRule="auto"/>
        <w:tabs>
          <w:tab w:leader="none" w:pos="720" w:val="left"/>
        </w:tabs>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44">
        <w:r>
          <w:rPr>
            <w:rFonts w:ascii="Arial" w:cs="Arial" w:eastAsia="Arial" w:hAnsi="Arial"/>
            <w:sz w:val="18"/>
            <w:szCs w:val="18"/>
            <w:u w:val="single" w:color="auto"/>
            <w:color w:val="0000FF"/>
          </w:rPr>
          <w:t>Lease (Non-CPLV), dated as of October 6, 2017, by and among the entities listed</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on Schedules A and B thereto and CEOC, LLC, relating to the Non-CPLV</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Facilities.</w:t>
        </w:r>
      </w:hyperlink>
    </w:p>
    <w:p>
      <w:pPr>
        <w:spacing w:after="0" w:line="200" w:lineRule="exact"/>
        <w:rPr>
          <w:rFonts w:ascii="Arial" w:cs="Arial" w:eastAsia="Arial" w:hAnsi="Arial"/>
          <w:sz w:val="18"/>
          <w:szCs w:val="18"/>
          <w:u w:val="single" w:color="auto"/>
          <w:color w:val="0000FF"/>
        </w:rPr>
      </w:pPr>
    </w:p>
    <w:p>
      <w:pPr>
        <w:spacing w:after="0" w:line="386"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4"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1020" w:type="dxa"/>
        <w:tblCellMar>
          <w:top w:w="0" w:type="dxa"/>
          <w:left w:w="0" w:type="dxa"/>
          <w:bottom w:w="0" w:type="dxa"/>
          <w:right w:w="0" w:type="dxa"/>
        </w:tblCellMar>
      </w:tblPr>
      <w:tr>
        <w:trPr>
          <w:trHeight w:val="230"/>
        </w:trPr>
        <w:tc>
          <w:tcPr>
            <w:tcW w:w="780" w:type="dxa"/>
            <w:vAlign w:val="bottom"/>
          </w:tcPr>
          <w:p>
            <w:pPr>
              <w:jc w:val="center"/>
              <w:ind w:right="310"/>
              <w:spacing w:after="0"/>
              <w:rPr>
                <w:sz w:val="20"/>
                <w:szCs w:val="20"/>
                <w:color w:val="auto"/>
              </w:rPr>
            </w:pPr>
            <w:r>
              <w:rPr>
                <w:rFonts w:ascii="Arial" w:cs="Arial" w:eastAsia="Arial" w:hAnsi="Arial"/>
                <w:sz w:val="18"/>
                <w:szCs w:val="18"/>
                <w:color w:val="auto"/>
                <w:w w:val="99"/>
              </w:rPr>
              <w:t>10-K</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1080" w:type="dxa"/>
            <w:vAlign w:val="bottom"/>
          </w:tcPr>
          <w:p>
            <w:pPr>
              <w:jc w:val="right"/>
              <w:spacing w:after="0"/>
              <w:rPr>
                <w:sz w:val="20"/>
                <w:szCs w:val="20"/>
                <w:color w:val="auto"/>
              </w:rPr>
            </w:pPr>
            <w:r>
              <w:rPr>
                <w:rFonts w:ascii="Arial" w:cs="Arial" w:eastAsia="Arial" w:hAnsi="Arial"/>
                <w:sz w:val="18"/>
                <w:szCs w:val="18"/>
                <w:color w:val="auto"/>
              </w:rPr>
              <w:t>2/14/2019</w:t>
            </w:r>
          </w:p>
        </w:tc>
      </w:tr>
      <w:tr>
        <w:trPr>
          <w:trHeight w:val="824"/>
        </w:trPr>
        <w:tc>
          <w:tcPr>
            <w:tcW w:w="780" w:type="dxa"/>
            <w:vAlign w:val="bottom"/>
          </w:tcPr>
          <w:p>
            <w:pPr>
              <w:jc w:val="center"/>
              <w:ind w:right="310"/>
              <w:spacing w:after="0"/>
              <w:rPr>
                <w:sz w:val="20"/>
                <w:szCs w:val="20"/>
                <w:color w:val="auto"/>
              </w:rPr>
            </w:pPr>
            <w:r>
              <w:rPr>
                <w:rFonts w:ascii="Arial" w:cs="Arial" w:eastAsia="Arial" w:hAnsi="Arial"/>
                <w:sz w:val="18"/>
                <w:szCs w:val="18"/>
                <w:color w:val="auto"/>
                <w:w w:val="99"/>
              </w:rPr>
              <w:t>10-K</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080" w:type="dxa"/>
            <w:vAlign w:val="bottom"/>
          </w:tcPr>
          <w:p>
            <w:pPr>
              <w:jc w:val="right"/>
              <w:spacing w:after="0"/>
              <w:rPr>
                <w:sz w:val="20"/>
                <w:szCs w:val="20"/>
                <w:color w:val="auto"/>
              </w:rPr>
            </w:pPr>
            <w:r>
              <w:rPr>
                <w:rFonts w:ascii="Arial" w:cs="Arial" w:eastAsia="Arial" w:hAnsi="Arial"/>
                <w:sz w:val="18"/>
                <w:szCs w:val="18"/>
                <w:color w:val="auto"/>
              </w:rPr>
              <w:t>2/14/2019</w:t>
            </w:r>
          </w:p>
        </w:tc>
      </w:tr>
      <w:tr>
        <w:trPr>
          <w:trHeight w:val="824"/>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1080" w:type="dxa"/>
            <w:vAlign w:val="bottom"/>
          </w:tcPr>
          <w:p>
            <w:pPr>
              <w:jc w:val="right"/>
              <w:spacing w:after="0"/>
              <w:rPr>
                <w:sz w:val="20"/>
                <w:szCs w:val="20"/>
                <w:color w:val="auto"/>
              </w:rPr>
            </w:pPr>
            <w:r>
              <w:rPr>
                <w:rFonts w:ascii="Arial" w:cs="Arial" w:eastAsia="Arial" w:hAnsi="Arial"/>
                <w:sz w:val="18"/>
                <w:szCs w:val="18"/>
                <w:color w:val="auto"/>
              </w:rPr>
              <w:t>9/25/2018</w:t>
            </w:r>
          </w:p>
        </w:tc>
      </w:tr>
    </w:tbl>
    <w:p>
      <w:pPr>
        <w:spacing w:after="0" w:line="200" w:lineRule="exact"/>
        <w:rPr>
          <w:rFonts w:ascii="Arial" w:cs="Arial" w:eastAsia="Arial" w:hAnsi="Arial"/>
          <w:sz w:val="18"/>
          <w:szCs w:val="18"/>
          <w:u w:val="single" w:color="auto"/>
          <w:color w:val="0000FF"/>
        </w:rPr>
      </w:pPr>
    </w:p>
    <w:p>
      <w:pPr>
        <w:spacing w:after="0" w:line="39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7" w:lineRule="exact"/>
        <w:rPr>
          <w:rFonts w:ascii="Arial" w:cs="Arial" w:eastAsia="Arial" w:hAnsi="Arial"/>
          <w:sz w:val="18"/>
          <w:szCs w:val="18"/>
          <w:u w:val="single" w:color="auto"/>
          <w:color w:val="0000FF"/>
        </w:rPr>
      </w:pPr>
    </w:p>
    <w:tbl>
      <w:tblPr>
        <w:tblLayout w:type="fixed"/>
        <w:tblInd w:w="10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1140" w:type="dxa"/>
            <w:vAlign w:val="bottom"/>
          </w:tcPr>
          <w:p>
            <w:pPr>
              <w:jc w:val="right"/>
              <w:spacing w:after="0"/>
              <w:rPr>
                <w:sz w:val="20"/>
                <w:szCs w:val="20"/>
                <w:color w:val="auto"/>
              </w:rPr>
            </w:pPr>
            <w:r>
              <w:rPr>
                <w:rFonts w:ascii="Arial" w:cs="Arial" w:eastAsia="Arial" w:hAnsi="Arial"/>
                <w:sz w:val="18"/>
                <w:szCs w:val="18"/>
                <w:color w:val="auto"/>
              </w:rPr>
              <w:t>11/26/2019</w:t>
            </w:r>
          </w:p>
        </w:tc>
      </w:tr>
      <w:tr>
        <w:trPr>
          <w:trHeight w:val="824"/>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1140" w:type="dxa"/>
            <w:vAlign w:val="bottom"/>
          </w:tcPr>
          <w:p>
            <w:pPr>
              <w:jc w:val="right"/>
              <w:spacing w:after="0"/>
              <w:rPr>
                <w:sz w:val="20"/>
                <w:szCs w:val="20"/>
                <w:color w:val="auto"/>
              </w:rPr>
            </w:pPr>
            <w:r>
              <w:rPr>
                <w:rFonts w:ascii="Arial" w:cs="Arial" w:eastAsia="Arial" w:hAnsi="Arial"/>
                <w:sz w:val="18"/>
                <w:szCs w:val="18"/>
                <w:color w:val="auto"/>
              </w:rPr>
              <w:t>11/26/2019</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tbl>
      <w:tblPr>
        <w:tblLayout w:type="fixed"/>
        <w:tblInd w:w="10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12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716"/>
        </w:trPr>
        <w:tc>
          <w:tcPr>
            <w:tcW w:w="70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120" w:type="dxa"/>
            <w:vAlign w:val="bottom"/>
          </w:tcPr>
          <w:p>
            <w:pPr>
              <w:jc w:val="right"/>
              <w:spacing w:after="0"/>
              <w:rPr>
                <w:sz w:val="20"/>
                <w:szCs w:val="20"/>
                <w:color w:val="auto"/>
              </w:rPr>
            </w:pPr>
            <w:r>
              <w:rPr>
                <w:rFonts w:ascii="Arial" w:cs="Arial" w:eastAsia="Arial" w:hAnsi="Arial"/>
                <w:sz w:val="18"/>
                <w:szCs w:val="18"/>
                <w:color w:val="auto"/>
              </w:rPr>
              <w:t>12/27/2018</w:t>
            </w:r>
          </w:p>
        </w:tc>
      </w:tr>
      <w:tr>
        <w:trPr>
          <w:trHeight w:val="716"/>
        </w:trPr>
        <w:tc>
          <w:tcPr>
            <w:tcW w:w="70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120" w:type="dxa"/>
            <w:vAlign w:val="bottom"/>
          </w:tcPr>
          <w:p>
            <w:pPr>
              <w:jc w:val="right"/>
              <w:spacing w:after="0"/>
              <w:rPr>
                <w:sz w:val="20"/>
                <w:szCs w:val="20"/>
                <w:color w:val="auto"/>
              </w:rPr>
            </w:pPr>
            <w:r>
              <w:rPr>
                <w:rFonts w:ascii="Arial" w:cs="Arial" w:eastAsia="Arial" w:hAnsi="Arial"/>
                <w:sz w:val="18"/>
                <w:szCs w:val="18"/>
                <w:color w:val="auto"/>
              </w:rPr>
              <w:t>10/11/2017</w:t>
            </w:r>
          </w:p>
        </w:tc>
      </w:tr>
    </w:tbl>
    <w:p>
      <w:pPr>
        <w:sectPr>
          <w:pgSz w:w="11900" w:h="16838" w:orient="portrait"/>
          <w:cols w:equalWidth="0" w:num="2">
            <w:col w:w="6720" w:space="560"/>
            <w:col w:w="3920"/>
          </w:cols>
          <w:pgMar w:left="240" w:top="179" w:right="4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880"/>
        <w:spacing w:after="0"/>
        <w:tabs>
          <w:tab w:leader="none" w:pos="260" w:val="left"/>
        </w:tabs>
        <w:rPr>
          <w:rFonts w:ascii="Arial" w:cs="Arial" w:eastAsia="Arial" w:hAnsi="Arial"/>
          <w:sz w:val="16"/>
          <w:szCs w:val="16"/>
          <w:u w:val="single" w:color="auto"/>
          <w:color w:val="0000FF"/>
        </w:rPr>
      </w:pPr>
      <w:hyperlink r:id="rId45">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45">
        <w:r>
          <w:rPr>
            <w:rFonts w:ascii="Arial" w:cs="Arial" w:eastAsia="Arial" w:hAnsi="Arial"/>
            <w:sz w:val="16"/>
            <w:szCs w:val="16"/>
            <w:u w:val="single" w:color="auto"/>
            <w:color w:val="0000FF"/>
          </w:rPr>
          <w:t>First Amendment to Lease (Non-CPLV) dated as of December 22, 2017, by and</w:t>
        </w:r>
      </w:hyperlink>
    </w:p>
    <w:p>
      <w:pPr>
        <w:spacing w:after="0" w:line="23" w:lineRule="exact"/>
        <w:rPr>
          <w:sz w:val="20"/>
          <w:szCs w:val="20"/>
          <w:color w:val="auto"/>
        </w:rPr>
      </w:pPr>
    </w:p>
    <w:p>
      <w:pPr>
        <w:jc w:val="center"/>
        <w:ind w:right="82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among the entities listed on Schedules A and B thereto and CEOC, LLC</w:t>
        </w:r>
      </w:hyperlink>
    </w:p>
    <w:p>
      <w:pPr>
        <w:spacing w:after="0" w:line="170" w:lineRule="exact"/>
        <w:rPr>
          <w:sz w:val="20"/>
          <w:szCs w:val="20"/>
          <w:color w:val="auto"/>
        </w:rPr>
      </w:pPr>
    </w:p>
    <w:p>
      <w:pPr>
        <w:jc w:val="center"/>
        <w:ind w:right="760"/>
        <w:spacing w:after="0"/>
        <w:tabs>
          <w:tab w:leader="none" w:pos="260" w:val="left"/>
        </w:tabs>
        <w:rPr>
          <w:rFonts w:ascii="Arial" w:cs="Arial" w:eastAsia="Arial" w:hAnsi="Arial"/>
          <w:sz w:val="16"/>
          <w:szCs w:val="16"/>
          <w:u w:val="single" w:color="auto"/>
          <w:color w:val="0000FF"/>
        </w:rPr>
      </w:pPr>
      <w:hyperlink r:id="rId46">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46">
        <w:r>
          <w:rPr>
            <w:rFonts w:ascii="Arial" w:cs="Arial" w:eastAsia="Arial" w:hAnsi="Arial"/>
            <w:sz w:val="16"/>
            <w:szCs w:val="16"/>
            <w:u w:val="single" w:color="auto"/>
            <w:color w:val="0000FF"/>
          </w:rPr>
          <w:t>Second Amendment to Lease (Non-CPLV) dated as of February 16, 2018, by and</w:t>
        </w:r>
      </w:hyperlink>
    </w:p>
    <w:p>
      <w:pPr>
        <w:spacing w:after="0" w:line="23" w:lineRule="exact"/>
        <w:rPr>
          <w:sz w:val="20"/>
          <w:szCs w:val="20"/>
          <w:color w:val="auto"/>
        </w:rPr>
      </w:pPr>
    </w:p>
    <w:p>
      <w:pPr>
        <w:jc w:val="center"/>
        <w:ind w:right="78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among the entities listed on Schedules A and B thereto and CEOC, LLC.</w:t>
        </w:r>
      </w:hyperlink>
    </w:p>
    <w:p>
      <w:pPr>
        <w:spacing w:after="0" w:line="170" w:lineRule="exact"/>
        <w:rPr>
          <w:sz w:val="20"/>
          <w:szCs w:val="20"/>
          <w:color w:val="auto"/>
        </w:rPr>
      </w:pPr>
    </w:p>
    <w:p>
      <w:pPr>
        <w:ind w:left="740" w:right="860" w:hanging="595"/>
        <w:spacing w:after="0" w:line="277" w:lineRule="auto"/>
        <w:tabs>
          <w:tab w:leader="none" w:pos="720" w:val="left"/>
        </w:tabs>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47">
        <w:r>
          <w:rPr>
            <w:rFonts w:ascii="Arial" w:cs="Arial" w:eastAsia="Arial" w:hAnsi="Arial"/>
            <w:sz w:val="18"/>
            <w:szCs w:val="18"/>
            <w:u w:val="single" w:color="auto"/>
            <w:color w:val="0000FF"/>
          </w:rPr>
          <w:t>Third Amendment to Lease (Non-CPLV) dated as of April 2, 2018, by and among</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the entities listed on Schedules A and B thereto and CEOC, LLC.</w:t>
        </w:r>
      </w:hyperlink>
    </w:p>
    <w:p>
      <w:pPr>
        <w:spacing w:after="0" w:line="130" w:lineRule="exact"/>
        <w:rPr>
          <w:rFonts w:ascii="Arial" w:cs="Arial" w:eastAsia="Arial" w:hAnsi="Arial"/>
          <w:sz w:val="18"/>
          <w:szCs w:val="18"/>
          <w:u w:val="single" w:color="auto"/>
          <w:color w:val="0000FF"/>
        </w:rPr>
      </w:pPr>
    </w:p>
    <w:p>
      <w:pPr>
        <w:jc w:val="center"/>
        <w:ind w:right="720"/>
        <w:spacing w:after="0" w:line="308" w:lineRule="auto"/>
        <w:rPr>
          <w:rFonts w:ascii="Arial" w:cs="Arial" w:eastAsia="Arial" w:hAnsi="Arial"/>
          <w:sz w:val="17"/>
          <w:szCs w:val="17"/>
          <w:u w:val="single" w:color="auto"/>
          <w:color w:val="0000FF"/>
        </w:rPr>
      </w:pPr>
      <w:hyperlink r:id="rId48">
        <w:r>
          <w:rPr>
            <w:rFonts w:ascii="Arial" w:cs="Arial" w:eastAsia="Arial" w:hAnsi="Arial"/>
            <w:sz w:val="17"/>
            <w:szCs w:val="17"/>
            <w:u w:val="single" w:color="auto"/>
            <w:color w:val="0000FF"/>
          </w:rPr>
          <w:t>10.7+   Fourth Amendment to Lease (Non-CPLV), dated as of December 26, 2018, by and</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among the entities listed on Schedules A and B thereto and CEOC, LLC.</w:t>
        </w:r>
      </w:hyperlink>
    </w:p>
    <w:p>
      <w:pPr>
        <w:spacing w:after="0" w:line="106" w:lineRule="exact"/>
        <w:rPr>
          <w:sz w:val="20"/>
          <w:szCs w:val="20"/>
          <w:color w:val="auto"/>
        </w:rPr>
      </w:pPr>
    </w:p>
    <w:p>
      <w:pPr>
        <w:ind w:left="740" w:right="800" w:hanging="595"/>
        <w:spacing w:after="0" w:line="264" w:lineRule="auto"/>
        <w:tabs>
          <w:tab w:leader="none" w:pos="720" w:val="left"/>
        </w:tabs>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49">
        <w:r>
          <w:rPr>
            <w:rFonts w:ascii="Arial" w:cs="Arial" w:eastAsia="Arial" w:hAnsi="Arial"/>
            <w:sz w:val="18"/>
            <w:szCs w:val="18"/>
            <w:u w:val="single" w:color="auto"/>
            <w:color w:val="0000FF"/>
          </w:rPr>
          <w:t>Lease (Joliet), dated as of October 6, 2017, by and between Harrah’s Joliet Landco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LLC and Des Plaines Development Limited Partnership, relating to the Joliet</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Facilities.</w:t>
        </w:r>
      </w:hyperlink>
    </w:p>
    <w:p>
      <w:pPr>
        <w:spacing w:after="0" w:line="289" w:lineRule="exact"/>
        <w:rPr>
          <w:rFonts w:ascii="Arial" w:cs="Arial" w:eastAsia="Arial" w:hAnsi="Arial"/>
          <w:sz w:val="18"/>
          <w:szCs w:val="18"/>
          <w:u w:val="single" w:color="auto"/>
          <w:color w:val="0000FF"/>
        </w:rPr>
      </w:pPr>
    </w:p>
    <w:p>
      <w:pPr>
        <w:ind w:left="740" w:right="1260" w:hanging="646"/>
        <w:spacing w:after="0" w:line="264" w:lineRule="auto"/>
        <w:tabs>
          <w:tab w:leader="none" w:pos="720" w:val="left"/>
        </w:tabs>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50">
        <w:r>
          <w:rPr>
            <w:rFonts w:ascii="Arial" w:cs="Arial" w:eastAsia="Arial" w:hAnsi="Arial"/>
            <w:sz w:val="18"/>
            <w:szCs w:val="18"/>
            <w:u w:val="single" w:color="auto"/>
            <w:color w:val="0000FF"/>
          </w:rPr>
          <w:t>First Amendment to Lease (Joliet), dated as of December 26, 2018, by and</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Partnership.</w:t>
        </w:r>
      </w:hyperlink>
    </w:p>
    <w:p>
      <w:pPr>
        <w:spacing w:after="0" w:line="141" w:lineRule="exact"/>
        <w:rPr>
          <w:rFonts w:ascii="Arial" w:cs="Arial" w:eastAsia="Arial" w:hAnsi="Arial"/>
          <w:sz w:val="18"/>
          <w:szCs w:val="18"/>
          <w:u w:val="single" w:color="auto"/>
          <w:color w:val="0000FF"/>
        </w:rPr>
      </w:pPr>
    </w:p>
    <w:p>
      <w:pPr>
        <w:ind w:left="740" w:right="800" w:hanging="641"/>
        <w:spacing w:after="0" w:line="259" w:lineRule="auto"/>
        <w:tabs>
          <w:tab w:leader="none" w:pos="720" w:val="left"/>
        </w:tabs>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51">
        <w:r>
          <w:rPr>
            <w:rFonts w:ascii="Arial" w:cs="Arial" w:eastAsia="Arial" w:hAnsi="Arial"/>
            <w:sz w:val="18"/>
            <w:szCs w:val="18"/>
            <w:u w:val="single" w:color="auto"/>
            <w:color w:val="0000FF"/>
          </w:rPr>
          <w:t>Golf Course Use Agreement, dated as of October 6, 2017, by and among Rio</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Secco LLC, Cascata LLC, Chariot Run LLC, Grand Bear LLC, Caesars Enterprise</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Services, LLC, CEOC, LLC and, solely for purposes of Section 2.1(c) thereof,</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Caesars License Company, LLC.</w:t>
        </w:r>
      </w:hyperlink>
    </w:p>
    <w:p>
      <w:pPr>
        <w:spacing w:after="0" w:line="146" w:lineRule="exact"/>
        <w:rPr>
          <w:rFonts w:ascii="Arial" w:cs="Arial" w:eastAsia="Arial" w:hAnsi="Arial"/>
          <w:sz w:val="18"/>
          <w:szCs w:val="18"/>
          <w:u w:val="single" w:color="auto"/>
          <w:color w:val="0000FF"/>
        </w:rPr>
      </w:pPr>
    </w:p>
    <w:p>
      <w:pPr>
        <w:ind w:left="740" w:right="1020" w:hanging="637"/>
        <w:spacing w:after="0" w:line="279" w:lineRule="auto"/>
        <w:tabs>
          <w:tab w:leader="none" w:pos="720" w:val="left"/>
        </w:tabs>
        <w:rPr>
          <w:rFonts w:ascii="Arial" w:cs="Arial" w:eastAsia="Arial" w:hAnsi="Arial"/>
          <w:sz w:val="17"/>
          <w:szCs w:val="17"/>
          <w:u w:val="single" w:color="auto"/>
          <w:color w:val="0000FF"/>
        </w:rPr>
      </w:pPr>
      <w:hyperlink r:id="rId52">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52">
        <w:r>
          <w:rPr>
            <w:rFonts w:ascii="Arial" w:cs="Arial" w:eastAsia="Arial" w:hAnsi="Arial"/>
            <w:sz w:val="17"/>
            <w:szCs w:val="17"/>
            <w:u w:val="single" w:color="auto"/>
            <w:color w:val="0000FF"/>
          </w:rPr>
          <w:t>First Amendment to Golf Course Use Agreement, dated as of April 20, 2018 by</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and among Rio Secco LLC, Cascata LLC, Chariot Run LLC, and Grand Bear</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LLC, Caesars Enterprise Services LLC, CEOC, LLC, and solely for certain</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sections referenced therein, Caesars License Company, LLC.</w:t>
        </w:r>
      </w:hyperlink>
    </w:p>
    <w:p>
      <w:pPr>
        <w:spacing w:after="0" w:line="280" w:lineRule="exact"/>
        <w:rPr>
          <w:rFonts w:ascii="Arial" w:cs="Arial" w:eastAsia="Arial" w:hAnsi="Arial"/>
          <w:sz w:val="17"/>
          <w:szCs w:val="17"/>
          <w:u w:val="single" w:color="auto"/>
          <w:color w:val="0000FF"/>
        </w:rPr>
      </w:pPr>
    </w:p>
    <w:p>
      <w:pPr>
        <w:ind w:left="740" w:right="880" w:hanging="641"/>
        <w:spacing w:after="0" w:line="273" w:lineRule="auto"/>
        <w:tabs>
          <w:tab w:leader="none" w:pos="720" w:val="left"/>
        </w:tabs>
        <w:rPr>
          <w:rFonts w:ascii="Arial" w:cs="Arial" w:eastAsia="Arial" w:hAnsi="Arial"/>
          <w:sz w:val="17"/>
          <w:szCs w:val="17"/>
          <w:u w:val="single" w:color="auto"/>
          <w:color w:val="0000FF"/>
        </w:rPr>
      </w:pPr>
      <w:hyperlink r:id="rId53">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53">
        <w:r>
          <w:rPr>
            <w:rFonts w:ascii="Arial" w:cs="Arial" w:eastAsia="Arial" w:hAnsi="Arial"/>
            <w:sz w:val="17"/>
            <w:szCs w:val="17"/>
            <w:u w:val="single" w:color="auto"/>
            <w:color w:val="0000FF"/>
          </w:rPr>
          <w:t>Management and Lease Support Agreement, dated as of October 6, 2017, by and</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among Desert Palace LLC, Caesars Entertainment Operating Company, Inc.,</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CEOC, LLC, CPLV Manager, LLC, Caesars Entertainment Corporation, CPLV</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Property Owner LLC, and solely for certain articles and sections named therein,</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Caesars License Company, LLC and Caesars Enterprise Services, LLC relating to</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the CPLV Facilities.</w:t>
        </w:r>
      </w:hyperlink>
    </w:p>
    <w:p>
      <w:pPr>
        <w:spacing w:after="0" w:line="138" w:lineRule="exact"/>
        <w:rPr>
          <w:rFonts w:ascii="Arial" w:cs="Arial" w:eastAsia="Arial" w:hAnsi="Arial"/>
          <w:sz w:val="17"/>
          <w:szCs w:val="17"/>
          <w:u w:val="single" w:color="auto"/>
          <w:color w:val="0000FF"/>
        </w:rPr>
      </w:pPr>
    </w:p>
    <w:p>
      <w:pPr>
        <w:ind w:left="740" w:right="820" w:hanging="641"/>
        <w:spacing w:after="0" w:line="297" w:lineRule="auto"/>
        <w:tabs>
          <w:tab w:leader="none" w:pos="720" w:val="left"/>
        </w:tabs>
        <w:rPr>
          <w:rFonts w:ascii="Arial" w:cs="Arial" w:eastAsia="Arial" w:hAnsi="Arial"/>
          <w:sz w:val="16"/>
          <w:szCs w:val="16"/>
          <w:u w:val="single" w:color="auto"/>
          <w:color w:val="0000FF"/>
        </w:rPr>
      </w:pPr>
      <w:hyperlink r:id="rId54">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54">
        <w:r>
          <w:rPr>
            <w:rFonts w:ascii="Arial" w:cs="Arial" w:eastAsia="Arial" w:hAnsi="Arial"/>
            <w:sz w:val="16"/>
            <w:szCs w:val="16"/>
            <w:u w:val="single" w:color="auto"/>
            <w:color w:val="0000FF"/>
          </w:rPr>
          <w:t>First Amendment to Management and Lease Support Agreement (CPLV), dated as</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of December 26, 2018, by and among Desert Palace LLC, CEOC, LLC, CPLV</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Manager, LLC, Caesars Entertainment Corporation, CPLV Property Owner LLC,</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and solely for certain articles and sections named therein, Caesars License</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Company, LLC and Caesars Enterprise Services, LLC.</w:t>
        </w:r>
      </w:hyperlink>
    </w:p>
    <w:p>
      <w:pPr>
        <w:spacing w:after="0" w:line="118" w:lineRule="exact"/>
        <w:rPr>
          <w:rFonts w:ascii="Arial" w:cs="Arial" w:eastAsia="Arial" w:hAnsi="Arial"/>
          <w:sz w:val="16"/>
          <w:szCs w:val="16"/>
          <w:u w:val="single" w:color="auto"/>
          <w:color w:val="0000FF"/>
        </w:rPr>
      </w:pPr>
    </w:p>
    <w:p>
      <w:pPr>
        <w:ind w:left="740" w:right="800" w:hanging="641"/>
        <w:spacing w:after="0" w:line="257" w:lineRule="auto"/>
        <w:tabs>
          <w:tab w:leader="none" w:pos="720" w:val="left"/>
        </w:tabs>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55">
        <w:r>
          <w:rPr>
            <w:rFonts w:ascii="Arial" w:cs="Arial" w:eastAsia="Arial" w:hAnsi="Arial"/>
            <w:sz w:val="18"/>
            <w:szCs w:val="18"/>
            <w:u w:val="single" w:color="auto"/>
            <w:color w:val="0000FF"/>
          </w:rPr>
          <w:t>Management and Lease Support Agreement, dated as of October 6, 2017, by and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among CEOC, LLC, the entities listed therein, Non-CPLV Manager, LLC, Caesars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Entertainment Corporation and solely for certain articles and sections named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therein, Caesars License Company, LLC and Caesars Enterprise Services, LLC</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relating to the Non-CPLV Facilities.</w:t>
        </w:r>
      </w:hyperlink>
    </w:p>
    <w:p>
      <w:pPr>
        <w:spacing w:after="0" w:line="148" w:lineRule="exact"/>
        <w:rPr>
          <w:rFonts w:ascii="Arial" w:cs="Arial" w:eastAsia="Arial" w:hAnsi="Arial"/>
          <w:sz w:val="18"/>
          <w:szCs w:val="18"/>
          <w:u w:val="single" w:color="auto"/>
          <w:color w:val="0000FF"/>
        </w:rPr>
      </w:pPr>
    </w:p>
    <w:p>
      <w:pPr>
        <w:ind w:left="740" w:right="800" w:hanging="641"/>
        <w:spacing w:after="0" w:line="273" w:lineRule="auto"/>
        <w:tabs>
          <w:tab w:leader="none" w:pos="720" w:val="left"/>
        </w:tabs>
        <w:rPr>
          <w:rFonts w:ascii="Arial" w:cs="Arial" w:eastAsia="Arial" w:hAnsi="Arial"/>
          <w:sz w:val="17"/>
          <w:szCs w:val="17"/>
          <w:u w:val="single" w:color="auto"/>
          <w:color w:val="0000FF"/>
        </w:rPr>
      </w:pPr>
      <w:hyperlink r:id="rId56">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56">
        <w:r>
          <w:rPr>
            <w:rFonts w:ascii="Arial" w:cs="Arial" w:eastAsia="Arial" w:hAnsi="Arial"/>
            <w:sz w:val="17"/>
            <w:szCs w:val="17"/>
            <w:u w:val="single" w:color="auto"/>
            <w:color w:val="0000FF"/>
          </w:rPr>
          <w:t>First Amendment to Management and Lease Support Agreement (Non-CPLV),</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dated as of December 26, 2018, by and among CEOC, LLC, the entities listed on</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Schedule A and Schedule B thereto, Chester Downs and Marina, LLC, Non-CPLV</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Manager, LLC, Caesars Entertainment Corporation, Philadelphia Propco LLC, and</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solely for certain articles and sections named therein, Caesars License Company,</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LLC and Caesars Enterprise Services, LLC.</w:t>
        </w:r>
      </w:hyperlink>
    </w:p>
    <w:p>
      <w:pPr>
        <w:spacing w:after="0" w:line="200" w:lineRule="exact"/>
        <w:rPr>
          <w:rFonts w:ascii="Arial" w:cs="Arial" w:eastAsia="Arial" w:hAnsi="Arial"/>
          <w:sz w:val="17"/>
          <w:szCs w:val="17"/>
          <w:u w:val="single" w:color="auto"/>
          <w:color w:val="0000FF"/>
        </w:rPr>
      </w:pPr>
    </w:p>
    <w:p>
      <w:pPr>
        <w:spacing w:after="0" w:line="235" w:lineRule="exact"/>
        <w:rPr>
          <w:rFonts w:ascii="Arial" w:cs="Arial" w:eastAsia="Arial" w:hAnsi="Arial"/>
          <w:sz w:val="17"/>
          <w:szCs w:val="17"/>
          <w:u w:val="single" w:color="auto"/>
          <w:color w:val="0000FF"/>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36"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8"/>
              </w:rPr>
              <w:t>10-K/A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4/30/2018</w:t>
            </w:r>
          </w:p>
        </w:tc>
      </w:tr>
      <w:tr>
        <w:trPr>
          <w:trHeight w:val="608"/>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608"/>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608"/>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972"/>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932"/>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040"/>
        </w:trPr>
        <w:tc>
          <w:tcPr>
            <w:tcW w:w="86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1405"/>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364"/>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1256"/>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364"/>
        </w:trPr>
        <w:tc>
          <w:tcPr>
            <w:tcW w:w="86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bl>
    <w:p>
      <w:pPr>
        <w:sectPr>
          <w:pgSz w:w="11900" w:h="16838" w:orient="portrait"/>
          <w:cols w:equalWidth="0" w:num="2">
            <w:col w:w="7500" w:space="720"/>
            <w:col w:w="2980"/>
          </w:cols>
          <w:pgMar w:left="240" w:top="179" w:right="4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40" w:right="1060" w:hanging="641"/>
        <w:spacing w:after="0" w:line="297" w:lineRule="auto"/>
        <w:tabs>
          <w:tab w:leader="none" w:pos="720" w:val="left"/>
        </w:tabs>
        <w:rPr>
          <w:rFonts w:ascii="Arial" w:cs="Arial" w:eastAsia="Arial" w:hAnsi="Arial"/>
          <w:sz w:val="16"/>
          <w:szCs w:val="16"/>
          <w:u w:val="single" w:color="auto"/>
          <w:color w:val="0000FF"/>
        </w:rPr>
      </w:pPr>
      <w:hyperlink r:id="rId57">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57">
        <w:r>
          <w:rPr>
            <w:rFonts w:ascii="Arial" w:cs="Arial" w:eastAsia="Arial" w:hAnsi="Arial"/>
            <w:sz w:val="16"/>
            <w:szCs w:val="16"/>
            <w:u w:val="single" w:color="auto"/>
            <w:color w:val="0000FF"/>
          </w:rPr>
          <w:t>Management and Lease Support Agreement, dated as of October 6, 2017, by and</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among Des Plaines Development Limited Partnership, Joliet Manager, LLC,</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Caesars Entertainment Corporation, Harrah’s Joliet Landco LLC and solely for</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certain articles and sections named therein, Caesars License Company, LLC and</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Caesars Enterprise Services, LLC relating to the Joliet Facilities.</w:t>
        </w:r>
      </w:hyperlink>
    </w:p>
    <w:p>
      <w:pPr>
        <w:spacing w:after="0" w:line="118" w:lineRule="exact"/>
        <w:rPr>
          <w:rFonts w:ascii="Arial" w:cs="Arial" w:eastAsia="Arial" w:hAnsi="Arial"/>
          <w:sz w:val="16"/>
          <w:szCs w:val="16"/>
          <w:u w:val="single" w:color="auto"/>
          <w:color w:val="0000FF"/>
        </w:rPr>
      </w:pPr>
    </w:p>
    <w:p>
      <w:pPr>
        <w:jc w:val="center"/>
        <w:ind w:right="880"/>
        <w:spacing w:after="0"/>
        <w:tabs>
          <w:tab w:leader="none" w:pos="220" w:val="left"/>
        </w:tabs>
        <w:rPr>
          <w:rFonts w:ascii="Arial" w:cs="Arial" w:eastAsia="Arial" w:hAnsi="Arial"/>
          <w:sz w:val="16"/>
          <w:szCs w:val="16"/>
          <w:u w:val="single" w:color="auto"/>
          <w:color w:val="0000FF"/>
        </w:rPr>
      </w:pPr>
      <w:hyperlink r:id="rId58">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58">
        <w:r>
          <w:rPr>
            <w:rFonts w:ascii="Arial" w:cs="Arial" w:eastAsia="Arial" w:hAnsi="Arial"/>
            <w:sz w:val="16"/>
            <w:szCs w:val="16"/>
            <w:u w:val="single" w:color="auto"/>
            <w:color w:val="0000FF"/>
          </w:rPr>
          <w:t>First Amendment to Management and Lease Support Agreement (Joliet), dated as</w:t>
        </w:r>
      </w:hyperlink>
    </w:p>
    <w:p>
      <w:pPr>
        <w:spacing w:after="0" w:line="23" w:lineRule="exact"/>
        <w:rPr>
          <w:sz w:val="20"/>
          <w:szCs w:val="20"/>
          <w:color w:val="auto"/>
        </w:rPr>
      </w:pPr>
    </w:p>
    <w:p>
      <w:pPr>
        <w:ind w:left="740" w:right="1140"/>
        <w:spacing w:after="0" w:line="295" w:lineRule="auto"/>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of December 26, 2018, by and among Des Plaines Development Limited</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Partnership, Joliet Manager, LLC, Caesars Entertainment Corporation, Harrah’s</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Joliet Landco LLC and solely for certain articles and sections named therein,</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Caesars License Company, LLC and Caesars Enterprise Services, LLC.</w:t>
        </w:r>
      </w:hyperlink>
    </w:p>
    <w:p>
      <w:pPr>
        <w:spacing w:after="0" w:line="121" w:lineRule="exact"/>
        <w:rPr>
          <w:rFonts w:ascii="Arial" w:cs="Arial" w:eastAsia="Arial" w:hAnsi="Arial"/>
          <w:sz w:val="16"/>
          <w:szCs w:val="16"/>
          <w:u w:val="single" w:color="auto"/>
          <w:color w:val="0000FF"/>
        </w:rPr>
      </w:pPr>
    </w:p>
    <w:p>
      <w:pPr>
        <w:ind w:left="740" w:right="1100" w:hanging="641"/>
        <w:spacing w:after="0" w:line="264" w:lineRule="auto"/>
        <w:tabs>
          <w:tab w:leader="none" w:pos="720" w:val="left"/>
        </w:tabs>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59">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Properties L.P. and Caesars Entertainment Corporation relating to Harrah’s New</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Orleans.</w:t>
        </w:r>
      </w:hyperlink>
    </w:p>
    <w:p>
      <w:pPr>
        <w:spacing w:after="0" w:line="141" w:lineRule="exact"/>
        <w:rPr>
          <w:rFonts w:ascii="Arial" w:cs="Arial" w:eastAsia="Arial" w:hAnsi="Arial"/>
          <w:sz w:val="18"/>
          <w:szCs w:val="18"/>
          <w:u w:val="single" w:color="auto"/>
          <w:color w:val="0000FF"/>
        </w:rPr>
      </w:pPr>
    </w:p>
    <w:p>
      <w:pPr>
        <w:jc w:val="both"/>
        <w:ind w:left="740" w:right="1500" w:hanging="641"/>
        <w:spacing w:after="0" w:line="264" w:lineRule="auto"/>
        <w:tabs>
          <w:tab w:leader="none" w:pos="720" w:val="left"/>
        </w:tabs>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60">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Properties L.P. and Caesars Entertainment Corporation relating to Harrah’s</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Laughlin.</w:t>
        </w:r>
      </w:hyperlink>
    </w:p>
    <w:p>
      <w:pPr>
        <w:spacing w:after="0" w:line="141" w:lineRule="exact"/>
        <w:rPr>
          <w:rFonts w:ascii="Arial" w:cs="Arial" w:eastAsia="Arial" w:hAnsi="Arial"/>
          <w:sz w:val="18"/>
          <w:szCs w:val="18"/>
          <w:u w:val="single" w:color="auto"/>
          <w:color w:val="0000FF"/>
        </w:rPr>
      </w:pPr>
    </w:p>
    <w:p>
      <w:pPr>
        <w:jc w:val="both"/>
        <w:ind w:left="740" w:right="1500" w:hanging="641"/>
        <w:spacing w:after="0" w:line="264" w:lineRule="auto"/>
        <w:tabs>
          <w:tab w:leader="none" w:pos="720" w:val="left"/>
        </w:tabs>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61">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Properties L.P. and Caesars Entertainment Corporation relating to Harrah’s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Atlantic City.</w:t>
        </w:r>
      </w:hyperlink>
    </w:p>
    <w:p>
      <w:pPr>
        <w:spacing w:after="0" w:line="141" w:lineRule="exact"/>
        <w:rPr>
          <w:rFonts w:ascii="Arial" w:cs="Arial" w:eastAsia="Arial" w:hAnsi="Arial"/>
          <w:sz w:val="18"/>
          <w:szCs w:val="18"/>
          <w:u w:val="single" w:color="auto"/>
          <w:color w:val="0000FF"/>
        </w:rPr>
      </w:pPr>
    </w:p>
    <w:p>
      <w:pPr>
        <w:ind w:left="740" w:right="1160" w:hanging="641"/>
        <w:spacing w:after="0" w:line="264" w:lineRule="auto"/>
        <w:tabs>
          <w:tab w:leader="none" w:pos="720" w:val="left"/>
        </w:tabs>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62">
        <w:r>
          <w:rPr>
            <w:rFonts w:ascii="Arial" w:cs="Arial" w:eastAsia="Arial" w:hAnsi="Arial"/>
            <w:sz w:val="18"/>
            <w:szCs w:val="18"/>
            <w:u w:val="single" w:color="auto"/>
            <w:color w:val="0000FF"/>
          </w:rPr>
          <w:t>Tax Matters Agreement, dated as of October 6, 2017, by and among Caesars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Entertainment Corporation, CEOC, LLC, VICI Properties Inc., VICI Properties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L.P. and CPLV Property Owner LLC.</w:t>
        </w:r>
      </w:hyperlink>
    </w:p>
    <w:p>
      <w:pPr>
        <w:spacing w:after="0" w:line="141" w:lineRule="exact"/>
        <w:rPr>
          <w:rFonts w:ascii="Arial" w:cs="Arial" w:eastAsia="Arial" w:hAnsi="Arial"/>
          <w:sz w:val="18"/>
          <w:szCs w:val="18"/>
          <w:u w:val="single" w:color="auto"/>
          <w:color w:val="0000FF"/>
        </w:rPr>
      </w:pPr>
    </w:p>
    <w:p>
      <w:pPr>
        <w:ind w:left="740" w:right="1000" w:hanging="641"/>
        <w:spacing w:after="0" w:line="257" w:lineRule="auto"/>
        <w:tabs>
          <w:tab w:leader="none" w:pos="720" w:val="left"/>
        </w:tabs>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63">
        <w:r>
          <w:rPr>
            <w:rFonts w:ascii="Arial" w:cs="Arial" w:eastAsia="Arial" w:hAnsi="Arial"/>
            <w:sz w:val="18"/>
            <w:szCs w:val="18"/>
            <w:u w:val="single" w:color="auto"/>
            <w:color w:val="0000FF"/>
          </w:rPr>
          <w:t>Amended and Restated Credit Agreement among VICI Properties 1 LLC,</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Goldman Sachs Bank USA, as administrative agent, and the other lenders party</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thereto (Exhibit A to Amendment No. 3 to Credit Agreement by and among VICI</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Properties 1 LLC, Goldman Sachs Bank USA, as administrative agent, and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other loan parties thereto).</w:t>
        </w:r>
      </w:hyperlink>
    </w:p>
    <w:p>
      <w:pPr>
        <w:spacing w:after="0" w:line="148" w:lineRule="exact"/>
        <w:rPr>
          <w:rFonts w:ascii="Arial" w:cs="Arial" w:eastAsia="Arial" w:hAnsi="Arial"/>
          <w:sz w:val="18"/>
          <w:szCs w:val="18"/>
          <w:u w:val="single" w:color="auto"/>
          <w:color w:val="0000FF"/>
        </w:rPr>
      </w:pPr>
    </w:p>
    <w:p>
      <w:pPr>
        <w:ind w:left="740" w:right="940" w:hanging="641"/>
        <w:spacing w:after="0" w:line="276" w:lineRule="auto"/>
        <w:tabs>
          <w:tab w:leader="none" w:pos="720" w:val="left"/>
        </w:tabs>
        <w:rPr>
          <w:rFonts w:ascii="Arial" w:cs="Arial" w:eastAsia="Arial" w:hAnsi="Arial"/>
          <w:sz w:val="17"/>
          <w:szCs w:val="17"/>
          <w:u w:val="single" w:color="auto"/>
          <w:color w:val="0000FF"/>
        </w:rPr>
      </w:pPr>
      <w:hyperlink r:id="rId64">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64">
        <w:r>
          <w:rPr>
            <w:rFonts w:ascii="Arial" w:cs="Arial" w:eastAsia="Arial" w:hAnsi="Arial"/>
            <w:sz w:val="17"/>
            <w:szCs w:val="17"/>
            <w:u w:val="single" w:color="auto"/>
            <w:color w:val="0000FF"/>
          </w:rPr>
          <w:t>Second Lien Intercreditor Agreement, dated as of October 6, 2017, among VICI</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Properties 1 LLC and VICI FC Inc., as the Borrowers, Wilmington Trust, National</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Association, as Credit Agreement Agent, UMB Bank, National Association, as the</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Initial Other First Priority Lien Obligations Agent, and each Other First Priority</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Lien Obligations Agent from time to time party thereto.</w:t>
        </w:r>
      </w:hyperlink>
    </w:p>
    <w:p>
      <w:pPr>
        <w:spacing w:after="0" w:line="132" w:lineRule="exact"/>
        <w:rPr>
          <w:rFonts w:ascii="Arial" w:cs="Arial" w:eastAsia="Arial" w:hAnsi="Arial"/>
          <w:sz w:val="17"/>
          <w:szCs w:val="17"/>
          <w:u w:val="single" w:color="auto"/>
          <w:color w:val="0000FF"/>
        </w:rPr>
      </w:pPr>
    </w:p>
    <w:p>
      <w:pPr>
        <w:ind w:left="740" w:right="1100" w:hanging="641"/>
        <w:spacing w:after="0" w:line="264" w:lineRule="auto"/>
        <w:tabs>
          <w:tab w:leader="none" w:pos="72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65">
        <w:r>
          <w:rPr>
            <w:rFonts w:ascii="Arial" w:cs="Arial" w:eastAsia="Arial" w:hAnsi="Arial"/>
            <w:sz w:val="18"/>
            <w:szCs w:val="18"/>
            <w:u w:val="single" w:color="auto"/>
            <w:color w:val="0000FF"/>
          </w:rPr>
          <w:t>Second Lien Collateral Agreement, dated as of October 6, 2017, among VICI</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Properties 1 LLC, VICI FC Inc., each Subsidiary Party thereto, and UMB Bank,</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National Association, as Collateral Agent.</w:t>
        </w:r>
      </w:hyperlink>
    </w:p>
    <w:p>
      <w:pPr>
        <w:spacing w:after="0" w:line="141" w:lineRule="exact"/>
        <w:rPr>
          <w:rFonts w:ascii="Arial" w:cs="Arial" w:eastAsia="Arial" w:hAnsi="Arial"/>
          <w:sz w:val="18"/>
          <w:szCs w:val="18"/>
          <w:u w:val="single" w:color="auto"/>
          <w:color w:val="0000FF"/>
        </w:rPr>
      </w:pPr>
    </w:p>
    <w:p>
      <w:pPr>
        <w:ind w:left="740" w:right="960" w:hanging="641"/>
        <w:spacing w:after="0" w:line="342" w:lineRule="auto"/>
        <w:tabs>
          <w:tab w:leader="none" w:pos="720" w:val="left"/>
        </w:tabs>
        <w:rPr>
          <w:rFonts w:ascii="Arial" w:cs="Arial" w:eastAsia="Arial" w:hAnsi="Arial"/>
          <w:sz w:val="16"/>
          <w:szCs w:val="16"/>
          <w:u w:val="single" w:color="auto"/>
          <w:color w:val="0000FF"/>
        </w:rPr>
      </w:pPr>
      <w:hyperlink r:id="rId66">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66">
        <w:r>
          <w:rPr>
            <w:rFonts w:ascii="Arial" w:cs="Arial" w:eastAsia="Arial" w:hAnsi="Arial"/>
            <w:sz w:val="16"/>
            <w:szCs w:val="16"/>
            <w:u w:val="single" w:color="auto"/>
            <w:color w:val="0000FF"/>
          </w:rPr>
          <w:t>Commitment Letter, dated June 24, 2019, by and between VICI Properties 1 LLC,</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Deutsche Bank Securities Inc. and Deutsche Bank AG Cayman Islands Branch.</w:t>
        </w:r>
      </w:hyperlink>
    </w:p>
    <w:p>
      <w:pPr>
        <w:spacing w:after="0" w:line="83" w:lineRule="exact"/>
        <w:rPr>
          <w:rFonts w:ascii="Arial" w:cs="Arial" w:eastAsia="Arial" w:hAnsi="Arial"/>
          <w:sz w:val="18"/>
          <w:szCs w:val="18"/>
          <w:u w:val="single" w:color="auto"/>
          <w:color w:val="0000FF"/>
        </w:rPr>
      </w:pPr>
    </w:p>
    <w:p>
      <w:pPr>
        <w:ind w:left="100"/>
        <w:spacing w:after="0"/>
        <w:tabs>
          <w:tab w:leader="none" w:pos="720" w:val="left"/>
        </w:tabs>
        <w:rPr>
          <w:rFonts w:ascii="Arial" w:cs="Arial" w:eastAsia="Arial" w:hAnsi="Arial"/>
          <w:sz w:val="16"/>
          <w:szCs w:val="16"/>
          <w:u w:val="single" w:color="auto"/>
          <w:color w:val="0000FF"/>
        </w:rPr>
      </w:pPr>
      <w:hyperlink r:id="rId67">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67">
        <w:r>
          <w:rPr>
            <w:rFonts w:ascii="Arial" w:cs="Arial" w:eastAsia="Arial" w:hAnsi="Arial"/>
            <w:sz w:val="16"/>
            <w:szCs w:val="16"/>
            <w:u w:val="single" w:color="auto"/>
            <w:color w:val="0000FF"/>
          </w:rPr>
          <w:t>Amended and Restated Agreement of Limited Partnership of VICI Properties L.P.</w:t>
        </w:r>
      </w:hyperlink>
    </w:p>
    <w:p>
      <w:pPr>
        <w:spacing w:after="0" w:line="185" w:lineRule="exact"/>
        <w:rPr>
          <w:sz w:val="20"/>
          <w:szCs w:val="20"/>
          <w:color w:val="auto"/>
        </w:rPr>
      </w:pPr>
    </w:p>
    <w:p>
      <w:pPr>
        <w:ind w:left="740" w:right="1540" w:hanging="641"/>
        <w:spacing w:after="0" w:line="277" w:lineRule="auto"/>
        <w:tabs>
          <w:tab w:leader="none" w:pos="720" w:val="left"/>
        </w:tabs>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68">
        <w:r>
          <w:rPr>
            <w:rFonts w:ascii="Arial" w:cs="Arial" w:eastAsia="Arial" w:hAnsi="Arial"/>
            <w:sz w:val="18"/>
            <w:szCs w:val="18"/>
            <w:u w:val="single" w:color="auto"/>
            <w:color w:val="0000FF"/>
          </w:rPr>
          <w:t>Form of Indemnification Agreement, between VICI Properties Inc. and its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directors and officers.</w:t>
        </w:r>
      </w:hyperlink>
    </w:p>
    <w:p>
      <w:pPr>
        <w:spacing w:after="0" w:line="130" w:lineRule="exact"/>
        <w:rPr>
          <w:rFonts w:ascii="Arial" w:cs="Arial" w:eastAsia="Arial" w:hAnsi="Arial"/>
          <w:sz w:val="18"/>
          <w:szCs w:val="18"/>
          <w:u w:val="single" w:color="auto"/>
          <w:color w:val="0000FF"/>
        </w:rPr>
      </w:pPr>
    </w:p>
    <w:p>
      <w:pPr>
        <w:ind w:left="740" w:right="980" w:hanging="686"/>
        <w:spacing w:after="0" w:line="342" w:lineRule="auto"/>
        <w:tabs>
          <w:tab w:leader="none" w:pos="720" w:val="left"/>
        </w:tabs>
        <w:rPr>
          <w:rFonts w:ascii="Arial" w:cs="Arial" w:eastAsia="Arial" w:hAnsi="Arial"/>
          <w:sz w:val="16"/>
          <w:szCs w:val="16"/>
          <w:u w:val="single" w:color="auto"/>
          <w:color w:val="0000FF"/>
        </w:rPr>
      </w:pPr>
      <w:hyperlink r:id="rId69">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69">
        <w:r>
          <w:rPr>
            <w:rFonts w:ascii="Arial" w:cs="Arial" w:eastAsia="Arial" w:hAnsi="Arial"/>
            <w:sz w:val="16"/>
            <w:szCs w:val="16"/>
            <w:u w:val="single" w:color="auto"/>
            <w:color w:val="0000FF"/>
          </w:rPr>
          <w:t>Amended and Restated Employment Agreement, dated as of September 25, 2019,</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by and between VICI Properties Inc., VICI Properties L.P. and John Payne</w:t>
        </w:r>
      </w:hyperlink>
    </w:p>
    <w:p>
      <w:pPr>
        <w:spacing w:after="0" w:line="83" w:lineRule="exact"/>
        <w:rPr>
          <w:rFonts w:ascii="Arial" w:cs="Arial" w:eastAsia="Arial" w:hAnsi="Arial"/>
          <w:sz w:val="18"/>
          <w:szCs w:val="18"/>
          <w:u w:val="single" w:color="auto"/>
          <w:color w:val="0000FF"/>
        </w:rPr>
      </w:pPr>
    </w:p>
    <w:p>
      <w:pPr>
        <w:ind w:left="740" w:right="980" w:hanging="686"/>
        <w:spacing w:after="0" w:line="342" w:lineRule="auto"/>
        <w:tabs>
          <w:tab w:leader="none" w:pos="720" w:val="left"/>
        </w:tabs>
        <w:rPr>
          <w:rFonts w:ascii="Arial" w:cs="Arial" w:eastAsia="Arial" w:hAnsi="Arial"/>
          <w:sz w:val="16"/>
          <w:szCs w:val="16"/>
          <w:u w:val="single" w:color="auto"/>
          <w:color w:val="0000FF"/>
        </w:rPr>
      </w:pPr>
      <w:hyperlink r:id="rId70">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70">
        <w:r>
          <w:rPr>
            <w:rFonts w:ascii="Arial" w:cs="Arial" w:eastAsia="Arial" w:hAnsi="Arial"/>
            <w:sz w:val="16"/>
            <w:szCs w:val="16"/>
            <w:u w:val="single" w:color="auto"/>
            <w:color w:val="0000FF"/>
          </w:rPr>
          <w:t>Amended and Restated Employment Agreement, dated as of September 25, 2019,</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by and between VICI Properties Inc., VICI Properties L.P. and Edward Pitoniak</w:t>
        </w:r>
      </w:hyperlink>
    </w:p>
    <w:p>
      <w:pPr>
        <w:spacing w:after="0" w:line="380"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256"/>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10.7</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1040"/>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10.9</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824"/>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824"/>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824"/>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10.12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040"/>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5/16/2019</w:t>
            </w:r>
          </w:p>
        </w:tc>
      </w:tr>
      <w:tr>
        <w:trPr>
          <w:trHeight w:val="1256"/>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1040"/>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10.22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716"/>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6/24/2019</w:t>
            </w:r>
          </w:p>
        </w:tc>
      </w:tr>
      <w:tr>
        <w:trPr>
          <w:trHeight w:val="500"/>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10.23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500"/>
        </w:trPr>
        <w:tc>
          <w:tcPr>
            <w:tcW w:w="680" w:type="dxa"/>
            <w:vAlign w:val="bottom"/>
          </w:tcPr>
          <w:p>
            <w:pPr>
              <w:jc w:val="center"/>
              <w:ind w:right="290"/>
              <w:spacing w:after="0"/>
              <w:rPr>
                <w:sz w:val="20"/>
                <w:szCs w:val="20"/>
                <w:color w:val="auto"/>
              </w:rPr>
            </w:pPr>
            <w:r>
              <w:rPr>
                <w:rFonts w:ascii="Arial" w:cs="Arial" w:eastAsia="Arial" w:hAnsi="Arial"/>
                <w:sz w:val="18"/>
                <w:szCs w:val="18"/>
                <w:color w:val="auto"/>
                <w:w w:val="89"/>
              </w:rPr>
              <w:t>10</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10.20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9/28/2017</w:t>
            </w:r>
          </w:p>
        </w:tc>
      </w:tr>
      <w:tr>
        <w:trPr>
          <w:trHeight w:val="608"/>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9/26/2019</w:t>
            </w:r>
          </w:p>
        </w:tc>
      </w:tr>
      <w:tr>
        <w:trPr>
          <w:trHeight w:val="608"/>
        </w:trPr>
        <w:tc>
          <w:tcPr>
            <w:tcW w:w="6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9/26/2019</w:t>
            </w:r>
          </w:p>
        </w:tc>
      </w:tr>
    </w:tbl>
    <w:p>
      <w:pPr>
        <w:sectPr>
          <w:pgSz w:w="11900" w:h="16838" w:orient="portrait"/>
          <w:cols w:equalWidth="0" w:num="2">
            <w:col w:w="7620" w:space="720"/>
            <w:col w:w="2860"/>
          </w:cols>
          <w:pgMar w:left="240" w:top="179" w:right="4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40" w:right="80" w:hanging="686"/>
        <w:spacing w:after="0" w:line="342" w:lineRule="auto"/>
        <w:tabs>
          <w:tab w:leader="none" w:pos="720" w:val="left"/>
        </w:tabs>
        <w:rPr>
          <w:rFonts w:ascii="Arial" w:cs="Arial" w:eastAsia="Arial" w:hAnsi="Arial"/>
          <w:sz w:val="16"/>
          <w:szCs w:val="16"/>
          <w:u w:val="single" w:color="auto"/>
          <w:color w:val="0000FF"/>
        </w:rPr>
      </w:pPr>
      <w:hyperlink r:id="rId71">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71">
        <w:r>
          <w:rPr>
            <w:rFonts w:ascii="Arial" w:cs="Arial" w:eastAsia="Arial" w:hAnsi="Arial"/>
            <w:sz w:val="16"/>
            <w:szCs w:val="16"/>
            <w:u w:val="single" w:color="auto"/>
            <w:color w:val="0000FF"/>
          </w:rPr>
          <w:t>Amended and Restated Employment Agreement, dated as of September 25, 2019,</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by and between VICI Properties Inc., VICI Properties L.P. and David Kieske</w:t>
        </w:r>
      </w:hyperlink>
    </w:p>
    <w:p>
      <w:pPr>
        <w:spacing w:after="0" w:line="83" w:lineRule="exact"/>
        <w:rPr>
          <w:rFonts w:ascii="Arial" w:cs="Arial" w:eastAsia="Arial" w:hAnsi="Arial"/>
          <w:sz w:val="18"/>
          <w:szCs w:val="18"/>
          <w:u w:val="single" w:color="auto"/>
          <w:color w:val="0000FF"/>
        </w:rPr>
      </w:pPr>
    </w:p>
    <w:p>
      <w:pPr>
        <w:ind w:left="740" w:right="80" w:hanging="686"/>
        <w:spacing w:after="0" w:line="264" w:lineRule="auto"/>
        <w:tabs>
          <w:tab w:leader="none" w:pos="720" w:val="left"/>
        </w:tabs>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72">
        <w:r>
          <w:rPr>
            <w:rFonts w:ascii="Arial" w:cs="Arial" w:eastAsia="Arial" w:hAnsi="Arial"/>
            <w:sz w:val="18"/>
            <w:szCs w:val="18"/>
            <w:u w:val="single" w:color="auto"/>
            <w:color w:val="0000FF"/>
          </w:rPr>
          <w:t>Amended and Restated Employment Agreement, dated as of September 25, 2019,</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by and between VICI Properties Inc., VICI Properties L.P. and Samantha</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Gallagher</w:t>
        </w:r>
      </w:hyperlink>
    </w:p>
    <w:p>
      <w:pPr>
        <w:spacing w:after="0" w:line="141" w:lineRule="exact"/>
        <w:rPr>
          <w:rFonts w:ascii="Arial" w:cs="Arial" w:eastAsia="Arial" w:hAnsi="Arial"/>
          <w:sz w:val="18"/>
          <w:szCs w:val="18"/>
          <w:u w:val="single" w:color="auto"/>
          <w:color w:val="0000FF"/>
        </w:rPr>
      </w:pPr>
    </w:p>
    <w:p>
      <w:pPr>
        <w:ind w:left="60"/>
        <w:spacing w:after="0"/>
        <w:tabs>
          <w:tab w:leader="none" w:pos="720" w:val="left"/>
        </w:tabs>
        <w:rPr>
          <w:rFonts w:ascii="Arial" w:cs="Arial" w:eastAsia="Arial" w:hAnsi="Arial"/>
          <w:sz w:val="16"/>
          <w:szCs w:val="16"/>
          <w:u w:val="single" w:color="auto"/>
          <w:color w:val="0000FF"/>
        </w:rPr>
      </w:pPr>
      <w:hyperlink r:id="rId73">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73">
        <w:r>
          <w:rPr>
            <w:rFonts w:ascii="Arial" w:cs="Arial" w:eastAsia="Arial" w:hAnsi="Arial"/>
            <w:sz w:val="16"/>
            <w:szCs w:val="16"/>
            <w:u w:val="single" w:color="auto"/>
            <w:color w:val="0000FF"/>
          </w:rPr>
          <w:t>VICI Properties Inc. 2017 Stock Incentive Plan.</w:t>
        </w:r>
      </w:hyperlink>
    </w:p>
    <w:p>
      <w:pPr>
        <w:spacing w:after="0" w:line="185" w:lineRule="exact"/>
        <w:rPr>
          <w:sz w:val="20"/>
          <w:szCs w:val="20"/>
          <w:color w:val="auto"/>
        </w:rPr>
      </w:pPr>
    </w:p>
    <w:p>
      <w:pPr>
        <w:ind w:left="60"/>
        <w:spacing w:after="0"/>
        <w:tabs>
          <w:tab w:leader="none" w:pos="720" w:val="left"/>
        </w:tabs>
        <w:rPr>
          <w:rFonts w:ascii="Arial" w:cs="Arial" w:eastAsia="Arial" w:hAnsi="Arial"/>
          <w:sz w:val="16"/>
          <w:szCs w:val="16"/>
          <w:u w:val="single" w:color="auto"/>
          <w:color w:val="0000FF"/>
        </w:rPr>
      </w:pPr>
      <w:hyperlink r:id="rId74">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74">
        <w:r>
          <w:rPr>
            <w:rFonts w:ascii="Arial" w:cs="Arial" w:eastAsia="Arial" w:hAnsi="Arial"/>
            <w:sz w:val="16"/>
            <w:szCs w:val="16"/>
            <w:u w:val="single" w:color="auto"/>
            <w:color w:val="0000FF"/>
          </w:rPr>
          <w:t>Amendment No. 1 to VICI Properties Inc. 2017 Stock Incentive Plan</w:t>
        </w:r>
      </w:hyperlink>
    </w:p>
    <w:p>
      <w:pPr>
        <w:spacing w:after="0" w:line="185" w:lineRule="exact"/>
        <w:rPr>
          <w:sz w:val="20"/>
          <w:szCs w:val="20"/>
          <w:color w:val="auto"/>
        </w:rPr>
      </w:pPr>
    </w:p>
    <w:p>
      <w:pPr>
        <w:ind w:left="740" w:right="40" w:hanging="641"/>
        <w:spacing w:after="0" w:line="264" w:lineRule="auto"/>
        <w:tabs>
          <w:tab w:leader="none" w:pos="720" w:val="left"/>
        </w:tabs>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75">
        <w:r>
          <w:rPr>
            <w:rFonts w:ascii="Arial" w:cs="Arial" w:eastAsia="Arial" w:hAnsi="Arial"/>
            <w:sz w:val="18"/>
            <w:szCs w:val="18"/>
            <w:u w:val="single" w:color="auto"/>
            <w:color w:val="0000FF"/>
          </w:rPr>
          <w:t>Second Amended and Restated Right of First Refusal Agreement, dated as of</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December 26, 2018, by and between Caesars Entertainment Corporation and VICI</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Properties L.P.</w:t>
        </w:r>
      </w:hyperlink>
    </w:p>
    <w:p>
      <w:pPr>
        <w:spacing w:after="0" w:line="141" w:lineRule="exact"/>
        <w:rPr>
          <w:rFonts w:ascii="Arial" w:cs="Arial" w:eastAsia="Arial" w:hAnsi="Arial"/>
          <w:sz w:val="18"/>
          <w:szCs w:val="18"/>
          <w:u w:val="single" w:color="auto"/>
          <w:color w:val="0000FF"/>
        </w:rPr>
      </w:pPr>
    </w:p>
    <w:p>
      <w:pPr>
        <w:ind w:left="740" w:right="40" w:hanging="641"/>
        <w:spacing w:after="0" w:line="277" w:lineRule="auto"/>
        <w:tabs>
          <w:tab w:leader="none" w:pos="72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Guaranty of Lease as of the 22nd day of December, 2017, by and between Caesars</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Resort Collection, LLC and Claudine Propco, LLC.</w:t>
        </w:r>
      </w:hyperlink>
    </w:p>
    <w:p>
      <w:pPr>
        <w:spacing w:after="0" w:line="130" w:lineRule="exact"/>
        <w:rPr>
          <w:rFonts w:ascii="Arial" w:cs="Arial" w:eastAsia="Arial" w:hAnsi="Arial"/>
          <w:sz w:val="18"/>
          <w:szCs w:val="18"/>
          <w:u w:val="single" w:color="auto"/>
          <w:color w:val="0000FF"/>
        </w:rPr>
      </w:pPr>
    </w:p>
    <w:p>
      <w:pPr>
        <w:ind w:left="740" w:right="400" w:hanging="641"/>
        <w:spacing w:after="0" w:line="277" w:lineRule="auto"/>
        <w:tabs>
          <w:tab w:leader="none" w:pos="720" w:val="left"/>
        </w:tabs>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77">
        <w:r>
          <w:rPr>
            <w:rFonts w:ascii="Arial" w:cs="Arial" w:eastAsia="Arial" w:hAnsi="Arial"/>
            <w:sz w:val="18"/>
            <w:szCs w:val="18"/>
            <w:u w:val="single" w:color="auto"/>
            <w:color w:val="0000FF"/>
          </w:rPr>
          <w:t>Amended and Restated Lease, dated as of December 22, 2017, by and among</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Claudine Propco, LLC and Harrah’s Las Vegas, LLC.</w:t>
        </w:r>
      </w:hyperlink>
    </w:p>
    <w:p>
      <w:pPr>
        <w:spacing w:after="0" w:line="130" w:lineRule="exact"/>
        <w:rPr>
          <w:rFonts w:ascii="Arial" w:cs="Arial" w:eastAsia="Arial" w:hAnsi="Arial"/>
          <w:sz w:val="18"/>
          <w:szCs w:val="18"/>
          <w:u w:val="single" w:color="auto"/>
          <w:color w:val="0000FF"/>
        </w:rPr>
      </w:pPr>
    </w:p>
    <w:p>
      <w:pPr>
        <w:ind w:left="100"/>
        <w:spacing w:after="0"/>
        <w:tabs>
          <w:tab w:leader="none" w:pos="720" w:val="left"/>
        </w:tabs>
        <w:rPr>
          <w:rFonts w:ascii="Arial" w:cs="Arial" w:eastAsia="Arial" w:hAnsi="Arial"/>
          <w:sz w:val="16"/>
          <w:szCs w:val="16"/>
          <w:u w:val="single" w:color="auto"/>
          <w:color w:val="0000FF"/>
        </w:rPr>
      </w:pPr>
      <w:hyperlink r:id="rId78">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78">
        <w:r>
          <w:rPr>
            <w:rFonts w:ascii="Arial" w:cs="Arial" w:eastAsia="Arial" w:hAnsi="Arial"/>
            <w:sz w:val="16"/>
            <w:szCs w:val="16"/>
            <w:u w:val="single" w:color="auto"/>
            <w:color w:val="0000FF"/>
          </w:rPr>
          <w:t>First Amendment to Amended and Restated Lease, dated as of December 26,</w:t>
        </w:r>
      </w:hyperlink>
    </w:p>
    <w:p>
      <w:pPr>
        <w:spacing w:after="0" w:line="23" w:lineRule="exact"/>
        <w:rPr>
          <w:sz w:val="20"/>
          <w:szCs w:val="20"/>
          <w:color w:val="auto"/>
        </w:rPr>
      </w:pPr>
    </w:p>
    <w:p>
      <w:pPr>
        <w:ind w:left="740"/>
        <w:spacing w:after="0"/>
        <w:rPr>
          <w:rFonts w:ascii="Arial" w:cs="Arial" w:eastAsia="Arial" w:hAnsi="Arial"/>
          <w:sz w:val="17"/>
          <w:szCs w:val="17"/>
          <w:u w:val="single" w:color="auto"/>
          <w:color w:val="0000FF"/>
        </w:rPr>
      </w:pPr>
      <w:hyperlink r:id="rId78">
        <w:r>
          <w:rPr>
            <w:rFonts w:ascii="Arial" w:cs="Arial" w:eastAsia="Arial" w:hAnsi="Arial"/>
            <w:sz w:val="17"/>
            <w:szCs w:val="17"/>
            <w:u w:val="single" w:color="auto"/>
            <w:color w:val="0000FF"/>
          </w:rPr>
          <w:t>2018, by and between Claudine Propco, LLC and Harrah’s Las Vegas, LLC.</w:t>
        </w:r>
      </w:hyperlink>
    </w:p>
    <w:p>
      <w:pPr>
        <w:spacing w:after="0" w:line="182" w:lineRule="exact"/>
        <w:rPr>
          <w:sz w:val="20"/>
          <w:szCs w:val="20"/>
          <w:color w:val="auto"/>
        </w:rPr>
      </w:pPr>
    </w:p>
    <w:p>
      <w:pPr>
        <w:ind w:left="740" w:right="540" w:hanging="641"/>
        <w:spacing w:after="0" w:line="264" w:lineRule="auto"/>
        <w:tabs>
          <w:tab w:leader="none" w:pos="720" w:val="left"/>
        </w:tabs>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79">
        <w:r>
          <w:rPr>
            <w:rFonts w:ascii="Arial" w:cs="Arial" w:eastAsia="Arial" w:hAnsi="Arial"/>
            <w:sz w:val="18"/>
            <w:szCs w:val="18"/>
            <w:u w:val="single" w:color="auto"/>
            <w:color w:val="0000FF"/>
          </w:rPr>
          <w:t>Put-Call Right Agreement, dated as of December 22, 2017, by and among</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Claudine Propco LLC, Vegas Development Land Owner LLC and 3535 LV</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Newco, LLC.</w:t>
        </w:r>
      </w:hyperlink>
    </w:p>
    <w:p>
      <w:pPr>
        <w:spacing w:after="0" w:line="141" w:lineRule="exact"/>
        <w:rPr>
          <w:rFonts w:ascii="Arial" w:cs="Arial" w:eastAsia="Arial" w:hAnsi="Arial"/>
          <w:sz w:val="18"/>
          <w:szCs w:val="18"/>
          <w:u w:val="single" w:color="auto"/>
          <w:color w:val="0000FF"/>
        </w:rPr>
      </w:pPr>
    </w:p>
    <w:p>
      <w:pPr>
        <w:ind w:left="740" w:right="580" w:hanging="641"/>
        <w:spacing w:after="0" w:line="277" w:lineRule="auto"/>
        <w:tabs>
          <w:tab w:leader="none" w:pos="720" w:val="left"/>
        </w:tabs>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80">
        <w:r>
          <w:rPr>
            <w:rFonts w:ascii="Arial" w:cs="Arial" w:eastAsia="Arial" w:hAnsi="Arial"/>
            <w:sz w:val="18"/>
            <w:szCs w:val="18"/>
            <w:u w:val="single" w:color="auto"/>
            <w:color w:val="0000FF"/>
          </w:rPr>
          <w:t>Master Transaction Agreement, dated June 24, 2019, by and between VICI</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Properties L.P. and Eldorado Resorts, Inc.</w:t>
        </w:r>
      </w:hyperlink>
    </w:p>
    <w:p>
      <w:pPr>
        <w:spacing w:after="0" w:line="130" w:lineRule="exact"/>
        <w:rPr>
          <w:rFonts w:ascii="Arial" w:cs="Arial" w:eastAsia="Arial" w:hAnsi="Arial"/>
          <w:sz w:val="18"/>
          <w:szCs w:val="18"/>
          <w:u w:val="single" w:color="auto"/>
          <w:color w:val="0000FF"/>
        </w:rPr>
      </w:pPr>
    </w:p>
    <w:p>
      <w:pPr>
        <w:ind w:left="740" w:right="100" w:hanging="641"/>
        <w:spacing w:after="0" w:line="277" w:lineRule="auto"/>
        <w:tabs>
          <w:tab w:leader="none" w:pos="720" w:val="left"/>
        </w:tabs>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81">
        <w:r>
          <w:rPr>
            <w:rFonts w:ascii="Arial" w:cs="Arial" w:eastAsia="Arial" w:hAnsi="Arial"/>
            <w:sz w:val="18"/>
            <w:szCs w:val="18"/>
            <w:u w:val="single" w:color="auto"/>
            <w:color w:val="0000FF"/>
          </w:rPr>
          <w:t>Forward Sale Agreement, dated June 25, 2019, by and between the Company and</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Bank of America, N.A.</w:t>
        </w:r>
      </w:hyperlink>
    </w:p>
    <w:p>
      <w:pPr>
        <w:spacing w:after="0" w:line="130" w:lineRule="exact"/>
        <w:rPr>
          <w:rFonts w:ascii="Arial" w:cs="Arial" w:eastAsia="Arial" w:hAnsi="Arial"/>
          <w:sz w:val="18"/>
          <w:szCs w:val="18"/>
          <w:u w:val="single" w:color="auto"/>
          <w:color w:val="0000FF"/>
        </w:rPr>
      </w:pPr>
    </w:p>
    <w:p>
      <w:pPr>
        <w:ind w:left="740" w:right="100" w:hanging="641"/>
        <w:spacing w:after="0" w:line="277" w:lineRule="auto"/>
        <w:tabs>
          <w:tab w:leader="none" w:pos="720" w:val="left"/>
        </w:tabs>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82">
        <w:r>
          <w:rPr>
            <w:rFonts w:ascii="Arial" w:cs="Arial" w:eastAsia="Arial" w:hAnsi="Arial"/>
            <w:sz w:val="18"/>
            <w:szCs w:val="18"/>
            <w:u w:val="single" w:color="auto"/>
            <w:color w:val="0000FF"/>
          </w:rPr>
          <w:t>Forward Sale Agreement, dated June 25, 2019, by and between the Company and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Deutsche Bank AG, London Branch</w:t>
        </w:r>
      </w:hyperlink>
    </w:p>
    <w:p>
      <w:pPr>
        <w:spacing w:after="0" w:line="130" w:lineRule="exact"/>
        <w:rPr>
          <w:rFonts w:ascii="Arial" w:cs="Arial" w:eastAsia="Arial" w:hAnsi="Arial"/>
          <w:sz w:val="18"/>
          <w:szCs w:val="18"/>
          <w:u w:val="single" w:color="auto"/>
          <w:color w:val="0000FF"/>
        </w:rPr>
      </w:pPr>
    </w:p>
    <w:p>
      <w:pPr>
        <w:ind w:left="740" w:right="100" w:hanging="641"/>
        <w:spacing w:after="0" w:line="277" w:lineRule="auto"/>
        <w:tabs>
          <w:tab w:leader="none" w:pos="720" w:val="left"/>
        </w:tabs>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83">
        <w:r>
          <w:rPr>
            <w:rFonts w:ascii="Arial" w:cs="Arial" w:eastAsia="Arial" w:hAnsi="Arial"/>
            <w:sz w:val="18"/>
            <w:szCs w:val="18"/>
            <w:u w:val="single" w:color="auto"/>
            <w:color w:val="0000FF"/>
          </w:rPr>
          <w:t>Forward Sale Agreement, dated June 25, 2019, by and between the Company and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Goldman Sachs &amp; Co. LLC</w:t>
        </w:r>
      </w:hyperlink>
    </w:p>
    <w:p>
      <w:pPr>
        <w:spacing w:after="0" w:line="130" w:lineRule="exact"/>
        <w:rPr>
          <w:rFonts w:ascii="Arial" w:cs="Arial" w:eastAsia="Arial" w:hAnsi="Arial"/>
          <w:sz w:val="18"/>
          <w:szCs w:val="18"/>
          <w:u w:val="single" w:color="auto"/>
          <w:color w:val="0000FF"/>
        </w:rPr>
      </w:pPr>
    </w:p>
    <w:p>
      <w:pPr>
        <w:ind w:left="740" w:right="100" w:hanging="641"/>
        <w:spacing w:after="0" w:line="277" w:lineRule="auto"/>
        <w:tabs>
          <w:tab w:leader="none" w:pos="720" w:val="left"/>
        </w:tabs>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84">
        <w:r>
          <w:rPr>
            <w:rFonts w:ascii="Arial" w:cs="Arial" w:eastAsia="Arial" w:hAnsi="Arial"/>
            <w:sz w:val="18"/>
            <w:szCs w:val="18"/>
            <w:u w:val="single" w:color="auto"/>
            <w:color w:val="0000FF"/>
          </w:rPr>
          <w:t>Forward Sale Agreement, dated June 25, 2019, by and between the Company and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Morgan Stanley &amp; Co. LLC</w:t>
        </w:r>
      </w:hyperlink>
    </w:p>
    <w:p>
      <w:pPr>
        <w:spacing w:after="0" w:line="130" w:lineRule="exact"/>
        <w:rPr>
          <w:rFonts w:ascii="Arial" w:cs="Arial" w:eastAsia="Arial" w:hAnsi="Arial"/>
          <w:sz w:val="18"/>
          <w:szCs w:val="18"/>
          <w:u w:val="single" w:color="auto"/>
          <w:color w:val="0000FF"/>
        </w:rPr>
      </w:pPr>
    </w:p>
    <w:p>
      <w:pPr>
        <w:ind w:left="740" w:hanging="641"/>
        <w:spacing w:after="0" w:line="259" w:lineRule="auto"/>
        <w:tabs>
          <w:tab w:leader="none" w:pos="720" w:val="left"/>
        </w:tabs>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85">
        <w:r>
          <w:rPr>
            <w:rFonts w:ascii="Arial" w:cs="Arial" w:eastAsia="Arial" w:hAnsi="Arial"/>
            <w:sz w:val="18"/>
            <w:szCs w:val="18"/>
            <w:u w:val="single" w:color="auto"/>
            <w:color w:val="0000FF"/>
          </w:rPr>
          <w:t>Equity Purchase Agreement dated as of October 28, 2019 by and among Jack Ohio</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Finance LLC, Jack Ohio LLC (solely for purposes of Articles VII, VIII, IX and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XI), Quintus Landlord LLC, VICI Properties L.P. and, solely for the purposes of</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Section 6.02(l), Fundamental Parking, LLC</w:t>
        </w:r>
      </w:hyperlink>
    </w:p>
    <w:p>
      <w:pPr>
        <w:spacing w:after="0" w:line="146" w:lineRule="exact"/>
        <w:rPr>
          <w:rFonts w:ascii="Arial" w:cs="Arial" w:eastAsia="Arial" w:hAnsi="Arial"/>
          <w:sz w:val="18"/>
          <w:szCs w:val="18"/>
          <w:u w:val="single" w:color="auto"/>
          <w:color w:val="0000FF"/>
        </w:rPr>
      </w:pPr>
    </w:p>
    <w:p>
      <w:pPr>
        <w:ind w:left="60"/>
        <w:spacing w:after="0"/>
        <w:tabs>
          <w:tab w:leader="none" w:pos="720" w:val="left"/>
        </w:tabs>
        <w:rPr>
          <w:rFonts w:ascii="Arial" w:cs="Arial" w:eastAsia="Arial" w:hAnsi="Arial"/>
          <w:sz w:val="16"/>
          <w:szCs w:val="16"/>
          <w:u w:val="single" w:color="auto"/>
          <w:color w:val="0000FF"/>
        </w:rPr>
      </w:pPr>
      <w:hyperlink r:id="rId86">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86">
        <w:r>
          <w:rPr>
            <w:rFonts w:ascii="Arial" w:cs="Arial" w:eastAsia="Arial" w:hAnsi="Arial"/>
            <w:sz w:val="16"/>
            <w:szCs w:val="16"/>
            <w:u w:val="single" w:color="auto"/>
            <w:color w:val="0000FF"/>
          </w:rPr>
          <w:t>Form of Restricted Stock Grant</w:t>
        </w:r>
      </w:hyperlink>
    </w:p>
    <w:p>
      <w:pPr>
        <w:spacing w:after="0" w:line="185" w:lineRule="exact"/>
        <w:rPr>
          <w:sz w:val="20"/>
          <w:szCs w:val="20"/>
          <w:color w:val="auto"/>
        </w:rPr>
      </w:pPr>
    </w:p>
    <w:p>
      <w:pPr>
        <w:ind w:left="60"/>
        <w:spacing w:after="0"/>
        <w:tabs>
          <w:tab w:leader="none" w:pos="720" w:val="left"/>
        </w:tabs>
        <w:rPr>
          <w:rFonts w:ascii="Arial" w:cs="Arial" w:eastAsia="Arial" w:hAnsi="Arial"/>
          <w:sz w:val="16"/>
          <w:szCs w:val="16"/>
          <w:u w:val="single" w:color="auto"/>
          <w:color w:val="0000FF"/>
        </w:rPr>
      </w:pPr>
      <w:hyperlink r:id="rId87">
        <w:r>
          <w:rPr>
            <w:rFonts w:ascii="Arial" w:cs="Arial" w:eastAsia="Arial" w:hAnsi="Arial"/>
            <w:sz w:val="18"/>
            <w:szCs w:val="18"/>
            <w:u w:val="single" w:color="auto"/>
            <w:color w:val="0000FF"/>
          </w:rPr>
          <w:t>10.46†</w:t>
        </w:r>
      </w:hyperlink>
      <w:r>
        <w:rPr>
          <w:rFonts w:ascii="Arial" w:cs="Arial" w:eastAsia="Arial" w:hAnsi="Arial"/>
          <w:sz w:val="18"/>
          <w:szCs w:val="18"/>
          <w:u w:val="single" w:color="auto"/>
          <w:color w:val="0000FF"/>
        </w:rPr>
        <w:tab/>
      </w:r>
      <w:hyperlink r:id="rId87">
        <w:r>
          <w:rPr>
            <w:rFonts w:ascii="Arial" w:cs="Arial" w:eastAsia="Arial" w:hAnsi="Arial"/>
            <w:sz w:val="16"/>
            <w:szCs w:val="16"/>
            <w:u w:val="single" w:color="auto"/>
            <w:color w:val="0000FF"/>
          </w:rPr>
          <w:t>Form of LTIP Time-Based Restricted Stock Grant Agreement</w:t>
        </w:r>
      </w:hyperlink>
    </w:p>
    <w:p>
      <w:pPr>
        <w:spacing w:after="0" w:line="185" w:lineRule="exact"/>
        <w:rPr>
          <w:sz w:val="20"/>
          <w:szCs w:val="20"/>
          <w:color w:val="auto"/>
        </w:rPr>
      </w:pPr>
    </w:p>
    <w:p>
      <w:pPr>
        <w:ind w:left="60"/>
        <w:spacing w:after="0"/>
        <w:tabs>
          <w:tab w:leader="none" w:pos="720" w:val="left"/>
        </w:tabs>
        <w:rPr>
          <w:rFonts w:ascii="Arial" w:cs="Arial" w:eastAsia="Arial" w:hAnsi="Arial"/>
          <w:sz w:val="16"/>
          <w:szCs w:val="16"/>
          <w:u w:val="single" w:color="auto"/>
          <w:color w:val="0000FF"/>
        </w:rPr>
      </w:pPr>
      <w:hyperlink r:id="rId88">
        <w:r>
          <w:rPr>
            <w:rFonts w:ascii="Arial" w:cs="Arial" w:eastAsia="Arial" w:hAnsi="Arial"/>
            <w:sz w:val="18"/>
            <w:szCs w:val="18"/>
            <w:u w:val="single" w:color="auto"/>
            <w:color w:val="0000FF"/>
          </w:rPr>
          <w:t>10.47†</w:t>
        </w:r>
      </w:hyperlink>
      <w:r>
        <w:rPr>
          <w:rFonts w:ascii="Arial" w:cs="Arial" w:eastAsia="Arial" w:hAnsi="Arial"/>
          <w:sz w:val="18"/>
          <w:szCs w:val="18"/>
          <w:u w:val="single" w:color="auto"/>
          <w:color w:val="0000FF"/>
        </w:rPr>
        <w:tab/>
      </w:r>
      <w:hyperlink r:id="rId88">
        <w:r>
          <w:rPr>
            <w:rFonts w:ascii="Arial" w:cs="Arial" w:eastAsia="Arial" w:hAnsi="Arial"/>
            <w:sz w:val="16"/>
            <w:szCs w:val="16"/>
            <w:u w:val="single" w:color="auto"/>
            <w:color w:val="0000FF"/>
          </w:rPr>
          <w:t>Form of LTIP Performance-Based Restricted Stock Unit Agreement</w:t>
        </w:r>
      </w:hyperlink>
    </w:p>
    <w:p>
      <w:pPr>
        <w:spacing w:after="0" w:line="185" w:lineRule="exact"/>
        <w:rPr>
          <w:sz w:val="20"/>
          <w:szCs w:val="20"/>
          <w:color w:val="auto"/>
        </w:rPr>
      </w:pPr>
    </w:p>
    <w:p>
      <w:pPr>
        <w:ind w:left="140"/>
        <w:spacing w:after="0"/>
        <w:tabs>
          <w:tab w:leader="none" w:pos="720" w:val="left"/>
        </w:tabs>
        <w:rPr>
          <w:rFonts w:ascii="Arial" w:cs="Arial" w:eastAsia="Arial" w:hAnsi="Arial"/>
          <w:sz w:val="16"/>
          <w:szCs w:val="16"/>
          <w:u w:val="single" w:color="auto"/>
          <w:color w:val="0000FF"/>
        </w:rPr>
      </w:pPr>
      <w:hyperlink w:anchor="page191">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191">
        <w:r>
          <w:rPr>
            <w:rFonts w:ascii="Arial" w:cs="Arial" w:eastAsia="Arial" w:hAnsi="Arial"/>
            <w:sz w:val="16"/>
            <w:szCs w:val="16"/>
            <w:u w:val="single" w:color="auto"/>
            <w:color w:val="0000FF"/>
          </w:rPr>
          <w:t>Subsidiaries of VICI Properties Inc.</w:t>
        </w:r>
      </w:hyperlink>
    </w:p>
    <w:p>
      <w:pPr>
        <w:spacing w:after="0" w:line="185" w:lineRule="exact"/>
        <w:rPr>
          <w:sz w:val="20"/>
          <w:szCs w:val="20"/>
          <w:color w:val="auto"/>
        </w:rPr>
      </w:pPr>
    </w:p>
    <w:p>
      <w:pPr>
        <w:ind w:left="140"/>
        <w:spacing w:after="0"/>
        <w:tabs>
          <w:tab w:leader="none" w:pos="720" w:val="left"/>
        </w:tabs>
        <w:rPr>
          <w:rFonts w:ascii="Arial" w:cs="Arial" w:eastAsia="Arial" w:hAnsi="Arial"/>
          <w:sz w:val="16"/>
          <w:szCs w:val="16"/>
          <w:u w:val="single" w:color="auto"/>
          <w:color w:val="0000FF"/>
        </w:rPr>
      </w:pPr>
      <w:hyperlink w:anchor="page193">
        <w:r>
          <w:rPr>
            <w:rFonts w:ascii="Arial" w:cs="Arial" w:eastAsia="Arial" w:hAnsi="Arial"/>
            <w:sz w:val="18"/>
            <w:szCs w:val="18"/>
            <w:u w:val="single" w:color="auto"/>
            <w:color w:val="0000FF"/>
          </w:rPr>
          <w:t>23.1</w:t>
        </w:r>
      </w:hyperlink>
      <w:r>
        <w:rPr>
          <w:rFonts w:ascii="Arial" w:cs="Arial" w:eastAsia="Arial" w:hAnsi="Arial"/>
          <w:sz w:val="18"/>
          <w:szCs w:val="18"/>
          <w:u w:val="single" w:color="auto"/>
          <w:color w:val="0000FF"/>
        </w:rPr>
        <w:tab/>
      </w:r>
      <w:hyperlink w:anchor="page193">
        <w:r>
          <w:rPr>
            <w:rFonts w:ascii="Arial" w:cs="Arial" w:eastAsia="Arial" w:hAnsi="Arial"/>
            <w:sz w:val="16"/>
            <w:szCs w:val="16"/>
            <w:u w:val="single" w:color="auto"/>
            <w:color w:val="0000FF"/>
          </w:rPr>
          <w:t>Consent of Deloitte &amp; Touche LLP for VICI Properties Inc.</w:t>
        </w:r>
      </w:hyperlink>
    </w:p>
    <w:p>
      <w:pPr>
        <w:spacing w:after="0" w:line="185" w:lineRule="exact"/>
        <w:rPr>
          <w:sz w:val="20"/>
          <w:szCs w:val="20"/>
          <w:color w:val="auto"/>
        </w:rPr>
      </w:pPr>
    </w:p>
    <w:p>
      <w:pPr>
        <w:ind w:left="140"/>
        <w:spacing w:after="0"/>
        <w:tabs>
          <w:tab w:leader="none" w:pos="720" w:val="left"/>
        </w:tabs>
        <w:rPr>
          <w:rFonts w:ascii="Arial" w:cs="Arial" w:eastAsia="Arial" w:hAnsi="Arial"/>
          <w:sz w:val="16"/>
          <w:szCs w:val="16"/>
          <w:u w:val="single" w:color="auto"/>
          <w:color w:val="0000FF"/>
        </w:rPr>
      </w:pPr>
      <w:hyperlink w:anchor="page194">
        <w:r>
          <w:rPr>
            <w:rFonts w:ascii="Arial" w:cs="Arial" w:eastAsia="Arial" w:hAnsi="Arial"/>
            <w:sz w:val="18"/>
            <w:szCs w:val="18"/>
            <w:u w:val="single" w:color="auto"/>
            <w:color w:val="0000FF"/>
          </w:rPr>
          <w:t>23.2</w:t>
        </w:r>
      </w:hyperlink>
      <w:r>
        <w:rPr>
          <w:rFonts w:ascii="Arial" w:cs="Arial" w:eastAsia="Arial" w:hAnsi="Arial"/>
          <w:sz w:val="18"/>
          <w:szCs w:val="18"/>
          <w:u w:val="single" w:color="auto"/>
          <w:color w:val="0000FF"/>
        </w:rPr>
        <w:tab/>
      </w:r>
      <w:hyperlink w:anchor="page194">
        <w:r>
          <w:rPr>
            <w:rFonts w:ascii="Arial" w:cs="Arial" w:eastAsia="Arial" w:hAnsi="Arial"/>
            <w:sz w:val="16"/>
            <w:szCs w:val="16"/>
            <w:u w:val="single" w:color="auto"/>
            <w:color w:val="0000FF"/>
          </w:rPr>
          <w:t>Consent of Deloitte &amp; Touche LLP for Caesars Entertainment Outdoor</w:t>
        </w:r>
      </w:hyperlink>
    </w:p>
    <w:p>
      <w:pPr>
        <w:spacing w:after="0" w:line="185" w:lineRule="exact"/>
        <w:rPr>
          <w:sz w:val="20"/>
          <w:szCs w:val="20"/>
          <w:color w:val="auto"/>
        </w:rPr>
      </w:pPr>
    </w:p>
    <w:p>
      <w:pPr>
        <w:ind w:left="140"/>
        <w:spacing w:after="0"/>
        <w:tabs>
          <w:tab w:leader="none" w:pos="720" w:val="left"/>
        </w:tabs>
        <w:rPr>
          <w:rFonts w:ascii="Arial" w:cs="Arial" w:eastAsia="Arial" w:hAnsi="Arial"/>
          <w:sz w:val="16"/>
          <w:szCs w:val="16"/>
          <w:u w:val="single" w:color="auto"/>
          <w:color w:val="0000EE"/>
        </w:rPr>
      </w:pPr>
      <w:hyperlink w:anchor="page83">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83">
        <w:r>
          <w:rPr>
            <w:rFonts w:ascii="Arial" w:cs="Arial" w:eastAsia="Arial" w:hAnsi="Arial"/>
            <w:sz w:val="16"/>
            <w:szCs w:val="16"/>
            <w:u w:val="single" w:color="auto"/>
            <w:color w:val="0000EE"/>
          </w:rPr>
          <w:t>Power of Attorney (included on signature page)</w:t>
        </w:r>
      </w:hyperlink>
    </w:p>
    <w:p>
      <w:pPr>
        <w:spacing w:after="0" w:line="185" w:lineRule="exact"/>
        <w:rPr>
          <w:sz w:val="20"/>
          <w:szCs w:val="20"/>
          <w:color w:val="auto"/>
        </w:rPr>
      </w:pPr>
    </w:p>
    <w:p>
      <w:pPr>
        <w:ind w:left="740" w:right="640" w:hanging="595"/>
        <w:spacing w:after="0" w:line="277" w:lineRule="auto"/>
        <w:tabs>
          <w:tab w:leader="none" w:pos="720" w:val="left"/>
        </w:tabs>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195">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195">
        <w:r>
          <w:rPr>
            <w:rFonts w:ascii="Arial" w:cs="Arial" w:eastAsia="Arial" w:hAnsi="Arial"/>
            <w:sz w:val="18"/>
            <w:szCs w:val="18"/>
            <w:u w:val="single" w:color="auto"/>
            <w:color w:val="0000FF"/>
          </w:rPr>
          <w:t>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30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6"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9/26/2019</w:t>
            </w:r>
          </w:p>
        </w:tc>
      </w:tr>
      <w:tr>
        <w:trPr>
          <w:trHeight w:val="7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9/26/2019</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392"/>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2/14/2019</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12/27/2018</w:t>
            </w:r>
          </w:p>
        </w:tc>
      </w:tr>
      <w:tr>
        <w:trPr>
          <w:trHeight w:val="716"/>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7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6/24/2019</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6/28/2019</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6/28/2019</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6/28/2019</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6/28/2019</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1/24/2020</w:t>
            </w:r>
          </w:p>
        </w:tc>
      </w:tr>
      <w:tr>
        <w:trPr>
          <w:trHeight w:val="716"/>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3/28/2018</w:t>
            </w:r>
          </w:p>
        </w:tc>
      </w:tr>
      <w:tr>
        <w:trPr>
          <w:trHeight w:val="392"/>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8/30/2018</w:t>
            </w:r>
          </w:p>
        </w:tc>
      </w:tr>
      <w:tr>
        <w:trPr>
          <w:trHeight w:val="392"/>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8/30/2018</w:t>
            </w:r>
          </w:p>
        </w:tc>
      </w:tr>
    </w:tbl>
    <w:p>
      <w:pPr>
        <w:spacing w:after="0" w:line="2405" w:lineRule="exact"/>
        <w:rPr>
          <w:rFonts w:ascii="Arial" w:cs="Arial" w:eastAsia="Arial" w:hAnsi="Arial"/>
          <w:sz w:val="18"/>
          <w:szCs w:val="18"/>
          <w:u w:val="single" w:color="auto"/>
          <w:color w:val="0000FF"/>
        </w:rPr>
      </w:pPr>
    </w:p>
    <w:p>
      <w:pPr>
        <w:sectPr>
          <w:pgSz w:w="11900" w:h="16838" w:orient="portrait"/>
          <w:cols w:equalWidth="0" w:num="3">
            <w:col w:w="6720" w:space="560"/>
            <w:col w:w="240" w:space="720"/>
            <w:col w:w="2960"/>
          </w:cols>
          <w:pgMar w:left="240" w:top="179" w:right="459" w:bottom="1440" w:gutter="0" w:footer="0" w:header="0"/>
        </w:sectPr>
      </w:pPr>
    </w:p>
    <w:p>
      <w:pPr>
        <w:spacing w:after="0" w:line="227" w:lineRule="exact"/>
        <w:rPr>
          <w:rFonts w:ascii="Arial" w:cs="Arial" w:eastAsia="Arial" w:hAnsi="Arial"/>
          <w:sz w:val="18"/>
          <w:szCs w:val="18"/>
          <w:u w:val="single" w:color="auto"/>
          <w:color w:val="0000FF"/>
        </w:rPr>
      </w:pPr>
    </w:p>
    <w:p>
      <w:pPr>
        <w:jc w:val="center"/>
        <w:ind w:right="-2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00"/>
          </w:cols>
          <w:pgMar w:left="240" w:top="179" w:right="4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480" w:hanging="622"/>
        <w:spacing w:after="0" w:line="277" w:lineRule="auto"/>
        <w:tabs>
          <w:tab w:leader="none" w:pos="780" w:val="left"/>
        </w:tabs>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196">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196">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800" w:right="420" w:hanging="622"/>
        <w:spacing w:after="0" w:line="277" w:lineRule="auto"/>
        <w:tabs>
          <w:tab w:leader="none" w:pos="780" w:val="left"/>
        </w:tabs>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197">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197">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800" w:right="480" w:hanging="622"/>
        <w:spacing w:after="0" w:line="277" w:lineRule="auto"/>
        <w:tabs>
          <w:tab w:leader="none" w:pos="780" w:val="left"/>
        </w:tabs>
        <w:rPr>
          <w:rFonts w:ascii="Arial" w:cs="Arial" w:eastAsia="Arial" w:hAnsi="Arial"/>
          <w:sz w:val="18"/>
          <w:szCs w:val="18"/>
          <w:u w:val="single" w:color="auto"/>
          <w:color w:val="0000FF"/>
        </w:rPr>
      </w:pPr>
      <w:hyperlink w:anchor="page198">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198">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198">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800" w:right="320" w:hanging="737"/>
        <w:spacing w:after="0" w:line="264" w:lineRule="auto"/>
        <w:tabs>
          <w:tab w:leader="none" w:pos="78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41" w:lineRule="exact"/>
        <w:rPr>
          <w:rFonts w:ascii="Arial" w:cs="Arial" w:eastAsia="Arial" w:hAnsi="Arial"/>
          <w:sz w:val="18"/>
          <w:szCs w:val="18"/>
          <w:u w:val="single" w:color="auto"/>
          <w:color w:val="0000FF"/>
        </w:rPr>
      </w:pPr>
    </w:p>
    <w:p>
      <w:pPr>
        <w:ind w:left="40"/>
        <w:spacing w:after="0"/>
        <w:tabs>
          <w:tab w:leader="none" w:pos="78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208" w:lineRule="exact"/>
        <w:rPr>
          <w:rFonts w:ascii="Arial" w:cs="Arial" w:eastAsia="Arial" w:hAnsi="Arial"/>
          <w:sz w:val="18"/>
          <w:szCs w:val="18"/>
          <w:u w:val="single" w:color="auto"/>
          <w:color w:val="0000FF"/>
        </w:rPr>
      </w:pPr>
    </w:p>
    <w:p>
      <w:pPr>
        <w:ind w:left="40"/>
        <w:spacing w:after="0"/>
        <w:tabs>
          <w:tab w:leader="none" w:pos="78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208" w:lineRule="exact"/>
        <w:rPr>
          <w:rFonts w:ascii="Arial" w:cs="Arial" w:eastAsia="Arial" w:hAnsi="Arial"/>
          <w:sz w:val="18"/>
          <w:szCs w:val="18"/>
          <w:u w:val="single" w:color="auto"/>
          <w:color w:val="0000FF"/>
        </w:rPr>
      </w:pPr>
    </w:p>
    <w:p>
      <w:pPr>
        <w:ind w:left="40"/>
        <w:spacing w:after="0"/>
        <w:tabs>
          <w:tab w:leader="none" w:pos="78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8" w:lineRule="exact"/>
        <w:rPr>
          <w:rFonts w:ascii="Arial" w:cs="Arial" w:eastAsia="Arial" w:hAnsi="Arial"/>
          <w:sz w:val="18"/>
          <w:szCs w:val="18"/>
          <w:u w:val="single" w:color="auto"/>
          <w:color w:val="0000FF"/>
        </w:rPr>
      </w:pPr>
    </w:p>
    <w:p>
      <w:pPr>
        <w:ind w:left="40"/>
        <w:spacing w:after="0"/>
        <w:tabs>
          <w:tab w:leader="none" w:pos="78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rFonts w:ascii="Arial" w:cs="Arial" w:eastAsia="Arial" w:hAnsi="Arial"/>
          <w:sz w:val="18"/>
          <w:szCs w:val="18"/>
          <w:u w:val="single" w:color="auto"/>
          <w:color w:val="0000FF"/>
        </w:rPr>
      </w:pPr>
    </w:p>
    <w:p>
      <w:pPr>
        <w:ind w:left="40"/>
        <w:spacing w:after="0"/>
        <w:tabs>
          <w:tab w:leader="none" w:pos="78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196" w:lineRule="exact"/>
        <w:rPr>
          <w:rFonts w:ascii="Arial" w:cs="Arial" w:eastAsia="Arial" w:hAnsi="Arial"/>
          <w:sz w:val="18"/>
          <w:szCs w:val="18"/>
          <w:u w:val="single" w:color="auto"/>
          <w:color w:val="0000FF"/>
        </w:rPr>
      </w:pPr>
    </w:p>
    <w:p>
      <w:pPr>
        <w:sectPr>
          <w:pgSz w:w="11900" w:h="16838" w:orient="portrait"/>
          <w:cols w:equalWidth="0" w:num="2">
            <w:col w:w="6580" w:space="720"/>
            <w:col w:w="2919"/>
          </w:cols>
          <w:pgMar w:left="240" w:top="179" w:right="1440" w:bottom="1440" w:gutter="0" w:footer="0" w:header="0"/>
        </w:sectPr>
      </w:pPr>
    </w:p>
    <w:p>
      <w:pPr>
        <w:ind w:left="800" w:right="3839" w:hanging="583"/>
        <w:spacing w:after="0" w:line="277" w:lineRule="auto"/>
        <w:tabs>
          <w:tab w:leader="none" w:pos="800" w:val="left"/>
        </w:tabs>
        <w:numPr>
          <w:ilvl w:val="1"/>
          <w:numId w:val="45"/>
        </w:numPr>
        <w:rPr>
          <w:rFonts w:ascii="Arial" w:cs="Arial" w:eastAsia="Arial" w:hAnsi="Arial"/>
          <w:sz w:val="16"/>
          <w:szCs w:val="16"/>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Furnished herewith</w:t>
      </w:r>
    </w:p>
    <w:p>
      <w:pPr>
        <w:spacing w:after="0" w:line="1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Management contracts and compensation plans and arrangements.</w:t>
      </w:r>
    </w:p>
    <w:p>
      <w:pPr>
        <w:spacing w:after="0" w:line="1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 Confidential treatment granted as to certain portions, which portions are omitted and filed separately with the SEC.</w:t>
      </w:r>
    </w:p>
    <w:p>
      <w:pPr>
        <w:spacing w:after="0" w:line="343" w:lineRule="exact"/>
        <w:rPr>
          <w:rFonts w:ascii="Arial" w:cs="Arial" w:eastAsia="Arial" w:hAnsi="Arial"/>
          <w:sz w:val="18"/>
          <w:szCs w:val="18"/>
          <w:u w:val="single" w:color="auto"/>
          <w:color w:val="0000FF"/>
        </w:rPr>
      </w:pPr>
    </w:p>
    <w:p>
      <w:pPr>
        <w:ind w:left="40"/>
        <w:spacing w:after="0"/>
        <w:tabs>
          <w:tab w:leader="none" w:pos="150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9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None.</w:t>
      </w:r>
    </w:p>
    <w:p>
      <w:pPr>
        <w:spacing w:after="0" w:line="333"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179" w:right="1440"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391" w:lineRule="exact"/>
        <w:rPr>
          <w:sz w:val="20"/>
          <w:szCs w:val="20"/>
          <w:color w:val="auto"/>
        </w:rPr>
      </w:pPr>
    </w:p>
    <w:p>
      <w:pPr>
        <w:ind w:left="60"/>
        <w:spacing w:after="0"/>
        <w:tabs>
          <w:tab w:leader="none" w:pos="4820" w:val="left"/>
          <w:tab w:leader="none" w:pos="7300" w:val="left"/>
        </w:tabs>
        <w:rPr>
          <w:sz w:val="20"/>
          <w:szCs w:val="20"/>
          <w:color w:val="auto"/>
        </w:rPr>
      </w:pPr>
      <w:r>
        <w:rPr>
          <w:rFonts w:ascii="Arial" w:cs="Arial" w:eastAsia="Arial" w:hAnsi="Arial"/>
          <w:sz w:val="18"/>
          <w:szCs w:val="18"/>
          <w:color w:val="auto"/>
        </w:rPr>
        <w:t>February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16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5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of the officers and directors of VICI Properties Inc.,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466"/>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JAMES R. ABRAHAMSON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 of the Board of Directors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James R. Abrahamson</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DIANA CANTOR</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Diana Cantor</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MONICA H. DOUGLAS</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Monica H. Douglas</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ELIZABETH I. HOLLAND</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Elizabeth I. Holland</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CRAIG MACNAB</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Craig Macnab</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MICHAEL D. RUMBOLZ</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D. Rumbolz</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67"/>
        </w:trPr>
        <w:tc>
          <w:tcPr>
            <w:tcW w:w="5500" w:type="dxa"/>
            <w:vAlign w:val="bottom"/>
          </w:tcPr>
          <w:p>
            <w:pPr>
              <w:spacing w:after="0"/>
              <w:rPr>
                <w:sz w:val="24"/>
                <w:szCs w:val="24"/>
                <w:color w:val="auto"/>
              </w:rPr>
            </w:pPr>
          </w:p>
        </w:tc>
        <w:tc>
          <w:tcPr>
            <w:tcW w:w="3660" w:type="dxa"/>
            <w:vAlign w:val="bottom"/>
            <w:gridSpan w:val="2"/>
          </w:tcPr>
          <w:p>
            <w:pPr>
              <w:jc w:val="right"/>
              <w:ind w:right="32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VICI Properties Inc.:</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shd w:val="clear" w:color="auto" w:fill="CCEEFF"/>
          </w:tcPr>
          <w:p>
            <w:pPr>
              <w:spacing w:after="0"/>
              <w:rPr>
                <w:sz w:val="17"/>
                <w:szCs w:val="17"/>
                <w:color w:val="auto"/>
              </w:rPr>
            </w:pPr>
          </w:p>
        </w:tc>
        <w:tc>
          <w:tcPr>
            <w:tcW w:w="4300" w:type="dxa"/>
            <w:vAlign w:val="bottom"/>
            <w:gridSpan w:val="10"/>
            <w:shd w:val="clear" w:color="auto" w:fill="CCEEFF"/>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Reports of Independent Registered Public Accounting Firm</w:t>
              </w:r>
            </w:hyperlink>
          </w:p>
        </w:tc>
        <w:tc>
          <w:tcPr>
            <w:tcW w:w="6080" w:type="dxa"/>
            <w:vAlign w:val="bottom"/>
            <w:gridSpan w:val="5"/>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F - 2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Balance Sheets as of December 31, 2019 and 2018</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F - 5</w:t>
              </w:r>
            </w:hyperlink>
          </w:p>
        </w:tc>
      </w:tr>
      <w:tr>
        <w:trPr>
          <w:trHeight w:val="48"/>
        </w:trPr>
        <w:tc>
          <w:tcPr>
            <w:tcW w:w="26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10640" w:type="dxa"/>
            <w:vAlign w:val="bottom"/>
            <w:tcBorders>
              <w:bottom w:val="single" w:sz="8" w:color="CCEEFF"/>
            </w:tcBorders>
            <w:gridSpan w:val="16"/>
            <w:shd w:val="clear" w:color="auto" w:fill="CCEEFF"/>
          </w:tcPr>
          <w:p>
            <w:pPr>
              <w:ind w:left="260"/>
              <w:spacing w:after="0"/>
              <w:rPr>
                <w:sz w:val="20"/>
                <w:szCs w:val="20"/>
                <w:color w:val="auto"/>
              </w:rPr>
            </w:pPr>
            <w:r>
              <w:rPr>
                <w:rFonts w:ascii="Arial" w:cs="Arial" w:eastAsia="Arial" w:hAnsi="Arial"/>
                <w:sz w:val="18"/>
                <w:szCs w:val="18"/>
                <w:color w:val="auto"/>
              </w:rPr>
              <w:t>Year Ended December 31, 2019 and 2018 and Period from October 6, 2017 to December 31, 2017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ind w:left="46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Operations and Comprehensive Income</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F - 6</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560" w:type="dxa"/>
            <w:vAlign w:val="bottom"/>
            <w:gridSpan w:val="7"/>
            <w:shd w:val="clear" w:color="auto" w:fill="CCEEFF"/>
          </w:tcPr>
          <w:p>
            <w:pPr>
              <w:spacing w:after="0" w:line="202"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Consolidated Statements of Stockholders’ Equity</w:t>
              </w:r>
            </w:hyperlink>
          </w:p>
        </w:tc>
        <w:tc>
          <w:tcPr>
            <w:tcW w:w="6360" w:type="dxa"/>
            <w:vAlign w:val="bottom"/>
            <w:gridSpan w:val="7"/>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line="202"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F - 7</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gridSpan w:val="7"/>
          </w:tcPr>
          <w:p>
            <w:pPr>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Cash Flows</w:t>
              </w:r>
            </w:hyperlink>
          </w:p>
        </w:tc>
        <w:tc>
          <w:tcPr>
            <w:tcW w:w="636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center"/>
              <w:ind w:right="400"/>
              <w:spacing w:after="0" w:line="202"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F - 8</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316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Notes to Consolidated Financial Statements</w:t>
              </w:r>
            </w:hyperlink>
          </w:p>
        </w:tc>
        <w:tc>
          <w:tcPr>
            <w:tcW w:w="7220" w:type="dxa"/>
            <w:vAlign w:val="bottom"/>
            <w:gridSpan w:val="9"/>
            <w:shd w:val="clear" w:color="auto" w:fill="CCEEFF"/>
          </w:tcPr>
          <w:p>
            <w:pPr>
              <w:spacing w:after="0"/>
              <w:rPr>
                <w:sz w:val="17"/>
                <w:szCs w:val="17"/>
                <w:color w:val="auto"/>
              </w:rPr>
            </w:pPr>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F - 10</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43"/>
        </w:trPr>
        <w:tc>
          <w:tcPr>
            <w:tcW w:w="10640" w:type="dxa"/>
            <w:vAlign w:val="bottom"/>
            <w:gridSpan w:val="16"/>
          </w:tcPr>
          <w:p>
            <w:pPr>
              <w:ind w:left="40"/>
              <w:spacing w:after="0"/>
              <w:rPr>
                <w:sz w:val="20"/>
                <w:szCs w:val="20"/>
                <w:color w:val="auto"/>
              </w:rPr>
            </w:pPr>
            <w:r>
              <w:rPr>
                <w:rFonts w:ascii="Arial" w:cs="Arial" w:eastAsia="Arial" w:hAnsi="Arial"/>
                <w:sz w:val="18"/>
                <w:szCs w:val="18"/>
                <w:color w:val="auto"/>
              </w:rPr>
              <w:t>Caesars Entertainment Outdoor (Predecessor):</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260" w:type="dxa"/>
            <w:vAlign w:val="bottom"/>
            <w:shd w:val="clear" w:color="auto" w:fill="CCEEFF"/>
          </w:tcPr>
          <w:p>
            <w:pPr>
              <w:spacing w:after="0"/>
              <w:rPr>
                <w:sz w:val="17"/>
                <w:szCs w:val="17"/>
                <w:color w:val="auto"/>
              </w:rPr>
            </w:pPr>
          </w:p>
        </w:tc>
        <w:tc>
          <w:tcPr>
            <w:tcW w:w="10380" w:type="dxa"/>
            <w:vAlign w:val="bottom"/>
            <w:gridSpan w:val="15"/>
            <w:shd w:val="clear" w:color="auto" w:fill="CCEEFF"/>
          </w:tcPr>
          <w:p>
            <w:pPr>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Report of Independent Registered Public Accounting Firm</w:t>
              </w:r>
            </w:hyperlink>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F - 50</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Combined Balance Sheets as of October 5, 2017 and December 31, 2016</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F - 51</w:t>
              </w:r>
            </w:hyperlink>
          </w:p>
        </w:tc>
      </w:tr>
      <w:tr>
        <w:trPr>
          <w:trHeight w:val="48"/>
        </w:trPr>
        <w:tc>
          <w:tcPr>
            <w:tcW w:w="26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10640" w:type="dxa"/>
            <w:vAlign w:val="bottom"/>
            <w:tcBorders>
              <w:bottom w:val="single" w:sz="8" w:color="CCEEFF"/>
            </w:tcBorders>
            <w:gridSpan w:val="16"/>
            <w:shd w:val="clear" w:color="auto" w:fill="CCEEFF"/>
          </w:tcPr>
          <w:p>
            <w:pPr>
              <w:ind w:left="260"/>
              <w:spacing w:after="0"/>
              <w:rPr>
                <w:sz w:val="20"/>
                <w:szCs w:val="20"/>
                <w:color w:val="auto"/>
              </w:rPr>
            </w:pPr>
            <w:r>
              <w:rPr>
                <w:rFonts w:ascii="Arial" w:cs="Arial" w:eastAsia="Arial" w:hAnsi="Arial"/>
                <w:sz w:val="18"/>
                <w:szCs w:val="18"/>
                <w:color w:val="auto"/>
              </w:rPr>
              <w:t>Period from January 1, 2017 to October 5, 2017 and Years Ended December 31, 2016 and 2015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60" w:type="dxa"/>
            <w:vAlign w:val="bottom"/>
          </w:tcPr>
          <w:p>
            <w:pPr>
              <w:spacing w:after="0"/>
              <w:rPr>
                <w:sz w:val="17"/>
                <w:szCs w:val="17"/>
                <w:color w:val="auto"/>
              </w:rPr>
            </w:pPr>
          </w:p>
        </w:tc>
        <w:tc>
          <w:tcPr>
            <w:tcW w:w="10380" w:type="dxa"/>
            <w:vAlign w:val="bottom"/>
            <w:gridSpan w:val="15"/>
          </w:tcPr>
          <w:p>
            <w:pPr>
              <w:ind w:left="460"/>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Combined Statements of Operations</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F - 52</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920" w:type="dxa"/>
            <w:vAlign w:val="bottom"/>
            <w:gridSpan w:val="14"/>
            <w:shd w:val="clear" w:color="auto" w:fill="CCEEFF"/>
          </w:tcPr>
          <w:p>
            <w:pPr>
              <w:spacing w:after="0" w:line="202" w:lineRule="exact"/>
              <w:rPr>
                <w:rFonts w:ascii="Arial" w:cs="Arial" w:eastAsia="Arial" w:hAnsi="Arial"/>
                <w:sz w:val="18"/>
                <w:szCs w:val="18"/>
                <w:color w:val="0000EE"/>
              </w:rPr>
            </w:pPr>
            <w:hyperlink w:anchor="page136">
              <w:r>
                <w:rPr>
                  <w:rFonts w:ascii="Arial" w:cs="Arial" w:eastAsia="Arial" w:hAnsi="Arial"/>
                  <w:sz w:val="18"/>
                  <w:szCs w:val="18"/>
                  <w:color w:val="0000EE"/>
                </w:rPr>
                <w:t>Combined Statements of Equity</w:t>
              </w:r>
            </w:hyperlink>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F - 53</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20" w:type="dxa"/>
            <w:vAlign w:val="bottom"/>
            <w:gridSpan w:val="14"/>
          </w:tcPr>
          <w:p>
            <w:pPr>
              <w:spacing w:after="0" w:line="202" w:lineRule="exact"/>
              <w:rPr>
                <w:rFonts w:ascii="Arial" w:cs="Arial" w:eastAsia="Arial" w:hAnsi="Arial"/>
                <w:sz w:val="18"/>
                <w:szCs w:val="18"/>
                <w:color w:val="0000EE"/>
              </w:rPr>
            </w:pPr>
            <w:hyperlink w:anchor="page137">
              <w:r>
                <w:rPr>
                  <w:rFonts w:ascii="Arial" w:cs="Arial" w:eastAsia="Arial" w:hAnsi="Arial"/>
                  <w:sz w:val="18"/>
                  <w:szCs w:val="18"/>
                  <w:color w:val="0000EE"/>
                </w:rPr>
                <w:t>Combined Statements of Cash Flows</w:t>
              </w:r>
            </w:hyperlink>
          </w:p>
        </w:tc>
        <w:tc>
          <w:tcPr>
            <w:tcW w:w="780" w:type="dxa"/>
            <w:vAlign w:val="bottom"/>
            <w:gridSpan w:val="4"/>
          </w:tcPr>
          <w:p>
            <w:pPr>
              <w:jc w:val="center"/>
              <w:ind w:right="360"/>
              <w:spacing w:after="0" w:line="202"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F - 54</w:t>
              </w:r>
            </w:hyperlink>
          </w:p>
        </w:tc>
      </w:tr>
      <w:tr>
        <w:trPr>
          <w:trHeight w:val="48"/>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Notes to Combined Financial Statements</w:t>
              </w:r>
            </w:hyperlink>
          </w:p>
        </w:tc>
        <w:tc>
          <w:tcPr>
            <w:tcW w:w="7420" w:type="dxa"/>
            <w:vAlign w:val="bottom"/>
            <w:gridSpan w:val="12"/>
            <w:shd w:val="clear" w:color="auto" w:fill="CCEEFF"/>
          </w:tcPr>
          <w:p>
            <w:pPr>
              <w:spacing w:after="0"/>
              <w:rPr>
                <w:sz w:val="17"/>
                <w:szCs w:val="17"/>
                <w:color w:val="auto"/>
              </w:rPr>
            </w:pPr>
          </w:p>
        </w:tc>
        <w:tc>
          <w:tcPr>
            <w:tcW w:w="78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F - 55</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43"/>
        </w:trPr>
        <w:tc>
          <w:tcPr>
            <w:tcW w:w="10640" w:type="dxa"/>
            <w:vAlign w:val="bottom"/>
            <w:gridSpan w:val="16"/>
          </w:tcPr>
          <w:p>
            <w:pPr>
              <w:ind w:left="40"/>
              <w:spacing w:after="0"/>
              <w:rPr>
                <w:sz w:val="20"/>
                <w:szCs w:val="20"/>
                <w:color w:val="auto"/>
              </w:rPr>
            </w:pPr>
            <w:r>
              <w:rPr>
                <w:rFonts w:ascii="Arial" w:cs="Arial" w:eastAsia="Arial" w:hAnsi="Arial"/>
                <w:sz w:val="18"/>
                <w:szCs w:val="18"/>
                <w:color w:val="auto"/>
              </w:rPr>
              <w:t>VICI Properties Inc.:</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260" w:type="dxa"/>
            <w:vAlign w:val="bottom"/>
            <w:shd w:val="clear" w:color="auto" w:fill="CCEEFF"/>
          </w:tcPr>
          <w:p>
            <w:pPr>
              <w:spacing w:after="0"/>
              <w:rPr>
                <w:sz w:val="17"/>
                <w:szCs w:val="17"/>
                <w:color w:val="auto"/>
              </w:rPr>
            </w:pPr>
          </w:p>
        </w:tc>
        <w:tc>
          <w:tcPr>
            <w:tcW w:w="5980" w:type="dxa"/>
            <w:vAlign w:val="bottom"/>
            <w:gridSpan w:val="14"/>
            <w:shd w:val="clear" w:color="auto" w:fill="CCEEFF"/>
          </w:tcPr>
          <w:p>
            <w:pPr>
              <w:spacing w:after="0" w:line="202"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Schedule I - Condensed Financial Information of Registrant Parent Company Only</w:t>
              </w:r>
            </w:hyperlink>
          </w:p>
        </w:tc>
        <w:tc>
          <w:tcPr>
            <w:tcW w:w="4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400"/>
              <w:spacing w:after="0" w:line="202"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S - 1</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5980" w:type="dxa"/>
            <w:vAlign w:val="bottom"/>
            <w:gridSpan w:val="14"/>
          </w:tcPr>
          <w:p>
            <w:pPr>
              <w:spacing w:after="0" w:line="202" w:lineRule="exact"/>
              <w:rPr>
                <w:rFonts w:ascii="Arial" w:cs="Arial" w:eastAsia="Arial" w:hAnsi="Arial"/>
                <w:sz w:val="18"/>
                <w:szCs w:val="18"/>
                <w:color w:val="0000EE"/>
              </w:rPr>
            </w:pPr>
            <w:hyperlink w:anchor="page152">
              <w:r>
                <w:rPr>
                  <w:rFonts w:ascii="Arial" w:cs="Arial" w:eastAsia="Arial" w:hAnsi="Arial"/>
                  <w:sz w:val="18"/>
                  <w:szCs w:val="18"/>
                  <w:color w:val="0000EE"/>
                </w:rPr>
                <w:t>Schedule III - Real Estate Assets and Accumulated Depreciation</w:t>
              </w:r>
            </w:hyperlink>
          </w:p>
        </w:tc>
        <w:tc>
          <w:tcPr>
            <w:tcW w:w="4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center"/>
              <w:ind w:right="400"/>
              <w:spacing w:after="0" w:line="202"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S - 6</w:t>
              </w:r>
            </w:hyperlink>
          </w:p>
        </w:tc>
      </w:tr>
      <w:tr>
        <w:trPr>
          <w:trHeight w:val="588"/>
        </w:trPr>
        <w:tc>
          <w:tcPr>
            <w:tcW w:w="2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120" w:type="dxa"/>
            <w:vAlign w:val="bottom"/>
            <w:gridSpan w:val="3"/>
          </w:tcPr>
          <w:p>
            <w:pPr>
              <w:ind w:left="20"/>
              <w:spacing w:after="0"/>
              <w:rPr>
                <w:sz w:val="20"/>
                <w:szCs w:val="20"/>
                <w:color w:val="auto"/>
              </w:rPr>
            </w:pPr>
            <w:r>
              <w:rPr>
                <w:rFonts w:ascii="Arial" w:cs="Arial" w:eastAsia="Arial" w:hAnsi="Arial"/>
                <w:sz w:val="18"/>
                <w:szCs w:val="18"/>
                <w:color w:val="auto"/>
              </w:rPr>
              <w:t>F - 1</w:t>
            </w:r>
          </w:p>
        </w:tc>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VICI Properties Inc. and subsidiaries (the "Company") as of December 31, 2019 and 2018, the related consolidated statements of operations and comprehensive income, stockholders' equity, and cash flows, for each of the two years in the period ended December 31, 2019 and for the period from October 6, 2017 (Formation Date) to December 31, 2017, and the related notes and the schedules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for the period from October 6, 2017 (Formation Date) to December 31, 2017, in conformity with accounting principles generally accepted in the United States of America.</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and our report dated February 20,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Lease Renewal Options in Lease Classification Assessment - Refer to Note 2 to the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lease inception, the Company assesses lease classification under Accounting Standard Codification Topic 842 - Leases to determine whether its leases should be classified as a direct financing, sales-type, or operating lease. This assessment requires management to evaluate the classification of each lease component based on specified criteria, including, among other matters, determining the noncancelable lease term and comparing the present value of the future minimum lease payments to the fair value of the leased components. In performing its lease classification assessment, management was required to make significant judgments in determining whether its tenants are economically compelled to exercise their renewal options in determining the appropriate noncancelable lease term at the commencement date of each lease. The Company has concluded that it is reasonably certain that its tenants will exercise such renewal options.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179"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management’s determination of the appropriate noncancelable lease term at the commencement date of its leases, included the following, among others:</w:t>
      </w:r>
    </w:p>
    <w:p>
      <w:pPr>
        <w:spacing w:after="0" w:line="224"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controls over management’s review of lease classification of the lease components which included an evaluation of the lease renewal options in determination of the overall noncancelable lease term.</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read the executed lease agreements to understand material lease provisions, including renewal options, and evaluated their implications in the determination of the overall noncancelable lease term.</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evaluated the significant judgments management made in concluding that it is reasonable that its tenants’ will exercise all of their lease renewal options.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179"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VICI Properties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20,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179"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Real estate portfolio:</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direct financing and sales-type leases,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10,734,245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8,916,047</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Investments in operating leases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1,086,658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1,086,658</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95,789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577,883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520,877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115,550</w:t>
            </w:r>
          </w:p>
        </w:tc>
      </w:tr>
      <w:tr>
        <w:trPr>
          <w:trHeight w:val="297"/>
        </w:trPr>
        <w:tc>
          <w:tcPr>
            <w:tcW w:w="7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13,265,619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11,333,368</w:t>
            </w:r>
          </w:p>
        </w:tc>
      </w:tr>
      <w:tr>
        <w:trPr>
          <w:trHeight w:val="311"/>
        </w:trPr>
        <w:tc>
          <w:tcPr>
            <w:tcW w:w="7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4,791,563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4,122,264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14,184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financing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70,340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43,605</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116,287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123,918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62,406</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5,216,630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4,432,346</w:t>
            </w:r>
          </w:p>
        </w:tc>
      </w:tr>
      <w:tr>
        <w:trPr>
          <w:trHeight w:val="264"/>
        </w:trPr>
        <w:tc>
          <w:tcPr>
            <w:tcW w:w="7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10)</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$0.01 par value, 700,000,000 shares authorized and 461,004,742 and</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3"/>
              </w:rPr>
              <w:t>404,729,616 shares issued and outstanding at December 31, 2019 and December 31, 2018,</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 and 2018</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7,817,582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6,648,430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208,069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187,096</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VICI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6,817,449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83,573</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8,048,989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6,901,022</w:t>
            </w:r>
          </w:p>
        </w:tc>
      </w:tr>
      <w:tr>
        <w:trPr>
          <w:trHeight w:val="257"/>
        </w:trPr>
        <w:tc>
          <w:tcPr>
            <w:tcW w:w="7200" w:type="dxa"/>
            <w:vAlign w:val="bottom"/>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13,265,619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11,333,368</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179"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9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restart"/>
          </w:tcPr>
          <w:p>
            <w:pPr>
              <w:jc w:val="center"/>
              <w:ind w:right="111"/>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5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right"/>
              <w:ind w:right="770"/>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direct financing and sales-type leases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822,205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150,171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Income from operating leases</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43,653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47,972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Golf operations</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28,940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Revenues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894,798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897,977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187,609</w:t>
            </w:r>
          </w:p>
        </w:tc>
        <w:tc>
          <w:tcPr>
            <w:tcW w:w="0" w:type="dxa"/>
            <w:vAlign w:val="bottom"/>
          </w:tcPr>
          <w:p>
            <w:pPr>
              <w:spacing w:after="0"/>
              <w:rPr>
                <w:sz w:val="1"/>
                <w:szCs w:val="1"/>
                <w:color w:val="auto"/>
              </w:rPr>
            </w:pPr>
          </w:p>
        </w:tc>
      </w:tr>
      <w:tr>
        <w:trPr>
          <w:trHeight w:val="318"/>
        </w:trPr>
        <w:tc>
          <w:tcPr>
            <w:tcW w:w="50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24,569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Property taxes</w:t>
            </w:r>
          </w:p>
        </w:tc>
        <w:tc>
          <w:tcPr>
            <w:tcW w:w="4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Loss on impairment</w:t>
            </w:r>
          </w:p>
        </w:tc>
        <w:tc>
          <w:tcPr>
            <w:tcW w:w="4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and acquisition expenses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37"/>
        </w:trPr>
        <w:tc>
          <w:tcPr>
            <w:tcW w:w="504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52,299</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140,023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43,413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842,499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144,196</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extinguishment of debt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555,986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533,558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554,281</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532,117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Diluted</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9"/>
              </w:rPr>
              <w:t>Weighted average number of common shares outstanding</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435,071,096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367,226,395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227,828,844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439,152,946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367,316,901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227,985,455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Unrealized loss on cash flow hedges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(42,954)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503,010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179"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Preferred</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Additional Paid-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 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6"/>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October 6,</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3,431,781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3,433,673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3,516,673</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42,662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42,662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44,537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Preferred stock conversion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w w:val="92"/>
              </w:rPr>
              <w:t>Mandatory debt conversion</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249,811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249,987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249,987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placement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963,241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963,782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963,782</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0"/>
              </w:rPr>
              <w:t>Stock-based compensation,</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net of forfeitures</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Balance as of December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31, 2017</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4,645,824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4,691,489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17"/>
        </w:trPr>
        <w:tc>
          <w:tcPr>
            <w:tcW w:w="1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523,619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523,619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532,117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Issuance of common stock</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from Initial Public</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Offering</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1,306,424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3"/>
              </w:rPr>
              <w:t>Issuance of common stock</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from follow-on offering</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693,844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694,189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694,189</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 to non-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controlling interest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(379,185)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(379,185)</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Stock-based compensation,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forfeitures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Unrealized loss on cash</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flow hedges</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(22,124)</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6,648,430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6,817,449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83,573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17"/>
        </w:trPr>
        <w:tc>
          <w:tcPr>
            <w:tcW w:w="1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545,964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545,964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554,281</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1,163,983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1,164,545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1,164,545</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Distribution to non-</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controlling interest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(8,084)</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(524,991)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0"/>
              </w:rPr>
              <w:t>Stock-based compensation,</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net of forfeitures</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5,169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loss on cash</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flow hedges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0" w:type="dxa"/>
            <w:vAlign w:val="bottom"/>
          </w:tcPr>
          <w:p>
            <w:pPr>
              <w:spacing w:after="0"/>
              <w:rPr>
                <w:sz w:val="1"/>
                <w:szCs w:val="1"/>
                <w:color w:val="auto"/>
              </w:rPr>
            </w:pPr>
          </w:p>
        </w:tc>
      </w:tr>
      <w:tr>
        <w:trPr>
          <w:trHeight w:val="196"/>
        </w:trPr>
        <w:tc>
          <w:tcPr>
            <w:tcW w:w="1840" w:type="dxa"/>
            <w:vAlign w:val="bottom"/>
          </w:tcPr>
          <w:p>
            <w:pPr>
              <w:ind w:left="40"/>
              <w:spacing w:after="0"/>
              <w:rPr>
                <w:sz w:val="20"/>
                <w:szCs w:val="20"/>
                <w:color w:val="auto"/>
              </w:rPr>
            </w:pPr>
            <w:r>
              <w:rPr>
                <w:rFonts w:ascii="Arial" w:cs="Arial" w:eastAsia="Arial" w:hAnsi="Arial"/>
                <w:sz w:val="16"/>
                <w:szCs w:val="16"/>
                <w:b w:val="1"/>
                <w:bCs w:val="1"/>
                <w:color w:val="auto"/>
              </w:rPr>
              <w:t>Balance as of</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7,817,582</w:t>
            </w:r>
          </w:p>
        </w:tc>
        <w:tc>
          <w:tcPr>
            <w:tcW w:w="120" w:type="dxa"/>
            <w:vAlign w:val="bottom"/>
          </w:tcPr>
          <w:p>
            <w:pPr>
              <w:spacing w:after="0"/>
              <w:rPr>
                <w:sz w:val="17"/>
                <w:szCs w:val="17"/>
                <w:color w:val="auto"/>
              </w:rPr>
            </w:pPr>
          </w:p>
        </w:tc>
        <w:tc>
          <w:tcPr>
            <w:tcW w:w="4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(65,078)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208,069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7,965,183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83,806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228"/>
        </w:trPr>
        <w:tc>
          <w:tcPr>
            <w:tcW w:w="184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179"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2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vMerge w:val="restart"/>
          </w:tcPr>
          <w:p>
            <w:pPr>
              <w:jc w:val="center"/>
              <w:ind w:right="70"/>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6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33"/>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44,537</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w w:val="96"/>
              </w:rPr>
              <w:t>Adjustments to reconcile net income to cash flows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Direct financing and sales-type lease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43"/>
        </w:trPr>
        <w:tc>
          <w:tcPr>
            <w:tcW w:w="664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6640" w:type="dxa"/>
            <w:vAlign w:val="bottom"/>
          </w:tcPr>
          <w:p>
            <w:pPr>
              <w:ind w:left="520"/>
              <w:spacing w:after="0"/>
              <w:rPr>
                <w:sz w:val="20"/>
                <w:szCs w:val="20"/>
                <w:color w:val="auto"/>
              </w:rPr>
            </w:pPr>
            <w:r>
              <w:rPr>
                <w:rFonts w:ascii="Arial" w:cs="Arial" w:eastAsia="Arial" w:hAnsi="Arial"/>
                <w:sz w:val="18"/>
                <w:szCs w:val="18"/>
                <w:color w:val="auto"/>
              </w:rPr>
              <w:t>Amortization of debt issuance costs and original issue discount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Loss on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52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43"/>
        </w:trPr>
        <w:tc>
          <w:tcPr>
            <w:tcW w:w="6640" w:type="dxa"/>
            <w:vAlign w:val="bottom"/>
          </w:tcPr>
          <w:p>
            <w:pPr>
              <w:ind w:left="5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21,595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68,081</w:t>
            </w:r>
          </w:p>
        </w:tc>
        <w:tc>
          <w:tcPr>
            <w:tcW w:w="0" w:type="dxa"/>
            <w:vAlign w:val="bottom"/>
          </w:tcPr>
          <w:p>
            <w:pPr>
              <w:spacing w:after="0"/>
              <w:rPr>
                <w:sz w:val="1"/>
                <w:szCs w:val="1"/>
                <w:color w:val="auto"/>
              </w:rPr>
            </w:pPr>
          </w:p>
        </w:tc>
      </w:tr>
      <w:tr>
        <w:trPr>
          <w:trHeight w:val="243"/>
        </w:trPr>
        <w:tc>
          <w:tcPr>
            <w:tcW w:w="66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682,159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129,440</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direct financing and sales-type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(1,136,200)</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Capitalized transaction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modification fee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Investments in short-term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Proceeds from sale of land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(1,361,379)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(1,140,877)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(1,136,251)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Proceeds from offering of common stock</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1,164,307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2,001,493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private placement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963,782</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Proceeds from November 2019 Senior Unsecured Notes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CPLV CMBS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Payment of Term Loan B Facility</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Payment of Second Lien Notes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Term Loan B Facility,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2,194,686</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Proceeds from issuance of Revolving Credit Facility, net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298,000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Prior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(1,638,387)</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Payment of Prior First Lien Notes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(311,721)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Mezzanine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(31,501)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unrecognized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Mandatory debt conversion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1,148,446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- 8</w:t>
      </w:r>
    </w:p>
    <w:p>
      <w:pPr>
        <w:sectPr>
          <w:pgSz w:w="11900" w:h="16838" w:orient="portrait"/>
          <w:cols w:equalWidth="0" w:num="1">
            <w:col w:w="11420"/>
          </w:cols>
          <w:pgMar w:left="240" w:top="179"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503,446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401,041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141,635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598,447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197,406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55,771</w:t>
            </w:r>
          </w:p>
        </w:tc>
      </w:tr>
      <w:tr>
        <w:trPr>
          <w:trHeight w:val="27"/>
        </w:trPr>
        <w:tc>
          <w:tcPr>
            <w:tcW w:w="6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1,101,893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598,447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197,406</w:t>
            </w:r>
          </w:p>
        </w:tc>
      </w:tr>
      <w:tr>
        <w:trPr>
          <w:trHeight w:val="20"/>
        </w:trPr>
        <w:tc>
          <w:tcPr>
            <w:tcW w:w="6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6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Cash paid for interest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209,379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213,309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36,779</w:t>
            </w:r>
          </w:p>
        </w:tc>
      </w:tr>
      <w:tr>
        <w:trPr>
          <w:trHeight w:val="27"/>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declared, not paid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w w:val="99"/>
              </w:rPr>
              <w:t>CPLV CMBS Debt prepayment penalty reimbursement receivable from Eldorado</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55,401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liabilities arising from obtaining right-of-use assets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Debt issuance costs payable</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transaction costs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Transfer of investments in operating leases to land</w:t>
            </w:r>
          </w:p>
        </w:tc>
        <w:tc>
          <w:tcPr>
            <w:tcW w:w="4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Transfer of investments in direct financing leases to investments in operating leases</w:t>
            </w:r>
          </w:p>
        </w:tc>
        <w:tc>
          <w:tcPr>
            <w:tcW w:w="4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79"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as the context requires,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Entertainment Outdoor” refers to the historical operations of the golf courses that were transferred from CEOC to VICI Golf on the Formation Date.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as the context requires, its subsidiaries. CEOC is a subsidiary of Caesars.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will be combined with the HLV Lease Agreement into a single Las Vegas master lease upon the closing of the pending Eldorado/Caesars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“CRC” refers to Caesars Resort Collection, LLC, a Delaware limited liability company which is a subsidiary of Caesars.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79"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refers to Eldorado Resorts, Inc., a Nevada corporation, and, as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“Eldorado/Caesars Merger” refers to the merger contemplated under an Agreement and Plan of Merger pursuant to which a subsidiary of Eldorado will merge with and into Caesars, with Caesars surviving as a wholly owned subsidiary of Eldorado.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2027 Notes and the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context the requires, its subsidiary and affiliate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 (and previously referred to in our prior filings as JACK Cincinnati).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 which will be combined with the CPLV Lease Agreement into a single Las Vegas master lease upon the closing of the Eldorado/Caesars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“Lease Agreements” refer collectively to the Caesars Lease Agreements, the Penn National Lease Agreements, the Hard Rock Cincinnati Lease Agreement, the Century Portfolio Lease Agreement and, from and after January 24, 2020, the JACK Cleveland/Thistledown Lease Agreement, unless the context otherwise requires.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refers to the master transaction agreement with Eldorado relating to the Eldorado Transaction.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“Non-CPLV Lease Agreement” refers to the lease agreement for the regional properties leased to Caesars other than the facilities in Joliet, Illinois,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79"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of which approximately $498.5 million aggregate principal amount remained outstanding as of December 31, 2019, and which were redeemed in full on February 20,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Golf” refers to VICI Golf LLC, a Delaware limited liability company that is the owner and operator of the Caesars Entertainment Outdoor business.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PropCo” or “PropCo” refers to VICI Properties 1 LLC, a Delaware limited liability company and an indirect wholly owned subsidiary of VICI.</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Maryland corporation that is primarily engaged in the business of owning and acquiring gaming, hospitality and entertainment destinations, subject to long-term triple net leases. Our national, geographically diverse portfolio consists, as of December 31, 2019, of 26 market-leading properties, including Caesars Palace Las Vegas and Harrah’s Las Vegas. As of December 31, 2019, our properties are leased to, and our tenants are, subsidiaries of Caesars, Penn National, Hard Rock and Century Casinos. We also own and operate four championship golf courses located near certain of our properties.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(“TRS”), VICI Golf.</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as set forth in the Accounting Standards Codification (“ASC”), as published by the Financial Accounting Standards Board (“FASB”), and with the applicable rules and regulations of the Securities and Exchange Commission (“SEC”).</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Formation Date, upon CEOC’s emergence from bankruptcy, we adopted fresh-start reporting in accordance with provisions of ASC 852, “Reorganizations” (“ASC 852”). In the application of fresh start accounting, we allocated the enterprise value to the fair value of assets and liabilities in conformity with the guidance for the acquisition method of accounting for business combinations under ASC 805, “Business Combinations” (“ASC 805”).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property and is the lessor under the related Joliet Lease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79"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each of which is an operating segment and is aggregated into one reportable segment.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overhead costs are allocated to reportable segments based upon revenue or headcount. Management believes that the assumptions and methodologies used in the allocation of such expenses are reasonable.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restricted cash was primarily comprised of funds paid by us into a restricted account for a lender required FF&amp;E replacement reserve for the CPLV CMBS Debt. The CPLV CMBS Debt was repaid in full in November 2019 and accordingly, we no longer have any restricted cash balances as of December 31, 2019.</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2019</w:t>
            </w:r>
          </w:p>
        </w:tc>
        <w:tc>
          <w:tcPr>
            <w:tcW w:w="180" w:type="dxa"/>
            <w:vAlign w:val="bottom"/>
          </w:tcPr>
          <w:p>
            <w:pPr>
              <w:spacing w:after="0"/>
              <w:rPr>
                <w:sz w:val="17"/>
                <w:szCs w:val="17"/>
                <w:color w:val="auto"/>
              </w:rPr>
            </w:pPr>
          </w:p>
        </w:tc>
        <w:tc>
          <w:tcPr>
            <w:tcW w:w="1520" w:type="dxa"/>
            <w:vAlign w:val="bottom"/>
          </w:tcPr>
          <w:p>
            <w:pPr>
              <w:jc w:val="right"/>
              <w:ind w:right="153"/>
              <w:spacing w:after="0"/>
              <w:rPr>
                <w:sz w:val="20"/>
                <w:szCs w:val="20"/>
                <w:color w:val="auto"/>
              </w:rPr>
            </w:pPr>
            <w:r>
              <w:rPr>
                <w:rFonts w:ascii="Arial" w:cs="Arial" w:eastAsia="Arial" w:hAnsi="Arial"/>
                <w:sz w:val="15"/>
                <w:szCs w:val="15"/>
                <w:b w:val="1"/>
                <w:bCs w:val="1"/>
                <w:color w:val="auto"/>
                <w:w w:val="93"/>
              </w:rPr>
              <w:t>December 31, 2018</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1,101,893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577,883</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20,564</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1,101,893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598,447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As of December 31, 2019 and 2018, we had $59.5 million and $520.9 million, respectively, of short-term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Sales-Type Leases,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79"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adoption of ASC 842, we made an accounting policy election to use a package of practical expedients that, among other things, allow us to not reassess prior lease classifications or initial direct costs for leases that existed as of the balance sheet date. As such, we have not reassessed the classification of our Caesars Lease Agreements, as these leases existed prior to our adoption of ASC 842.</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determined that the land and building components of the Margaritaville Lease Agreement, the Greektown Lease Agreement, the Hard Rock Cincinnati Lease Agreement and the Century Portfolio Lease Agreement meet the definition of a sales-type lease. The Caesars Lease Agreements continue to be accounted for as direct financing leases and are included within Investments in direct financing and sales-type leases on the Balance Sheet, with the exception of the land component of Caesars Palace Las Vegas which was determined to be an operating lease and is included in Investments in operating leases on the Balance Sheet. The income recognition for our direct financing leases recognized under ASC 840 is consistent with the income recognition for our sales-type lease under ASC 842.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Vacant, Non-Operating Land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Formation Date, CEOC transferred certain vacant, non-operating land parcels to us, which are subject to the provisions of the Non-CPLV Lease Agreement. The Non-CPLV Lease Agreement allows for the sale of these vacant, non-operating land parcels without Caesars’ consent since they are specifically identified as de minimis to the operations of Caesars. All of the land parcels are located outside of Las Vegas and none of the land parcels are a component of the operations of our regional property portfolio. In 2018 we reclassified the entire $22.2 million carrying value of the vacant, non-operating land from Investments in operating leases to Land.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Eastside Property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we sold certain land parcels known as the Eastside Property to Caesars for a sales price of $73.6 million. It was determined that the transaction did not meet the requirements of a completed sale for accounting purposes due to a put/call option on the land parcels and a convention center currently in process of being constructed (“Caesars Forum Convention Center”). The amount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79"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$73.6 million is presented as Land with a corresponding amount of $73.6 million recorded as Deferred financing liability in our Consolidated Balance Sheet. </w:t>
      </w:r>
      <w:r>
        <w:rPr>
          <w:rFonts w:ascii="Arial" w:cs="Arial" w:eastAsia="Arial" w:hAnsi="Arial"/>
          <w:sz w:val="18"/>
          <w:szCs w:val="18"/>
          <w:b w:val="1"/>
          <w:bCs w:val="1"/>
          <w:i w:val="1"/>
          <w:iCs w:val="1"/>
          <w:color w:val="auto"/>
        </w:rPr>
        <w:t>Property and Equipment Used in Operations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used in operations is included within Other assets on our Balance Sheet and represents assets primarily related to VICI Golf, our golf operations. We assign lives to our assets based on our standard policy, which is established by management as representative of the useful life of each category of asset.</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Depreciable land improvements</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years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940" w:type="dxa"/>
            <w:vAlign w:val="bottom"/>
          </w:tcPr>
          <w:p>
            <w:pPr>
              <w:jc w:val="right"/>
              <w:spacing w:after="0"/>
              <w:rPr>
                <w:sz w:val="20"/>
                <w:szCs w:val="20"/>
                <w:color w:val="auto"/>
              </w:rPr>
            </w:pPr>
            <w:r>
              <w:rPr>
                <w:rFonts w:ascii="Arial" w:cs="Arial" w:eastAsia="Arial" w:hAnsi="Arial"/>
                <w:sz w:val="18"/>
                <w:szCs w:val="18"/>
                <w:color w:val="auto"/>
              </w:rPr>
              <w:t>5-25 years</w:t>
            </w:r>
          </w:p>
        </w:tc>
      </w:tr>
      <w:tr>
        <w:trPr>
          <w:trHeight w:val="27"/>
        </w:trPr>
        <w:tc>
          <w:tcPr>
            <w:tcW w:w="64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7"/>
        </w:trPr>
        <w:tc>
          <w:tcPr>
            <w:tcW w:w="64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our investments in operating leases,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We assess our investments in direct financing and sales-type leases for impairment under ASC 310. Under ASC 310, the net investment in the lease is identified for impairment when it becomes probable that we will be unable to collect all rental payments associated with our investment in the lease.</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22">
        <w:r>
          <w:rPr>
            <w:rFonts w:ascii="Arial" w:cs="Arial" w:eastAsia="Arial" w:hAnsi="Arial"/>
            <w:sz w:val="18"/>
            <w:szCs w:val="18"/>
            <w:u w:val="single" w:color="auto"/>
            <w:color w:val="0000EE"/>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79"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Other comprehensive income on our consolidated financial statements.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 of Property Taxes</w:t>
      </w:r>
    </w:p>
    <w:p>
      <w:pPr>
        <w:spacing w:after="0" w:line="171" w:lineRule="exact"/>
        <w:rPr>
          <w:sz w:val="20"/>
          <w:szCs w:val="20"/>
          <w:color w:val="auto"/>
        </w:rPr>
      </w:pPr>
    </w:p>
    <w:p>
      <w:pPr>
        <w:jc w:val="both"/>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Real estate taxes paid directly by our tenants to taxing authorities were recorded gross on our Balance Sheets and Income Statements during 2018 and 2017, as we concluded we are the primary obligor. Such amounts were presented as revenues from tenant reimbursement of property taxes with a corresponding and offsetting property tax expense. Upon adoption of ASC 842, “Leases” (“ASC 842”) in 2019, such amounts are presented net, as the tenants pay the real estate taxes directly to the applicable taxing authority. Refer to </w:t>
      </w:r>
      <w:hyperlink w:anchor="page101">
        <w:r>
          <w:rPr>
            <w:rFonts w:ascii="Arial" w:cs="Arial" w:eastAsia="Arial" w:hAnsi="Arial"/>
            <w:sz w:val="16"/>
            <w:szCs w:val="16"/>
            <w:u w:val="single" w:color="auto"/>
            <w:color w:val="0000EE"/>
          </w:rPr>
          <w:t>Note 3 - Recently Issued Accounting Pronouncements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Golf Operations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currently comprised of a $10.3 million annual membership fee, $3.1 million of use fees and approximately $1.2 million of minimum rounds fees. The annual membership fee, use fees and minimum round fees are subject to an annual escalator beginning at the times provided under the Golf Course Use Agreement. Revenue from the Golf Course Use Agreement is recognized in accordance with ASC 606, “Revenue From Contracts With Customers” and recognized ratably over the performance period.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Code provisions, we also would be disqualified from re-electing to be taxed as a REIT for the four taxable years following the year in which we failed to qualify to be taxed as a REIT.</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activities of the Company which occur within its TRS operations are subject to federal and state income taxes. The provision for income taxes includes current and deferred portions. The current income tax provision differs from the amount of income tax currently payable because of temporary differences in the recognition of certain income and expense items between financial reporting and income tax reporting.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 Accordingly, a deferred tax asset or liability for each temporary difference is determined based on enacted tax rates that we expect to be in effect when the underlying items of income and expense are realized and the differences reverse.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recognize any interest and penalties, as incurred, in general and administrative expenses in our Statement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79"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Debt issuance costs are deferred and amortized to interest expense over the contractual term of the underlying indebtedness. We present unamortized deferred financing costs as a direct deduction from the carrying amount of the associated debt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and acquisition-related expenses that are not capitalizable under GAAP, including most leasing costs under ASC 842, are expensed in the period they occur. Transaction and acquisition expenses also include dead deal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account for stock-based compensation under ASC 718, Compensation - Stock Compensation (“ASC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the10-day volume weighted average price using the 10 trading days ending on the grant date. For non-vested share awards that vest based on market conditions, we use a Monte Carlo simulation (risk-neutral approach) to determine the value of each tranche.</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unrecognized compensation relating to awards under our stock incentive plan will be amortized to general and administrative expense over the awards’ remaining vesting periods. Vesting periods for award of equity instruments range from zero to four years.</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7">
        <w:r>
          <w:rPr>
            <w:rFonts w:ascii="Arial" w:cs="Arial" w:eastAsia="Arial" w:hAnsi="Arial"/>
            <w:sz w:val="18"/>
            <w:szCs w:val="18"/>
            <w:u w:val="single" w:color="auto"/>
            <w:color w:val="0000EE"/>
          </w:rPr>
          <w:t>Note 13—Stock-Based Compensation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related to the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per share (”EPS”) is calculated in accordance with ASC 260, “Earnings Per Share”. Basic EPS is computed by dividing net income applicable to common stockholders by the weighted-average number of shares of common stock outstanding during the period. Diluted EPS reflects the additional dilution for all potentially dilutive securities including those from our stock incentive plan.</w:t>
      </w:r>
    </w:p>
    <w:p>
      <w:pPr>
        <w:spacing w:after="0" w:line="7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6">
        <w:r>
          <w:rPr>
            <w:rFonts w:ascii="Arial" w:cs="Arial" w:eastAsia="Arial" w:hAnsi="Arial"/>
            <w:sz w:val="18"/>
            <w:szCs w:val="18"/>
            <w:u w:val="single" w:color="auto"/>
            <w:color w:val="0000EE"/>
          </w:rPr>
          <w:t>Note 12—Earnings Per Share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detailed EPS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Commissions and Offering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and offering costs incurred in connection with common stock offerings are reflected as a reduction of additional paid-in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that are not directly associated with the completion of a common stock offering are expensed when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Caesars is the guarantor of all the lease payment obligations of the tenants under the respective leases of the properties that it leases from us, with the exception of Harrah’s Las Vegas which is guaranteed by a subsidiary of Caesars. Revenue from the Caesars Lease Agreements represented 93 %, 100% and 100% of our lease revenues for the years ended December 31, 2019 and 2018 and the period from October 6, 2017 through December 31, 2017, respectively. Additionally, our properties on the Las Vegas Strip generated approximately 33%, 36% and 28% of our lease revenues for the years ended December 31, 2019 and 2018 and the period from October 6, 2017 through December 31, 2017, respectively. We do not believe there are any other significant concentrations of credit risk.</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Caesars is a publicly traded company that is subject to the informational filing requirements of the Securities Exchange Act of 1934, as amended, and is required to file periodic reports on Form 10-K and Form 10-Q and current reports on Form 8-K with the SEC. Caesars’ SEC filings are available to the public from the SEC’s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We make no representation as to the accuracy or completeness of the information regarding Caesars that is available through the SEC’s website or otherwise made available by Caesars or any third party, and none of such information is incorporated by reference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quarter ended June 30, 2019 we reclassified property and equipment used in operations, net to Other assets in the Balance Sheet in order to simplify our presentation. As of December 31, 2019 and 2018, such amounts represent $70.4 million and $71.5 million of the balance of Other assets, respectively.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79"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ASU No. 2016-02 -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Leases (Topic 842) - February 2016 (as amended through March 2019):</w:t>
      </w:r>
      <w:r>
        <w:rPr>
          <w:rFonts w:ascii="Arial" w:cs="Arial" w:eastAsia="Arial" w:hAnsi="Arial"/>
          <w:sz w:val="18"/>
          <w:szCs w:val="18"/>
          <w:color w:val="auto"/>
        </w:rPr>
        <w:t xml:space="preserve"> The guidance is effective for fiscal years, and interim periods within those fiscal years, beginning after December 15, 2018 and is implemented using a modified retrospective approach, with the option to apply the guidance at the effective date or the beginning of the earliest comparative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the guidance on January 1, 2019 and elected to apply the effective date method and, as such, have not re-cast prior periods to show the effects of ASC 842. Additionally, upon adoption, we elected a package of practical expedients that, among other things, allow us to not reassess prior lease classifications or initial direct costs for leases that existed before the adoption date. As such, we have not reassessed the classification of our Caesars Lease Agreements, as these leases existed prior to our adoption of ASC 842.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guidance did not have a material impact on the accounting treatment of our triple-net tenant leases, which are the primary source of our revenues. As such, upon adoption of ASC 842, we have not recorded any adjustment to our beginning balance of retained earnings. However, as of January 1, 2019, there are certain changes to the guidance under ASC 842, which will have an impact on future operating results, as follows:</w:t>
      </w:r>
    </w:p>
    <w:p>
      <w:pPr>
        <w:spacing w:after="0" w:line="166" w:lineRule="exact"/>
        <w:rPr>
          <w:sz w:val="20"/>
          <w:szCs w:val="20"/>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that are paid directly by the lessee to a third party, such as real estate taxes and insurance, are no longer recognized in our Statement of Operations. Prior to our adoption of ASC 842, we presented on a gross basis the real estate taxes that were paid by our tenants directly to the taxing authority. Subsequent to our adoption of ASC 842, Tenant reimbursements of property taxes and Property taxes expense are presented on a net basis, as the lessee pays for such costs directly. However, consistent with our effective date adoption approach, we have not re-cast prior year financial results to conform to the current period presentation.</w:t>
      </w:r>
    </w:p>
    <w:p>
      <w:pPr>
        <w:spacing w:after="0" w:line="18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Initial direct costs associated with the execution of lease agreements, such as legal fees and certain transaction costs will no longer be capitalizable and instead are expensed in the period incurred.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Long-term leases entered into or modified subsequent to our adoption of ASC 842 will most likely be considered sales-type leases, as defined in ASC 842. The accounting for a sales-type lease is materially consistent with that of the current accounting for our direct financing leases. If we determine that the lease meets the definition for a sale leaseback transaction, the lease is considered a financing receivable and is accounted for in accordance with ASC 310.</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to our adoption of ASC 842, the residual value component of our Lease Agreements was assessed for impairment under ASC 360 while the receivable component was separately assessed for impairment under ASC 310. Upon adoption of ASC 842, both the receivable and residual value components of the direct financing and sales-type leases are assessed for impairment under ASC 310.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relation to certain operating leases for which we are the lessee, such as the ground lease on the Cascata golf course, upon adoption of ASC 842, we recorded a right of use asset and corresponding lease liability of $11.1 million, which is included in Other assets and Other liabilities on our Balance Sheets. There was no change to our lease expense as a result of the change in accounting as such expense is still being recorded on a straight-line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ASU No. 2016-13 -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Financial Instruments-Credit Losses (Topic 326) - June 2016 (as amended through May 2019)</w:t>
      </w:r>
      <w:r>
        <w:rPr>
          <w:rFonts w:ascii="Arial" w:cs="Arial" w:eastAsia="Arial" w:hAnsi="Arial"/>
          <w:sz w:val="17"/>
          <w:szCs w:val="17"/>
          <w:i w:val="1"/>
          <w:iCs w:val="1"/>
          <w:color w:val="auto"/>
        </w:rPr>
        <w:t>:</w:t>
      </w:r>
      <w:r>
        <w:rPr>
          <w:rFonts w:ascii="Arial" w:cs="Arial" w:eastAsia="Arial" w:hAnsi="Arial"/>
          <w:sz w:val="17"/>
          <w:szCs w:val="17"/>
          <w:color w:val="auto"/>
        </w:rPr>
        <w:t xml:space="preserve"> This amended guidance changes how entities will measure credit losses for most financial assets and certain other instruments, including direct financing and sales-type leases, that are not measured at fair value through net income. The guidance replaces the current “incurred loss” model with an “expected loss” approach, which will generally result in earlier recognition of allowance for losses. As a result of the guidance, we will be required to estimate and record non-cash credit losses related to our historical, and any future investments in direct financing and sales-type leases and expand credit quality disclosures. We do not believe the new standard will materially impact any of our other financial assets or instruments that we currently have on our balance sheet.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79"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measure credit losses by engaging a data analytics firm to assist with estimating both the probability of default (“PD”) and loss given default (“LGD”) of our tenants and their parent guarantors over the life of each individual lease. These individual loss rates will then be applied to our net investment in direct financing and sales-type leases. The estimated losses will be discounted using the effective interest rate implicit in the lease. We currently estimate that our initial allowance for credit losses upon the adoption of the standard will be between 1% and 5% of our total net investment in direct financing and sales-type leases.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adopt the guidance on January 1, 2020 using the modified retrospective approach method of adoption. Under this method we will record a cumulative-effect adjustment to the balance sheet and retained earnings by recording a credit allowance for all of our existing investments in direct financing and sales-type leases. Periods prior to the adoption date that are presented for comparative purposes will not be adjusted. Each time we enter into a new direct financing or sales-type lease, we will be required to estimate a credit allowance which will result in a non-cash charge to the Statement of Operations and a corresponding reduction in our net investment in the lease. Finally, each reporting period we will be required to update the estimated allowance for any estimated changes in the credit loss, with the resulting change being recorded through the Statement of Operations.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 xml:space="preserve">ASU No. 2018-16 - </w:t>
      </w:r>
      <w:r>
        <w:rPr>
          <w:rFonts w:ascii="Arial" w:cs="Arial" w:eastAsia="Arial" w:hAnsi="Arial"/>
          <w:sz w:val="18"/>
          <w:szCs w:val="18"/>
          <w:i w:val="1"/>
          <w:iCs w:val="1"/>
          <w:u w:val="single" w:color="auto"/>
          <w:color w:val="auto"/>
        </w:rPr>
        <w:t>Inclusion of the Secured Overnight Financing Rate (SOFR) Overnight Index Swap (OIS) Rate as a Benchmark Interest Rate for Hedge</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auto"/>
        </w:rPr>
        <w:t>Accounting Purposes - October 2018</w:t>
      </w:r>
      <w:r>
        <w:rPr>
          <w:rFonts w:ascii="Arial" w:cs="Arial" w:eastAsia="Arial" w:hAnsi="Arial"/>
          <w:sz w:val="18"/>
          <w:szCs w:val="18"/>
          <w:i w:val="1"/>
          <w:iCs w:val="1"/>
          <w:color w:val="auto"/>
        </w:rPr>
        <w:t xml:space="preserve">: </w:t>
      </w:r>
      <w:r>
        <w:rPr>
          <w:rFonts w:ascii="Arial" w:cs="Arial" w:eastAsia="Arial" w:hAnsi="Arial"/>
          <w:sz w:val="18"/>
          <w:szCs w:val="18"/>
          <w:color w:val="auto"/>
        </w:rPr>
        <w:t>This amended guidance expands the list of U.S. benchmark interest rates permitted in the application of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by adding the OIS rate based on SOFR as an eligible benchmark interest rate and is effective for interim and annual reporting periods in fiscal years beginning after December 15, 2018. We are currently evaluating the effect of this new benchmark interest rate option, and do not believe this ASU will have a material impact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Recent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2019 our significant activities,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24, 2020 we completed the previously announced transaction to acquire the casino-entitled land and real estate and related assets of the JACK Cleveland Casino, located in Cleveland, Ohio and the video lottery gaming and pari-mutuel wagering authorized land and real estate and related assets of the JACK Thistledown Racino located in North Randall, Ohio from affiliates of JACK Entertainment, for approximately $843.3 million in cash (the “JACK Cleveland/Thistledown Acquisition”). Simultaneous with the closing of the JACK Cleveland/Thistledown Acquisition, we entered into a master triple-net lease agreement for JACK Cleveland and JACK Thistledown with subsidiaries of JACK Entertainment. The lease has an initial total annual rent of $65.9 million and an initial term of 15 years, with four five-year tenant renewal options. The tenant’s obligations under the lease are guaranteed by Rock Ohio Ventures LLC (“Rock Ohio Ventures”). Additionally, we made a $50.0 million loan (the “ROV Loan”) to affiliates of Rock Ohio Ventures secured by, among other things, certain non-gaming real estate assets owned by such affiliates and guaranteed by Rock Ohio Ventures. The ROV Loan bears interest at 9.0% per annum for a period of five years with two one-year extension options.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2019 we and Caesars entered into a definitive agreement to sell the Harrah’s Reno asset for $50.0 million to a third party. We are entitled to receive 75% of the proceeds of the sale and Caesars is entitled to receive 25% of the proceeds. The annual rent payments under the Non-CPLV Lease Agreement will remain unchanged following completion of the disposition.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Century Portfolio</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6, 2019, we completed the previously announced transaction to acquire the land and real estate assets of (i) Mountaineer Casino, Racetrack &amp; Resort located in New Cumberland, West Virginia, (ii) Century Casino Caruthersville located in Caruthersville, Missouri and (iii) Century Casino Cape Girardeau located in Cape Girardeau, Missouri from affiliates of Eldorado, for approximately $277.8 million, and a subsidiary of Century Casinos acquired the operating assets of the Century Portfolio for approximately $107.2 million (together, the “Century Portfolio Acquisition”). Simultaneous with the closing of the Century Portfolio Acquisition, we entered into a master triple-net lease agreement for the Century Portfolio with a subsidiary of Century Casinos. The master lease has an initial total annual rent of $25.0 million and an initial term of 15 years, with four five-year tenant renewal options. The tenant’s obligations under the lease are guaranteed by Century Casinos. We determined that the land and building components of the Century Portfolio Lease Agreement meet the definition of a sales-type lease and have recorded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79"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right="620"/>
        <w:spacing w:after="0" w:line="438" w:lineRule="auto"/>
        <w:rPr>
          <w:sz w:val="20"/>
          <w:szCs w:val="20"/>
          <w:color w:val="auto"/>
        </w:rPr>
      </w:pPr>
      <w:r>
        <w:rPr>
          <w:rFonts w:ascii="Arial" w:cs="Arial" w:eastAsia="Arial" w:hAnsi="Arial"/>
          <w:sz w:val="18"/>
          <w:szCs w:val="18"/>
          <w:color w:val="auto"/>
        </w:rPr>
        <w:t xml:space="preserve">corresponding asset, including related transaction and acquisition costs, in Investments in direct financing and sales-type leases on our Balance Sheet. </w:t>
      </w:r>
      <w:r>
        <w:rPr>
          <w:rFonts w:ascii="Arial" w:cs="Arial" w:eastAsia="Arial" w:hAnsi="Arial"/>
          <w:sz w:val="18"/>
          <w:szCs w:val="18"/>
          <w:b w:val="1"/>
          <w:bCs w:val="1"/>
          <w:i w:val="1"/>
          <w:iCs w:val="1"/>
          <w:color w:val="auto"/>
        </w:rPr>
        <w:t>Closing of Purchase of Hard Rock Cincinnati</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20, 2019, we completed the previously announced transaction to acquire the casino-entitled land and real estate and related assets of Hard Rock Cincinnati, located in Cincinnati, Ohio from affiliates of JACK Entertainment LLC, for approximately $558.3 million, and a subsidiary of Hard Rock acquired the operating assets of the Hard Rock Cincinnati Casino for $186.5 million (together, the “Hard Rock Cincinnati Acquisition”). Simultaneous with the closing of the Hard Rock Cincinnati Acquisition, we entered into a triple-net lease agreement for Hard Rock Cincinnati with a subsidiary of Hard Rock. The lease has an initial total annual rent of $42.8 million and an initial term of 15 years, with four five-year tenant renewal options. The tenant’s obligations under the lease are guaranteed by Seminole Hard Rock Entertainment, Inc. We determined that the land and building components of the Hard Rock Cincinnati Lease Agreement meet the definition of a sales-type lease and have recorded the corresponding asset, including related transaction and acquisition costs, in Investments in direct financing and sales-type leases on our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24, 2019, we entered into a master transaction agreement (the “Master Transaction Agreement” or “MTA”) with Eldorado relating to the transactions described below (collectively, the “Eldorado Transaction”), all of which are conditioned upon consummation of the closing of the merger contemplated under an Agreement and Plan of Merger (the “Eldorado/Caesars Merger Agreement”) pursuant to which a subsidiary of Eldorado will merge with and into Caesars, with Caesars surviving as a wholly owned subsidiary of Eldorado. Upon closing of the merger, Eldorado will be renamed Caesars. Any references to Eldorado in the subsequent transaction discussion refer to the combined Eldorado/Caesars subsequent to the closing of the Eldorado/Caesars Merger, as applicable.</w:t>
      </w:r>
    </w:p>
    <w:p>
      <w:pPr>
        <w:spacing w:after="0" w:line="193"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Eldorado Transaction and the Eldorado/Caesars Merger are both subject to regulatory approvals and customary closing conditions. Eldorado has publicly disclosed that it expects the Eldorado/Caesars Merger to be completed in the first half of 2020. However, we can provide no assurances that the Eldorado/Caesars Merger or the Eldorado Transaction described herein will close in the anticipated timeframe, on the contemplated terms or at all. We intend to fund the Eldorado Transaction with a combination of cash on hand, proceeds from the settlement of our forward sales agreements entered into as part of our June equity offering, as described in </w:t>
      </w:r>
      <w:hyperlink w:anchor="page124">
        <w:r>
          <w:rPr>
            <w:rFonts w:ascii="Arial" w:cs="Arial" w:eastAsia="Arial" w:hAnsi="Arial"/>
            <w:sz w:val="18"/>
            <w:szCs w:val="18"/>
            <w:u w:val="single" w:color="auto"/>
            <w:color w:val="0000EE"/>
          </w:rPr>
          <w:t>Note 11 - Stockholders’ Equity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our Financial Statements, and proceeds from our February 2020 Senior Unsecured Notes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20" w:hanging="415"/>
        <w:spacing w:after="0" w:line="270"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have agreed to acquire all of the land and real estate assets associated with Harrah’s New Orleans, Harrah’s</w:t>
      </w:r>
      <w:r>
        <w:rPr>
          <w:rFonts w:ascii="Arial" w:cs="Arial" w:eastAsia="Arial" w:hAnsi="Arial"/>
          <w:sz w:val="17"/>
          <w:szCs w:val="17"/>
          <w:i w:val="1"/>
          <w:iCs w:val="1"/>
          <w:color w:val="auto"/>
        </w:rPr>
        <w:t xml:space="preserve"> </w:t>
      </w:r>
      <w:r>
        <w:rPr>
          <w:rFonts w:ascii="Arial" w:cs="Arial" w:eastAsia="Arial" w:hAnsi="Arial"/>
          <w:sz w:val="17"/>
          <w:szCs w:val="17"/>
          <w:color w:val="auto"/>
        </w:rPr>
        <w:t>Laughlin and Harrah’s Atlantic City (or, if necessary, certain replacement properties designated in the Master Transaction Agreement) (collectively, the “MTA Properties” and each, an “MTA Property”) for an aggregate purchase price of $1,823.5 million (which reflects a purchase price adjustment of $14.0 million related to Harrah’s New Orleans) (the “MTA Properties Acquisitions” and each, an “MTA Property Acquisition”). Simultaneous with the closing of each MTA Property Acquisition the Non-CPLV Lease Agreement will be amended to include such MTA Property, with (i) initial aggregate total annual rent payable to us and attributable to the MTA Properties of $154.0 million, (ii) so long as the MTA Property Acquisitions are consummated concurrent with the closing of the Eldorado/Caesars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23" w:lineRule="exact"/>
        <w:rPr>
          <w:rFonts w:ascii="Arial" w:cs="Arial" w:eastAsia="Arial" w:hAnsi="Arial"/>
          <w:sz w:val="17"/>
          <w:szCs w:val="17"/>
          <w:color w:val="auto"/>
        </w:rPr>
      </w:pPr>
    </w:p>
    <w:p>
      <w:pPr>
        <w:jc w:val="both"/>
        <w:ind w:left="720"/>
        <w:spacing w:after="0" w:line="271" w:lineRule="auto"/>
        <w:rPr>
          <w:rFonts w:ascii="Arial" w:cs="Arial" w:eastAsia="Arial" w:hAnsi="Arial"/>
          <w:sz w:val="17"/>
          <w:szCs w:val="17"/>
          <w:color w:val="auto"/>
        </w:rPr>
      </w:pPr>
      <w:r>
        <w:rPr>
          <w:rFonts w:ascii="Arial" w:cs="Arial" w:eastAsia="Arial" w:hAnsi="Arial"/>
          <w:sz w:val="17"/>
          <w:szCs w:val="17"/>
          <w:color w:val="auto"/>
        </w:rPr>
        <w:t>On September 26, 2019, we entered into the following agreements (each of which were entered into in accordance with the terms of the Master Transaction Agreement):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for a cash purchase price of $789.5 million (which reflects a purchase price adjustment of $14.0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79"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collectively with the Harrah’s New Orleans Purchase Agreement and the Harrah’s Atlantic City Purchase Agreement, the “MTA Property Purchase Agreements” and each, a “MTA Property Purchase Agreement”) pursuant to which we agreed to acquire, and Eldorado agreed to cause to be sold, all of the equity interests in a newly formed entity that will acquire the land and real property improvements associated with Harrah’s Laughlin Hotel &amp; Casino in Laughlin, Nevada for a cash purchase price of $434.8 million.</w:t>
      </w:r>
    </w:p>
    <w:p>
      <w:pPr>
        <w:spacing w:after="0" w:line="133"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are subject to conditions in addition to the consummation of the Eldorado/Caesars Merger, and are not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39" w:lineRule="exact"/>
        <w:rPr>
          <w:sz w:val="20"/>
          <w:szCs w:val="20"/>
          <w:color w:val="auto"/>
        </w:rPr>
      </w:pPr>
    </w:p>
    <w:p>
      <w:pPr>
        <w:jc w:val="both"/>
        <w:ind w:left="720" w:hanging="415"/>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Eldorado of $1,189.9 million, we and Eldorado will amend the CPLV</w:t>
      </w:r>
      <w:r>
        <w:rPr>
          <w:rFonts w:ascii="Arial" w:cs="Arial" w:eastAsia="Arial" w:hAnsi="Arial"/>
          <w:sz w:val="18"/>
          <w:szCs w:val="18"/>
          <w:i w:val="1"/>
          <w:iCs w:val="1"/>
          <w:color w:val="auto"/>
        </w:rPr>
        <w:t xml:space="preserve"> </w:t>
      </w:r>
      <w:r>
        <w:rPr>
          <w:rFonts w:ascii="Arial" w:cs="Arial" w:eastAsia="Arial" w:hAnsi="Arial"/>
          <w:sz w:val="18"/>
          <w:szCs w:val="18"/>
          <w:color w:val="auto"/>
        </w:rPr>
        <w:t>Lease Agreement to (i) increase the annual rent payable to us under the CPLV Lease Agreement by $83.5 million (the “CPLV Additional Rent Acquisition”) and (ii) provide for the amended terms described below.</w:t>
      </w:r>
    </w:p>
    <w:p>
      <w:pPr>
        <w:spacing w:after="0" w:line="127" w:lineRule="exact"/>
        <w:rPr>
          <w:rFonts w:ascii="Arial" w:cs="Arial" w:eastAsia="Arial" w:hAnsi="Arial"/>
          <w:sz w:val="18"/>
          <w:szCs w:val="18"/>
          <w:color w:val="auto"/>
        </w:rPr>
      </w:pPr>
    </w:p>
    <w:p>
      <w:pPr>
        <w:jc w:val="both"/>
        <w:ind w:left="720" w:hanging="415"/>
        <w:spacing w:after="0" w:line="291"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Eldorado of $213.8 million, we</w:t>
      </w:r>
      <w:r>
        <w:rPr>
          <w:rFonts w:ascii="Arial" w:cs="Arial" w:eastAsia="Arial" w:hAnsi="Arial"/>
          <w:sz w:val="16"/>
          <w:szCs w:val="16"/>
          <w:i w:val="1"/>
          <w:iCs w:val="1"/>
          <w:color w:val="auto"/>
        </w:rPr>
        <w:t xml:space="preserve"> </w:t>
      </w:r>
      <w:r>
        <w:rPr>
          <w:rFonts w:ascii="Arial" w:cs="Arial" w:eastAsia="Arial" w:hAnsi="Arial"/>
          <w:sz w:val="16"/>
          <w:szCs w:val="16"/>
          <w:color w:val="auto"/>
        </w:rPr>
        <w:t>and Eldorado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3" w:lineRule="exact"/>
        <w:rPr>
          <w:rFonts w:ascii="Arial" w:cs="Arial" w:eastAsia="Arial" w:hAnsi="Arial"/>
          <w:sz w:val="16"/>
          <w:szCs w:val="16"/>
          <w:color w:val="auto"/>
        </w:rPr>
      </w:pPr>
    </w:p>
    <w:p>
      <w:pPr>
        <w:jc w:val="both"/>
        <w:ind w:left="720" w:hanging="415"/>
        <w:spacing w:after="0" w:line="287"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Centaur Properties Put/Call Agreement</w:t>
      </w:r>
      <w:r>
        <w:rPr>
          <w:rFonts w:ascii="Arial" w:cs="Arial" w:eastAsia="Arial" w:hAnsi="Arial"/>
          <w:sz w:val="16"/>
          <w:szCs w:val="16"/>
          <w:color w:val="auto"/>
        </w:rPr>
        <w:t>. Affiliates of Caesars currently own two gaming facilities in Indiana - Harrah’s Hoosier Park and Indiana</w:t>
      </w:r>
      <w:r>
        <w:rPr>
          <w:rFonts w:ascii="Arial" w:cs="Arial" w:eastAsia="Arial" w:hAnsi="Arial"/>
          <w:sz w:val="16"/>
          <w:szCs w:val="16"/>
          <w:i w:val="1"/>
          <w:iCs w:val="1"/>
          <w:color w:val="auto"/>
        </w:rPr>
        <w:t xml:space="preserve"> </w:t>
      </w:r>
      <w:r>
        <w:rPr>
          <w:rFonts w:ascii="Arial" w:cs="Arial" w:eastAsia="Arial" w:hAnsi="Arial"/>
          <w:sz w:val="16"/>
          <w:szCs w:val="16"/>
          <w:color w:val="auto"/>
        </w:rPr>
        <w:t>Grand (together the “Centaur Properties”). At the closing of the Eldorado/Caesars Merger, a right of first refusal that we have with respect to the Centaur Properties will terminate and we will enter into a put/call agreement with Eldorado,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Eldorado for initial annual rent equal to the property’s trailing four quarters EBITDA at the time of acquisition divided by 1.3 (i.e., the initial annual rent will be set at 1.3x rent coverage) and (ii) Eldorado will have the right to require us to acquire the Centaur Properties at a price equal to 12.5x the initial annual rent of each facility, and to simultaneously lease back each such Centaur Property to a subsidiary of Eldorado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18" w:lineRule="exact"/>
        <w:rPr>
          <w:rFonts w:ascii="Arial" w:cs="Arial" w:eastAsia="Arial" w:hAnsi="Arial"/>
          <w:sz w:val="16"/>
          <w:szCs w:val="16"/>
          <w:color w:val="auto"/>
        </w:rPr>
      </w:pPr>
    </w:p>
    <w:p>
      <w:pPr>
        <w:jc w:val="both"/>
        <w:ind w:left="720" w:hanging="415"/>
        <w:spacing w:after="0" w:line="290"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Eldorado (the “Las Vegas ROFR”) whereby we will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right, with respect to the first two of certain specified Las Vegas Strip assets that Eldorado proposes to sell, whether pursuant to a sale leaseback or a WholeCo sale, to a third party, to acquire any such asset (it being understood that we will have the opportunity to find an operating company should Eldorado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Eldorado on any of these facilities, the leaseback will be implemented through the addition of such properties to the CPLV Lease Agreement.</w:t>
      </w:r>
    </w:p>
    <w:p>
      <w:pPr>
        <w:spacing w:after="0" w:line="112" w:lineRule="exact"/>
        <w:rPr>
          <w:rFonts w:ascii="Arial" w:cs="Arial" w:eastAsia="Arial" w:hAnsi="Arial"/>
          <w:sz w:val="16"/>
          <w:szCs w:val="16"/>
          <w:color w:val="auto"/>
        </w:rPr>
      </w:pPr>
    </w:p>
    <w:p>
      <w:pPr>
        <w:jc w:val="both"/>
        <w:ind w:left="720" w:hanging="415"/>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Horseshoe Baltimore ROFR. </w:t>
      </w:r>
      <w:r>
        <w:rPr>
          <w:rFonts w:ascii="Arial" w:cs="Arial" w:eastAsia="Arial" w:hAnsi="Arial"/>
          <w:sz w:val="18"/>
          <w:szCs w:val="18"/>
          <w:color w:val="auto"/>
        </w:rPr>
        <w:t>We and Eldorado agreed to enter into a right of first refusal agreement pursuant to which we will have the first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a sale leaseback transaction with respect to the land and real estate assets associated with the Horseshoe Baltimore gaming facility (subject to any consent required from Caesars’ joint venture partners with</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79"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respect to this asset) (the “Horseshoe Baltimore ROFR”).</w:t>
      </w:r>
    </w:p>
    <w:p>
      <w:pPr>
        <w:spacing w:after="0" w:line="171" w:lineRule="exact"/>
        <w:rPr>
          <w:sz w:val="20"/>
          <w:szCs w:val="20"/>
          <w:color w:val="auto"/>
        </w:rPr>
      </w:pPr>
    </w:p>
    <w:p>
      <w:pPr>
        <w:jc w:val="both"/>
        <w:ind w:left="720" w:hanging="415"/>
        <w:spacing w:after="0" w:line="270"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Lease Guaranties and MLSA Terminations</w:t>
      </w:r>
      <w:r>
        <w:rPr>
          <w:rFonts w:ascii="Arial" w:cs="Arial" w:eastAsia="Arial" w:hAnsi="Arial"/>
          <w:sz w:val="17"/>
          <w:szCs w:val="17"/>
          <w:color w:val="auto"/>
        </w:rPr>
        <w:t>. Eldorado will execute new guaranties (the “Eldorado Guaranties”) of the CPLV Lease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Non-CPLV 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Eldorado following the closing of the Eldorado/Caesars Merger). The Eldorado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Eldorado will terminate the Management and Lease Support Agreements with respect to the CPLV Lease Agreement, the Non-CPLV Lease Agreement and the Joliet Lease Agreement, and certain provisions currently set forth therein will be added to the respective leases, as amended, and the Eldorado Guaranties.</w:t>
      </w:r>
    </w:p>
    <w:p>
      <w:pPr>
        <w:spacing w:after="0" w:line="123" w:lineRule="exact"/>
        <w:rPr>
          <w:rFonts w:ascii="Arial" w:cs="Arial" w:eastAsia="Arial" w:hAnsi="Arial"/>
          <w:sz w:val="17"/>
          <w:szCs w:val="17"/>
          <w:color w:val="auto"/>
        </w:rPr>
      </w:pPr>
    </w:p>
    <w:p>
      <w:pPr>
        <w:jc w:val="both"/>
        <w:ind w:left="740" w:hanging="408"/>
        <w:spacing w:after="0" w:line="285" w:lineRule="auto"/>
        <w:tabs>
          <w:tab w:leader="none" w:pos="740"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Eldorado/Caesars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Eldorado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330" w:lineRule="exact"/>
        <w:rPr>
          <w:rFonts w:ascii="Arial" w:cs="Arial" w:eastAsia="Arial" w:hAnsi="Arial"/>
          <w:sz w:val="16"/>
          <w:szCs w:val="16"/>
          <w:color w:val="auto"/>
        </w:rPr>
      </w:pPr>
    </w:p>
    <w:p>
      <w:pPr>
        <w:jc w:val="both"/>
        <w:ind w:left="740" w:hanging="408"/>
        <w:spacing w:after="0" w:line="273" w:lineRule="auto"/>
        <w:tabs>
          <w:tab w:leader="none" w:pos="74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were obligated to cause the CPLV CMBS Debt to be repaid in full prior to the closing of the Eldorado/Caesars</w:t>
      </w:r>
      <w:r>
        <w:rPr>
          <w:rFonts w:ascii="Arial" w:cs="Arial" w:eastAsia="Arial" w:hAnsi="Arial"/>
          <w:sz w:val="17"/>
          <w:szCs w:val="17"/>
          <w:i w:val="1"/>
          <w:iCs w:val="1"/>
          <w:color w:val="auto"/>
        </w:rPr>
        <w:t xml:space="preserve"> </w:t>
      </w:r>
      <w:r>
        <w:rPr>
          <w:rFonts w:ascii="Arial" w:cs="Arial" w:eastAsia="Arial" w:hAnsi="Arial"/>
          <w:sz w:val="17"/>
          <w:szCs w:val="17"/>
          <w:color w:val="auto"/>
        </w:rPr>
        <w:t>Merger. Eldorado has agreed to reimburse us for 50% of our out-of-pocket costs in connection with the prepayment penalties associated with refinancing the CPLV CMBS Debt (which reimbursement obligations exist pursuant to the MTA regardless of whether the Eldorado/Caesars Merger is consummated). We repaid the CPLV CMBS Debt in full in November of 2019 resulting in a prepayment penalty of $110.8 million, $55.4 million of which will be reimbursed by Eldorado. Due to the prepayment of the CPLV CMBS Debt, we recognized a loss on extinguishment of debt of $58.1 million during the year ended December 31, 2019, the majority of which related to the prepayment penalty.</w:t>
      </w:r>
    </w:p>
    <w:p>
      <w:pPr>
        <w:spacing w:after="0" w:line="124" w:lineRule="exact"/>
        <w:rPr>
          <w:rFonts w:ascii="Arial" w:cs="Arial" w:eastAsia="Arial" w:hAnsi="Arial"/>
          <w:sz w:val="17"/>
          <w:szCs w:val="17"/>
          <w:color w:val="auto"/>
        </w:rPr>
      </w:pPr>
    </w:p>
    <w:p>
      <w:pPr>
        <w:jc w:val="both"/>
        <w:ind w:left="740" w:hanging="408"/>
        <w:spacing w:after="0" w:line="273" w:lineRule="auto"/>
        <w:tabs>
          <w:tab w:leader="none" w:pos="740" w:val="left"/>
        </w:tabs>
        <w:numPr>
          <w:ilvl w:val="1"/>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Eldorado Bridge Facility</w:t>
      </w:r>
      <w:r>
        <w:rPr>
          <w:rFonts w:ascii="Arial" w:cs="Arial" w:eastAsia="Arial" w:hAnsi="Arial"/>
          <w:sz w:val="17"/>
          <w:szCs w:val="17"/>
          <w:color w:val="auto"/>
        </w:rPr>
        <w:t>. On June 24, 2019, in connection with the Eldorado Transaction, VICI PropCo entered into a commitment letter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79"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ind w:left="740"/>
        <w:spacing w:after="0" w:line="279" w:lineRule="auto"/>
        <w:rPr>
          <w:sz w:val="20"/>
          <w:szCs w:val="20"/>
          <w:color w:val="auto"/>
        </w:rPr>
      </w:pPr>
      <w:r>
        <w:rPr>
          <w:rFonts w:ascii="Arial" w:cs="Arial" w:eastAsia="Arial" w:hAnsi="Arial"/>
          <w:sz w:val="17"/>
          <w:szCs w:val="17"/>
          <w:color w:val="auto"/>
        </w:rPr>
        <w:t>be paid pursuant to the terms of the Eldorado Transaction documents and related fees and expenses. Following the issuance of the 2026 Notes and 2029 Notes in November of 2019, the commitments under the Bridge Facility were reduced by $1.6 billion, to $3.2 billion. Following the issuance of the February 2020 Senior Secured Notes we placed $2.0 billion of the net proceeds into escrow pending the consummation of the Eldorado Transaction and the commitments under the Bridge Facility were further reduced by $2.0 billion to $1.2 billion.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Master Transaction Agreement contains customary representations, warranties and covenants by the parties to the agreement and is subject to the consummation of the Eldorado/Caesars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Eldorado/Caesars Merger Agreement and a right by us to terminate the Master Transaction Agreement in the event the closing of the transactions contemplated by the Master Transaction Agreement has not occurred by the date on which the Eldorado/Caesars Merger is required to close pursuant to the Eldorado/Caesars Merger Agreement, but in no event later than December 24, 2020.</w:t>
      </w:r>
    </w:p>
    <w:p>
      <w:pPr>
        <w:spacing w:after="0" w:line="128" w:lineRule="exact"/>
        <w:rPr>
          <w:sz w:val="20"/>
          <w:szCs w:val="20"/>
          <w:color w:val="auto"/>
        </w:rPr>
      </w:pPr>
    </w:p>
    <w:p>
      <w:pPr>
        <w:jc w:val="both"/>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If the Master Transaction Agreement is terminated by Eldorado under certain circumstances where we have a financing failure, we may be obligated to pay Eldorado a reverse termination fee of $75.0 million (the “Reverse Termination Fee”). If the amendment of the CPLV Lease Agreement is not entered into on the date on which the Eldorado/Caesars Merger closes, under certain circumstances, we may be obligated to pay Eldorado a fee of $45.0 million (the “CPLV Break Payment”), provided we will not be obligated to pay both the Reverse Termination Fee and the CPLV Break Payment. If the Eldorado/Caesars Merger does not close for any reason, under certain circumstances, Eldorado may be obligated to pay us a termination fee of $75.0 million. For more information, see </w:t>
      </w:r>
      <w:hyperlink w:anchor="page26">
        <w:r>
          <w:rPr>
            <w:rFonts w:ascii="Arial" w:cs="Arial" w:eastAsia="Arial" w:hAnsi="Arial"/>
            <w:sz w:val="18"/>
            <w:szCs w:val="18"/>
            <w:u w:val="single" w:color="auto"/>
            <w:color w:val="0000EE"/>
          </w:rPr>
          <w:t>Item 1A. “Risk Factors”</w:t>
        </w:r>
      </w:hyperlink>
      <w:r>
        <w:rPr>
          <w:rFonts w:ascii="Arial" w:cs="Arial" w:eastAsia="Arial" w:hAnsi="Arial"/>
          <w:sz w:val="18"/>
          <w:szCs w:val="18"/>
          <w:color w:val="000000"/>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 We determined that the land and building components of the Greektown Lease Agreement meet the definition of a sales-type lease and have recorded the corresponding asset, including related transaction and acquisition costs, in Investments in direct financing and sales-type leases on our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 2019, we completed the previously announced transaction to acquire the land and real estate assets of Margaritaville, located in Bossier City, Louisiana,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 We determined that the land and building components of the Margaritaville Lease Agreement meet the definition of a sales-type lease and have recorded the corresponding asset, including related transaction and acquisition costs, in Investments in direct financing and sales-type leases on our Balance Sheet.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79"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Philadelphia and Octavius Tower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26, 2018 we completed the previously announced transaction with Caesars to acquire all of the land and real estate assets associated with Harrah’s Philadelphia Casino and Racetrack (“Harrah’s Philadelphia”) from Caesars for $241.5 million, which purchase price was reduced by $159.0 million to reflect the aggregate net present value of the modifications to the Caesars Lease Agreements (as further described below), resulting in cash consideration of approximately $82.5 million. In addition, 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the CPLV Lease Agreement, which provides for annual rent with respect to Octavius Tower of $35.0 million payable in equal consecutive monthly installments and has an initial term that expires on October 31, 2032, with four five-year tenant renewal options.</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connection with the closing of the acquisition of Harrah’s Philadelphia, each of the Non-CPLV Lease Agreement and the CPLV Lease Agreement were amended to, among other things, include Harrah’s Philadelphia and Octavius Tower, respectively, and Caesars will continue to operate both properties under the terms of such leases. The amendment to the Non-CPLV Lease Agreement provided for an additional $21.0 million in annual rent for Harrah’s Philadelphia, which is subject to the amended provisions of the lease. The HLV Lease Agreement and the Joliet Lease Agreement were modified at such time to achieve consistency with the other Lease Agreements. Refer to </w:t>
      </w:r>
      <w:r>
        <w:rPr>
          <w:rFonts w:ascii="Arial" w:cs="Arial" w:eastAsia="Arial" w:hAnsi="Arial"/>
          <w:sz w:val="16"/>
          <w:szCs w:val="16"/>
          <w:u w:val="single" w:color="auto"/>
          <w:color w:val="0000EE"/>
        </w:rPr>
        <w:t>Note 5 - Real Estate Portfolio</w:t>
      </w:r>
      <w:r>
        <w:rPr>
          <w:rFonts w:ascii="Arial" w:cs="Arial" w:eastAsia="Arial" w:hAnsi="Arial"/>
          <w:sz w:val="16"/>
          <w:szCs w:val="16"/>
          <w:color w:val="auto"/>
        </w:rPr>
        <w:t xml:space="preserve"> for a summary of the terms of the modified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with Caesars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 Put/Call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we sold to Caesars approximately 18.4 acres of certain parcels located in Las Vegas, Nevada, east of Harrah’s Las Vegas, known as the Eastside Property, for $73.6 million. The Caesars Forum Convention Center is currently being constructed on the Eastside Property and is expected to be completed by the end of the first quarter of 2020.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Caesars Forum Convention Center (the “Put Right”); (ii) if Caesars exercises the Put Right and, among other things, the sale of the Caesars Forum Convention Center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Caesars Forum Convention Center. This agreement survives the closing of the Eldorado/Caesars Merger.</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land parcels, it was determined that the transaction does not meet the requirements of a completed sale for accounting purposes. As a result, at December 31, 2017, we reclassified $73.6 million from Investments in operating leases to Land and recorded a $73.6 million Deferred financing liability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Right of First Refusal Agreement</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Properties, which were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the Caesars Forum Convention Center on the Eastside Property, subject to certain exclusions.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w:t>
      </w:r>
    </w:p>
    <w:p>
      <w:pPr>
        <w:spacing w:after="0" w:line="2" w:lineRule="exact"/>
        <w:rPr>
          <w:sz w:val="20"/>
          <w:szCs w:val="20"/>
          <w:color w:val="auto"/>
        </w:rPr>
      </w:pPr>
    </w:p>
    <w:p>
      <w:pPr>
        <w:ind w:firstLine="8"/>
        <w:spacing w:after="0" w:line="261" w:lineRule="auto"/>
        <w:tabs>
          <w:tab w:leader="none" w:pos="2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transaction for which the opco/propco structure would be prohibited by applicable laws, rules or regulations or which would require governmental consent, approval, license or authorization (unless already received), (iii) any transaction structured by the seller as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79"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the Second Amended and Restated Right of First Refusal Agreement, which replaced the Amended and Restated Right of First Refusal Agreement and, among other things, provides us with the right to acquire from Caesars, under certain circumstances, certain undeveloped land adjacent to the Las Vegas Strip. Upon closing of the Eldorado/Caesars Merger, the Second Amended and Restated Right of First Refusal will be terminated and we will enter into the Las Vegas ROFR and the Horseshoe Baltimore ROFR.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Formation Date, we entered into certain call right agreements, which provide us with the opportunity to acquire Harrah’s Atlantic City, Harrah’s New Orleans and Harrah’s Laughlin from Caesars. We can exercise the call rights within 5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 As described above under “Eldorado Transaction-Acquisition of the MTA Properties,” we have entered into agreements to acquire all of the land and real estate assets associated with the MTA Properties, and the existing call right agreements will terminate, upon the earlier to occur of the closing of the corresponding MTA Property Acquisition or our obtaining specific performance or liquidated damages with respect to the relevant property in accordance with the terms of the MTA.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real estate portfolio consisted of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in direct financing and sales-type leases, representing our investment in 26 casino assets leased on a triple net basis to our tenants, Caesars, Penn National, Hard Rock and Century Casinos, under eight separate lease agreements;</w:t>
      </w:r>
    </w:p>
    <w:p>
      <w:pPr>
        <w:spacing w:after="0" w:line="11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Investments in operating leases, representing the portion of land separately classified and accounted for under the operating lease model associated with our investment in Caesars Palace Las Vegas and certain operating land parcels contained in the Non-CPLV Lease Agreement; and</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Land, representing our investment in the Eastside Property and certain non-operating, vacant land parcels contained in the Non-CPLV Lease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79"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December 31,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7"/>
                <w:szCs w:val="17"/>
                <w:color w:val="auto"/>
              </w:rPr>
            </w:pPr>
          </w:p>
        </w:tc>
        <w:tc>
          <w:tcPr>
            <w:tcW w:w="1880" w:type="dxa"/>
            <w:vAlign w:val="bottom"/>
          </w:tcPr>
          <w:p>
            <w:pPr>
              <w:jc w:val="right"/>
              <w:ind w:right="331"/>
              <w:spacing w:after="0"/>
              <w:rPr>
                <w:sz w:val="20"/>
                <w:szCs w:val="20"/>
                <w:color w:val="auto"/>
              </w:rPr>
            </w:pPr>
            <w:r>
              <w:rPr>
                <w:rFonts w:ascii="Arial" w:cs="Arial" w:eastAsia="Arial" w:hAnsi="Arial"/>
                <w:sz w:val="16"/>
                <w:szCs w:val="16"/>
                <w:b w:val="1"/>
                <w:bCs w:val="1"/>
                <w:color w:val="auto"/>
                <w:w w:val="99"/>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9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under direct financing and sales-type leases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31,460,712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27,285,943</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(unguaranteed)</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2,525,469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2,135,312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and sales-type leases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33,986,181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29,421,255</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2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42,819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(23,294,755)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(20,528,030)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Net investment in direct financing and sales-type leases</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10,734,245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8,916,047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in operating leases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1,086,658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Total Investments in leases, net</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11,820,903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10,002,705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95,789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Total Real estate portfolio</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11,915,614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10,098,494</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vMerge w:val="restart"/>
          </w:tcPr>
          <w:p>
            <w:pPr>
              <w:jc w:val="center"/>
              <w:ind w:right="173"/>
              <w:spacing w:after="0"/>
              <w:rPr>
                <w:sz w:val="20"/>
                <w:szCs w:val="20"/>
                <w:color w:val="auto"/>
              </w:rPr>
            </w:pPr>
            <w:r>
              <w:rPr>
                <w:rFonts w:ascii="Arial" w:cs="Arial" w:eastAsia="Arial" w:hAnsi="Arial"/>
                <w:sz w:val="16"/>
                <w:szCs w:val="16"/>
                <w:b w:val="1"/>
                <w:bCs w:val="1"/>
                <w:color w:val="auto"/>
                <w:w w:val="90"/>
              </w:rPr>
              <w:t>October 6, 2017 to</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7"/>
                <w:szCs w:val="17"/>
                <w:color w:val="auto"/>
              </w:rPr>
            </w:pPr>
          </w:p>
        </w:tc>
        <w:tc>
          <w:tcPr>
            <w:tcW w:w="1580" w:type="dxa"/>
            <w:vAlign w:val="bottom"/>
          </w:tcPr>
          <w:p>
            <w:pPr>
              <w:jc w:val="right"/>
              <w:ind w:right="7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771"/>
              <w:spacing w:after="0"/>
              <w:rPr>
                <w:sz w:val="20"/>
                <w:szCs w:val="20"/>
                <w:color w:val="auto"/>
              </w:rPr>
            </w:pPr>
            <w:r>
              <w:rPr>
                <w:rFonts w:ascii="Arial" w:cs="Arial" w:eastAsia="Arial" w:hAnsi="Arial"/>
                <w:sz w:val="16"/>
                <w:szCs w:val="16"/>
                <w:b w:val="1"/>
                <w:bCs w:val="1"/>
                <w:color w:val="auto"/>
                <w:w w:val="89"/>
              </w:rPr>
              <w:t>2018</w:t>
            </w:r>
          </w:p>
        </w:tc>
        <w:tc>
          <w:tcPr>
            <w:tcW w:w="360" w:type="dxa"/>
            <w:vAlign w:val="bottom"/>
          </w:tcPr>
          <w:p>
            <w:pPr>
              <w:spacing w:after="0"/>
              <w:rPr>
                <w:sz w:val="17"/>
                <w:szCs w:val="17"/>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Income from direct financing and sales-type leases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822,205</w:t>
            </w:r>
          </w:p>
        </w:tc>
        <w:tc>
          <w:tcPr>
            <w:tcW w:w="10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741,564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150,171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operating leases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43,653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47,972</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865,858</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789,536</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Direct financing and sales-type lease adjustments </w:t>
            </w:r>
            <w:r>
              <w:rPr>
                <w:rFonts w:ascii="Arial" w:cs="Arial" w:eastAsia="Arial" w:hAnsi="Arial"/>
                <w:sz w:val="25"/>
                <w:szCs w:val="25"/>
                <w:i w:val="1"/>
                <w:iCs w:val="1"/>
                <w:color w:val="auto"/>
                <w:vertAlign w:val="superscript"/>
              </w:rPr>
              <w:t>(1)</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(45,404)</w:t>
            </w:r>
          </w:p>
        </w:tc>
        <w:tc>
          <w:tcPr>
            <w:tcW w:w="3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866,097</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744,132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153,257</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0" w:firstLine="8"/>
        <w:spacing w:after="0" w:line="255" w:lineRule="auto"/>
        <w:tabs>
          <w:tab w:leader="none" w:pos="208"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and sales-type leases in order to recognize income on an effective interest basis at a constant rate of return over the term of the leases as well as the amortization of capitalized transaction and leasing costs.</w:t>
      </w:r>
    </w:p>
    <w:p>
      <w:pPr>
        <w:spacing w:after="0" w:line="1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2019, minimum lease payments owed to us for each of the five succeeding years under direct financing, sales-type and operating leases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 xml:space="preserve">Minimum Lease Payments </w:t>
            </w:r>
            <w:r>
              <w:rPr>
                <w:rFonts w:ascii="Arial" w:cs="Arial" w:eastAsia="Arial" w:hAnsi="Arial"/>
                <w:sz w:val="25"/>
                <w:szCs w:val="25"/>
                <w:i w:val="1"/>
                <w:iCs w:val="1"/>
                <w:color w:val="auto"/>
                <w:w w:val="92"/>
                <w:vertAlign w:val="superscript"/>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4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953,949</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960,374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971,004</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985,938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998,222</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28,024,506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32,893,993</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lease term, assuming the exercise of all tenant renewal options, for our direct financing, sales-type and operating leases at December 31, 2019 was 33.0 years.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79"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provisions of the Caesars Lease Agreements (which does not reflect the modifications to the Caesars Lease Agreements contemplated in connection with the closing of the Eldorado Transaction):</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90"/>
              </w:rPr>
              <w:t>(</w:t>
            </w:r>
            <w:r>
              <w:rPr>
                <w:rFonts w:ascii="Arial" w:cs="Arial" w:eastAsia="Arial" w:hAnsi="Arial"/>
                <w:sz w:val="14"/>
                <w:szCs w:val="14"/>
                <w:b w:val="1"/>
                <w:bCs w:val="1"/>
                <w:i w:val="1"/>
                <w:iCs w:val="1"/>
                <w:color w:val="auto"/>
                <w:w w:val="90"/>
              </w:rPr>
              <w:t>$ In thousands)</w:t>
            </w:r>
          </w:p>
        </w:tc>
        <w:tc>
          <w:tcPr>
            <w:tcW w:w="2640" w:type="dxa"/>
            <w:vAlign w:val="bottom"/>
            <w:gridSpan w:val="2"/>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(1)</w:t>
            </w:r>
          </w:p>
        </w:tc>
        <w:tc>
          <w:tcPr>
            <w:tcW w:w="120" w:type="dxa"/>
            <w:vAlign w:val="bottom"/>
            <w:vMerge w:val="restart"/>
          </w:tcPr>
          <w:p>
            <w:pPr>
              <w:spacing w:after="0"/>
              <w:rPr>
                <w:sz w:val="20"/>
                <w:szCs w:val="20"/>
                <w:color w:val="auto"/>
              </w:rPr>
            </w:pPr>
          </w:p>
        </w:tc>
        <w:tc>
          <w:tcPr>
            <w:tcW w:w="2620" w:type="dxa"/>
            <w:vAlign w:val="bottom"/>
            <w:gridSpan w:val="2"/>
          </w:tcPr>
          <w:p>
            <w:pPr>
              <w:ind w:left="100"/>
              <w:spacing w:after="0"/>
              <w:rPr>
                <w:sz w:val="20"/>
                <w:szCs w:val="20"/>
                <w:color w:val="auto"/>
              </w:rPr>
            </w:pPr>
            <w:r>
              <w:rPr>
                <w:rFonts w:ascii="Arial" w:cs="Arial" w:eastAsia="Arial" w:hAnsi="Arial"/>
                <w:sz w:val="16"/>
                <w:szCs w:val="16"/>
                <w:b w:val="1"/>
                <w:bCs w:val="1"/>
                <w:color w:val="auto"/>
              </w:rPr>
              <w:t>Non-CPLV Lease Agreement and</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5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Joliet Lease Agreement</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CPLV Lease Agreement</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HLV Lease Agreement</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500" w:type="dxa"/>
            <w:vAlign w:val="bottom"/>
          </w:tcPr>
          <w:p>
            <w:pPr>
              <w:ind w:left="4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(2)</w:t>
            </w: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$508,534</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$207,745</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$89,157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Escalator commencement</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500" w:type="dxa"/>
            <w:vAlign w:val="bottom"/>
          </w:tcPr>
          <w:p>
            <w:pPr>
              <w:ind w:left="4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years 2-5 - 1.5%</w:t>
            </w:r>
          </w:p>
        </w:tc>
        <w:tc>
          <w:tcPr>
            <w:tcW w:w="2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9"/>
              </w:rPr>
              <w:t>Consumer price index subject to</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2-5 - 1%</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3640" w:type="dxa"/>
            <w:vAlign w:val="bottom"/>
            <w:gridSpan w:val="3"/>
            <w:vMerge w:val="restart"/>
            <w:shd w:val="clear" w:color="auto" w:fill="CCEEFF"/>
          </w:tcPr>
          <w:p>
            <w:pPr>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(3)</w:t>
            </w:r>
          </w:p>
        </w:tc>
        <w:tc>
          <w:tcPr>
            <w:tcW w:w="2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Lease years 6-15 - Consumer</w:t>
            </w:r>
          </w:p>
        </w:tc>
        <w:tc>
          <w:tcPr>
            <w:tcW w:w="2600" w:type="dxa"/>
            <w:vAlign w:val="bottom"/>
            <w:gridSpan w:val="2"/>
            <w:vMerge w:val="continue"/>
            <w:shd w:val="clear" w:color="auto" w:fill="CCEEFF"/>
          </w:tcPr>
          <w:p>
            <w:pPr>
              <w:spacing w:after="0"/>
              <w:rPr>
                <w:sz w:val="9"/>
                <w:szCs w:val="9"/>
                <w:color w:val="auto"/>
              </w:rPr>
            </w:pPr>
          </w:p>
        </w:tc>
        <w:tc>
          <w:tcPr>
            <w:tcW w:w="2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Lease years 6-15 - Consumer</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3640" w:type="dxa"/>
            <w:vAlign w:val="bottom"/>
            <w:gridSpan w:val="3"/>
            <w:vMerge w:val="continue"/>
            <w:shd w:val="clear" w:color="auto" w:fill="CCEEFF"/>
          </w:tcPr>
          <w:p>
            <w:pPr>
              <w:spacing w:after="0"/>
              <w:rPr>
                <w:sz w:val="9"/>
                <w:szCs w:val="9"/>
                <w:color w:val="auto"/>
              </w:rPr>
            </w:pPr>
          </w:p>
        </w:tc>
        <w:tc>
          <w:tcPr>
            <w:tcW w:w="2620" w:type="dxa"/>
            <w:vAlign w:val="bottom"/>
            <w:gridSpan w:val="2"/>
            <w:vMerge w:val="continue"/>
            <w:shd w:val="clear" w:color="auto" w:fill="CCEEFF"/>
          </w:tcPr>
          <w:p>
            <w:pPr>
              <w:spacing w:after="0"/>
              <w:rPr>
                <w:sz w:val="9"/>
                <w:szCs w:val="9"/>
                <w:color w:val="auto"/>
              </w:rPr>
            </w:pPr>
          </w:p>
        </w:tc>
        <w:tc>
          <w:tcPr>
            <w:tcW w:w="2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 floor</w:t>
            </w:r>
          </w:p>
        </w:tc>
        <w:tc>
          <w:tcPr>
            <w:tcW w:w="25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price index subject to 2% floor</w:t>
            </w:r>
          </w:p>
        </w:tc>
        <w:tc>
          <w:tcPr>
            <w:tcW w:w="2600" w:type="dxa"/>
            <w:vAlign w:val="bottom"/>
            <w:gridSpan w:val="2"/>
            <w:vMerge w:val="continue"/>
            <w:shd w:val="clear" w:color="auto" w:fill="CCEEFF"/>
          </w:tcPr>
          <w:p>
            <w:pPr>
              <w:spacing w:after="0"/>
              <w:rPr>
                <w:sz w:val="10"/>
                <w:szCs w:val="10"/>
                <w:color w:val="auto"/>
              </w:rPr>
            </w:pPr>
          </w:p>
        </w:tc>
        <w:tc>
          <w:tcPr>
            <w:tcW w:w="2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price index subject to 2% floor</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20" w:type="dxa"/>
            <w:vAlign w:val="bottom"/>
            <w:gridSpan w:val="2"/>
            <w:vMerge w:val="continue"/>
            <w:shd w:val="clear" w:color="auto" w:fill="CCEEFF"/>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79" w:right="239" w:bottom="1440" w:gutter="0" w:footer="0" w:header="0"/>
        </w:sectPr>
      </w:pPr>
    </w:p>
    <w:p>
      <w:pPr>
        <w:ind w:left="40" w:right="380"/>
        <w:spacing w:after="0" w:line="322" w:lineRule="auto"/>
        <w:rPr>
          <w:sz w:val="20"/>
          <w:szCs w:val="20"/>
          <w:color w:val="auto"/>
        </w:rPr>
      </w:pPr>
      <w:r>
        <w:rPr>
          <w:rFonts w:ascii="Arial" w:cs="Arial" w:eastAsia="Arial" w:hAnsi="Arial"/>
          <w:sz w:val="16"/>
          <w:szCs w:val="16"/>
          <w:color w:val="auto"/>
        </w:rPr>
        <w:t xml:space="preserve">EBITDAR to Rent Ratio floor </w:t>
      </w:r>
      <w:r>
        <w:rPr>
          <w:rFonts w:ascii="Arial" w:cs="Arial" w:eastAsia="Arial" w:hAnsi="Arial"/>
          <w:sz w:val="22"/>
          <w:szCs w:val="22"/>
          <w:i w:val="1"/>
          <w:iCs w:val="1"/>
          <w:color w:val="auto"/>
          <w:vertAlign w:val="superscript"/>
        </w:rPr>
        <w:t>(4)</w:t>
      </w:r>
      <w:r>
        <w:rPr>
          <w:rFonts w:ascii="Arial" w:cs="Arial" w:eastAsia="Arial" w:hAnsi="Arial"/>
          <w:sz w:val="16"/>
          <w:szCs w:val="16"/>
          <w:color w:val="auto"/>
        </w:rPr>
        <w:t xml:space="preserve"> Variable Rent commencement/reset</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8"/>
              </w:rPr>
              <w:t>1.2x commencing lease year 8</w:t>
            </w:r>
          </w:p>
        </w:tc>
        <w:tc>
          <w:tcPr>
            <w:tcW w:w="2720" w:type="dxa"/>
            <w:vAlign w:val="bottom"/>
          </w:tcPr>
          <w:p>
            <w:pPr>
              <w:ind w:left="200"/>
              <w:spacing w:after="0"/>
              <w:rPr>
                <w:sz w:val="20"/>
                <w:szCs w:val="20"/>
                <w:color w:val="auto"/>
              </w:rPr>
            </w:pPr>
            <w:r>
              <w:rPr>
                <w:rFonts w:ascii="Arial" w:cs="Arial" w:eastAsia="Arial" w:hAnsi="Arial"/>
                <w:sz w:val="18"/>
                <w:szCs w:val="18"/>
                <w:color w:val="auto"/>
              </w:rPr>
              <w:t>1.7x commencing lease year 8</w:t>
            </w:r>
          </w:p>
        </w:tc>
        <w:tc>
          <w:tcPr>
            <w:tcW w:w="2520" w:type="dxa"/>
            <w:vAlign w:val="bottom"/>
          </w:tcPr>
          <w:p>
            <w:pPr>
              <w:ind w:left="100"/>
              <w:spacing w:after="0"/>
              <w:rPr>
                <w:sz w:val="20"/>
                <w:szCs w:val="20"/>
                <w:color w:val="auto"/>
              </w:rPr>
            </w:pPr>
            <w:r>
              <w:rPr>
                <w:rFonts w:ascii="Arial" w:cs="Arial" w:eastAsia="Arial" w:hAnsi="Arial"/>
                <w:sz w:val="18"/>
                <w:szCs w:val="18"/>
                <w:color w:val="auto"/>
                <w:w w:val="98"/>
              </w:rPr>
              <w:t>1.6x commencing lease year 6</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Lease years 8 and 11</w:t>
            </w:r>
          </w:p>
        </w:tc>
        <w:tc>
          <w:tcPr>
            <w:tcW w:w="2720" w:type="dxa"/>
            <w:vAlign w:val="bottom"/>
          </w:tcPr>
          <w:p>
            <w:pPr>
              <w:ind w:left="200"/>
              <w:spacing w:after="0"/>
              <w:rPr>
                <w:sz w:val="20"/>
                <w:szCs w:val="20"/>
                <w:color w:val="auto"/>
              </w:rPr>
            </w:pPr>
            <w:r>
              <w:rPr>
                <w:rFonts w:ascii="Arial" w:cs="Arial" w:eastAsia="Arial" w:hAnsi="Arial"/>
                <w:sz w:val="18"/>
                <w:szCs w:val="18"/>
                <w:color w:val="auto"/>
              </w:rPr>
              <w:t>Lease years 8 and 11</w:t>
            </w:r>
          </w:p>
        </w:tc>
        <w:tc>
          <w:tcPr>
            <w:tcW w:w="2520" w:type="dxa"/>
            <w:vAlign w:val="bottom"/>
          </w:tcPr>
          <w:p>
            <w:pPr>
              <w:ind w:left="100"/>
              <w:spacing w:after="0"/>
              <w:rPr>
                <w:sz w:val="20"/>
                <w:szCs w:val="20"/>
                <w:color w:val="auto"/>
              </w:rPr>
            </w:pPr>
            <w:r>
              <w:rPr>
                <w:rFonts w:ascii="Arial" w:cs="Arial" w:eastAsia="Arial" w:hAnsi="Arial"/>
                <w:sz w:val="18"/>
                <w:szCs w:val="18"/>
                <w:color w:val="auto"/>
              </w:rPr>
              <w:t>Lease years 8 and 11</w:t>
            </w:r>
          </w:p>
        </w:tc>
      </w:tr>
      <w:tr>
        <w:trPr>
          <w:trHeight w:val="256"/>
        </w:trPr>
        <w:tc>
          <w:tcPr>
            <w:tcW w:w="2420" w:type="dxa"/>
            <w:vAlign w:val="bottom"/>
          </w:tcPr>
          <w:p>
            <w:pPr>
              <w:spacing w:after="0"/>
              <w:rPr>
                <w:sz w:val="20"/>
                <w:szCs w:val="20"/>
                <w:color w:val="auto"/>
              </w:rPr>
            </w:pPr>
            <w:r>
              <w:rPr>
                <w:rFonts w:ascii="Arial" w:cs="Arial" w:eastAsia="Arial" w:hAnsi="Arial"/>
                <w:sz w:val="18"/>
                <w:szCs w:val="18"/>
                <w:color w:val="auto"/>
              </w:rPr>
              <w:t>Lease years 8-10 - 70% Base</w:t>
            </w:r>
          </w:p>
        </w:tc>
        <w:tc>
          <w:tcPr>
            <w:tcW w:w="272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Rent and 30% Variable Rent</w:t>
            </w:r>
          </w:p>
        </w:tc>
        <w:tc>
          <w:tcPr>
            <w:tcW w:w="2720" w:type="dxa"/>
            <w:vAlign w:val="bottom"/>
          </w:tcPr>
          <w:p>
            <w:pPr>
              <w:ind w:left="200"/>
              <w:spacing w:after="0"/>
              <w:rPr>
                <w:sz w:val="20"/>
                <w:szCs w:val="20"/>
                <w:color w:val="auto"/>
              </w:rPr>
            </w:pPr>
            <w:r>
              <w:rPr>
                <w:rFonts w:ascii="Arial" w:cs="Arial" w:eastAsia="Arial" w:hAnsi="Arial"/>
                <w:sz w:val="18"/>
                <w:szCs w:val="18"/>
                <w:color w:val="auto"/>
                <w:w w:val="91"/>
              </w:rPr>
              <w:t>80% Base Rent and 20% Variable</w:t>
            </w:r>
          </w:p>
        </w:tc>
        <w:tc>
          <w:tcPr>
            <w:tcW w:w="2520" w:type="dxa"/>
            <w:vAlign w:val="bottom"/>
          </w:tcPr>
          <w:p>
            <w:pPr>
              <w:ind w:left="100"/>
              <w:spacing w:after="0"/>
              <w:rPr>
                <w:sz w:val="20"/>
                <w:szCs w:val="20"/>
                <w:color w:val="auto"/>
              </w:rPr>
            </w:pPr>
            <w:r>
              <w:rPr>
                <w:rFonts w:ascii="Arial" w:cs="Arial" w:eastAsia="Arial" w:hAnsi="Arial"/>
                <w:sz w:val="18"/>
                <w:szCs w:val="18"/>
                <w:color w:val="auto"/>
                <w:w w:val="88"/>
              </w:rPr>
              <w:t>80% Base Rent and 20% Variable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9"/>
              </w:rPr>
              <w:t>Lease years 11-15- 80% Base</w:t>
            </w:r>
          </w:p>
        </w:tc>
        <w:tc>
          <w:tcPr>
            <w:tcW w:w="2720" w:type="dxa"/>
            <w:vAlign w:val="bottom"/>
          </w:tcPr>
          <w:p>
            <w:pPr>
              <w:ind w:left="200"/>
              <w:spacing w:after="0"/>
              <w:rPr>
                <w:sz w:val="20"/>
                <w:szCs w:val="20"/>
                <w:color w:val="auto"/>
              </w:rPr>
            </w:pPr>
            <w:r>
              <w:rPr>
                <w:rFonts w:ascii="Arial" w:cs="Arial" w:eastAsia="Arial" w:hAnsi="Arial"/>
                <w:sz w:val="18"/>
                <w:szCs w:val="18"/>
                <w:color w:val="auto"/>
              </w:rPr>
              <w:t>Rent</w:t>
            </w:r>
          </w:p>
        </w:tc>
        <w:tc>
          <w:tcPr>
            <w:tcW w:w="2520" w:type="dxa"/>
            <w:vAlign w:val="bottom"/>
          </w:tcPr>
          <w:p>
            <w:pPr>
              <w:ind w:left="100"/>
              <w:spacing w:after="0"/>
              <w:rPr>
                <w:sz w:val="20"/>
                <w:szCs w:val="20"/>
                <w:color w:val="auto"/>
              </w:rPr>
            </w:pPr>
            <w:r>
              <w:rPr>
                <w:rFonts w:ascii="Arial" w:cs="Arial" w:eastAsia="Arial" w:hAnsi="Arial"/>
                <w:sz w:val="18"/>
                <w:szCs w:val="18"/>
                <w:color w:val="auto"/>
              </w:rPr>
              <w:t>Rent</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Rent and 20% Variable Rent</w:t>
            </w:r>
          </w:p>
        </w:tc>
        <w:tc>
          <w:tcPr>
            <w:tcW w:w="272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-736600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2980" w:space="720"/>
            <w:col w:w="772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(5)</w:t>
            </w:r>
          </w:p>
        </w:tc>
        <w:tc>
          <w:tcPr>
            <w:tcW w:w="22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4%</w:t>
            </w:r>
          </w:p>
        </w:tc>
        <w:tc>
          <w:tcPr>
            <w:tcW w:w="26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4%</w:t>
            </w:r>
          </w:p>
        </w:tc>
        <w:tc>
          <w:tcPr>
            <w:tcW w:w="3640" w:type="dxa"/>
            <w:vAlign w:val="bottom"/>
            <w:shd w:val="clear" w:color="auto" w:fill="CCEEFF"/>
          </w:tcPr>
          <w:p>
            <w:pPr>
              <w:jc w:val="right"/>
              <w:ind w:right="2130"/>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____________________</w:t>
            </w:r>
          </w:p>
        </w:tc>
        <w:tc>
          <w:tcPr>
            <w:tcW w:w="2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ind w:left="220" w:hanging="212"/>
        <w:spacing w:after="0"/>
        <w:tabs>
          <w:tab w:leader="none" w:pos="2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7"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Non-CPLV Lease Agreement, Joliet Lease Agreement and CPLV Lease Agreement, the amount represents the current annual base rent payable for the current lease year which is the period from November 1, 2019 through October 31, 2020. In relation to the HLV Lease Agreement the amount represents current annual base rent payable for the current lease year which is the period from January 1, 2020 through December 31,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9"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2019 and 2018.</w:t>
      </w:r>
    </w:p>
    <w:p>
      <w:pPr>
        <w:jc w:val="both"/>
        <w:ind w:firstLine="8"/>
        <w:spacing w:after="0" w:line="241" w:lineRule="auto"/>
        <w:tabs>
          <w:tab w:leader="none" w:pos="21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 The coverage floors, which coverage floors serve to reduce the rent escalators under the Caesars Lease Agreements in the event that the “EBITDAR to Rent Ratio” coverage is below the stated floor, will be removed upon execution of the amendments to the Caesars Lease Agreements in connection with the closing of the Eldorado Transaction.</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25"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Net Revenues, as defined in the Caesars Lease Agreements, multiplied by the Variable Rent percentage.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79"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provisions of the Penn National Lease Agreements:</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60" w:lineRule="exact"/>
        <w:rPr>
          <w:sz w:val="20"/>
          <w:szCs w:val="20"/>
          <w:color w:val="auto"/>
        </w:rPr>
      </w:pPr>
    </w:p>
    <w:p>
      <w:pPr>
        <w:ind w:left="40"/>
        <w:spacing w:after="0"/>
        <w:tabs>
          <w:tab w:leader="none" w:pos="4360" w:val="left"/>
          <w:tab w:leader="none" w:pos="846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Renewal terms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i w:val="1"/>
          <w:iCs w:val="1"/>
          <w:color w:val="auto"/>
          <w:vertAlign w:val="superscript"/>
        </w:rPr>
        <w:t>(1)</w:t>
      </w:r>
    </w:p>
    <w:p>
      <w:pPr>
        <w:ind w:left="180"/>
        <w:spacing w:after="0"/>
        <w:rPr>
          <w:sz w:val="20"/>
          <w:szCs w:val="20"/>
          <w:color w:val="auto"/>
        </w:rPr>
      </w:pPr>
      <w:r>
        <w:rPr>
          <w:rFonts w:ascii="Arial" w:cs="Arial" w:eastAsia="Arial" w:hAnsi="Arial"/>
          <w:sz w:val="18"/>
          <w:szCs w:val="18"/>
          <w:color w:val="auto"/>
        </w:rPr>
        <w:t>Escalation commencement</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Escalation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Performance to rent ratio floor </w:t>
      </w:r>
      <w:r>
        <w:rPr>
          <w:rFonts w:ascii="Arial" w:cs="Arial" w:eastAsia="Arial" w:hAnsi="Arial"/>
          <w:sz w:val="22"/>
          <w:szCs w:val="22"/>
          <w:i w:val="1"/>
          <w:iCs w:val="1"/>
          <w:color w:val="auto"/>
          <w:vertAlign w:val="superscript"/>
        </w:rPr>
        <w:t>(2)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5"/>
          <w:szCs w:val="25"/>
          <w:color w:val="auto"/>
          <w:vertAlign w:val="superscript"/>
        </w:rPr>
        <w:t>(3)</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Percentage rent multiplier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15 years</w:t>
      </w:r>
      <w:r>
        <w:rPr>
          <w:sz w:val="20"/>
          <w:szCs w:val="20"/>
          <w:color w:val="auto"/>
        </w:rPr>
        <w:tab/>
      </w:r>
      <w:r>
        <w:rPr>
          <w:rFonts w:ascii="Arial" w:cs="Arial" w:eastAsia="Arial" w:hAnsi="Arial"/>
          <w:sz w:val="15"/>
          <w:szCs w:val="15"/>
          <w:color w:val="auto"/>
        </w:rPr>
        <w:t>15 years</w:t>
      </w:r>
    </w:p>
    <w:p>
      <w:pPr>
        <w:spacing w:after="0" w:line="6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Four, five-year terms</w:t>
      </w:r>
      <w:r>
        <w:rPr>
          <w:sz w:val="20"/>
          <w:szCs w:val="20"/>
          <w:color w:val="auto"/>
        </w:rPr>
        <w:tab/>
      </w:r>
      <w:r>
        <w:rPr>
          <w:rFonts w:ascii="Arial" w:cs="Arial" w:eastAsia="Arial" w:hAnsi="Arial"/>
          <w:sz w:val="16"/>
          <w:szCs w:val="16"/>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$23,544</w:t>
      </w:r>
      <w:r>
        <w:rPr>
          <w:sz w:val="20"/>
          <w:szCs w:val="20"/>
          <w:color w:val="auto"/>
        </w:rPr>
        <w:tab/>
      </w:r>
      <w:r>
        <w:rPr>
          <w:rFonts w:ascii="Arial" w:cs="Arial" w:eastAsia="Arial" w:hAnsi="Arial"/>
          <w:sz w:val="16"/>
          <w:szCs w:val="16"/>
          <w:color w:val="auto"/>
        </w:rPr>
        <w:t>$55,600</w:t>
      </w:r>
    </w:p>
    <w:p>
      <w:pPr>
        <w:spacing w:after="0" w:line="6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Lease year two</w:t>
      </w:r>
      <w:r>
        <w:rPr>
          <w:sz w:val="20"/>
          <w:szCs w:val="20"/>
          <w:color w:val="auto"/>
        </w:rPr>
        <w:tab/>
      </w:r>
      <w:r>
        <w:rPr>
          <w:rFonts w:ascii="Arial" w:cs="Arial" w:eastAsia="Arial" w:hAnsi="Arial"/>
          <w:sz w:val="15"/>
          <w:szCs w:val="15"/>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31750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2% of Building base rent, subject to the net revenue</w:t>
      </w:r>
      <w:r>
        <w:rPr>
          <w:sz w:val="20"/>
          <w:szCs w:val="20"/>
          <w:color w:val="auto"/>
        </w:rPr>
        <w:tab/>
      </w:r>
      <w:r>
        <w:rPr>
          <w:rFonts w:ascii="Arial" w:cs="Arial" w:eastAsia="Arial" w:hAnsi="Arial"/>
          <w:sz w:val="16"/>
          <w:szCs w:val="16"/>
          <w:color w:val="auto"/>
        </w:rPr>
        <w:t>2% of Building base rent, subject to the EBITDAR</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to rent ratio floor</w:t>
      </w:r>
      <w:r>
        <w:rPr>
          <w:sz w:val="20"/>
          <w:szCs w:val="20"/>
          <w:color w:val="auto"/>
        </w:rPr>
        <w:tab/>
      </w:r>
      <w:r>
        <w:rPr>
          <w:rFonts w:ascii="Arial" w:cs="Arial" w:eastAsia="Arial" w:hAnsi="Arial"/>
          <w:sz w:val="16"/>
          <w:szCs w:val="16"/>
          <w:color w:val="auto"/>
        </w:rPr>
        <w:t>to rent ratio floor</w:t>
      </w:r>
    </w:p>
    <w:p>
      <w:pPr>
        <w:spacing w:after="0" w:line="4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6.1x net revenue commencing lease year two</w:t>
      </w:r>
      <w:r>
        <w:rPr>
          <w:sz w:val="20"/>
          <w:szCs w:val="20"/>
          <w:color w:val="auto"/>
        </w:rPr>
        <w:tab/>
      </w:r>
      <w:r>
        <w:rPr>
          <w:rFonts w:ascii="Arial" w:cs="Arial" w:eastAsia="Arial" w:hAnsi="Arial"/>
          <w:sz w:val="16"/>
          <w:szCs w:val="16"/>
          <w:color w:val="auto"/>
        </w:rPr>
        <w:t>1.85x EBITDAR commencing 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$3,000 (fixed for lease year one and two)</w:t>
      </w:r>
      <w:r>
        <w:rPr>
          <w:sz w:val="20"/>
          <w:szCs w:val="20"/>
          <w:color w:val="auto"/>
        </w:rPr>
        <w:tab/>
      </w:r>
      <w:r>
        <w:rPr>
          <w:rFonts w:ascii="Arial" w:cs="Arial" w:eastAsia="Arial" w:hAnsi="Arial"/>
          <w:sz w:val="16"/>
          <w:szCs w:val="16"/>
          <w:color w:val="auto"/>
        </w:rPr>
        <w:t>$6,400 (fixed for lease year one and two)</w:t>
      </w:r>
    </w:p>
    <w:p>
      <w:pPr>
        <w:spacing w:after="0" w:line="6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Lease year three and each and every other lease year</w:t>
      </w:r>
      <w:r>
        <w:rPr>
          <w:sz w:val="20"/>
          <w:szCs w:val="20"/>
          <w:color w:val="auto"/>
        </w:rPr>
        <w:tab/>
      </w:r>
      <w:r>
        <w:rPr>
          <w:rFonts w:ascii="Arial" w:cs="Arial" w:eastAsia="Arial" w:hAnsi="Arial"/>
          <w:sz w:val="15"/>
          <w:szCs w:val="15"/>
          <w:color w:val="auto"/>
        </w:rPr>
        <w:t>Lease year three and each and every other lease year</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22860</wp:posOffset>
            </wp:positionV>
            <wp:extent cx="7246620" cy="720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6">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The product of (i) 4% and (ii) the excess (if any) of</w:t>
      </w:r>
      <w:r>
        <w:rPr>
          <w:sz w:val="20"/>
          <w:szCs w:val="20"/>
          <w:color w:val="auto"/>
        </w:rPr>
        <w:tab/>
      </w:r>
      <w:r>
        <w:rPr>
          <w:rFonts w:ascii="Arial" w:cs="Arial" w:eastAsia="Arial" w:hAnsi="Arial"/>
          <w:sz w:val="16"/>
          <w:szCs w:val="16"/>
          <w:color w:val="auto"/>
        </w:rPr>
        <w:t>The product of (i) 4% and (ii) the excess (if any) of</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(a) the average annual net revenue of a trailing two-</w:t>
      </w:r>
      <w:r>
        <w:rPr>
          <w:sz w:val="20"/>
          <w:szCs w:val="20"/>
          <w:color w:val="auto"/>
        </w:rPr>
        <w:tab/>
      </w:r>
      <w:r>
        <w:rPr>
          <w:rFonts w:ascii="Arial" w:cs="Arial" w:eastAsia="Arial" w:hAnsi="Arial"/>
          <w:sz w:val="16"/>
          <w:szCs w:val="16"/>
          <w:color w:val="auto"/>
        </w:rPr>
        <w:t>(a) the average annual net revenue of a trailing two-</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year period preceding such reset year over (b) a</w:t>
      </w:r>
      <w:r>
        <w:rPr>
          <w:sz w:val="20"/>
          <w:szCs w:val="20"/>
          <w:color w:val="auto"/>
        </w:rPr>
        <w:tab/>
      </w:r>
      <w:r>
        <w:rPr>
          <w:rFonts w:ascii="Arial" w:cs="Arial" w:eastAsia="Arial" w:hAnsi="Arial"/>
          <w:sz w:val="16"/>
          <w:szCs w:val="16"/>
          <w:color w:val="auto"/>
        </w:rPr>
        <w:t>year period preceding such reset year over (b) a</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threshold amount (defined as 50% of LTM net</w:t>
      </w:r>
      <w:r>
        <w:rPr>
          <w:sz w:val="20"/>
          <w:szCs w:val="20"/>
          <w:color w:val="auto"/>
        </w:rPr>
        <w:tab/>
      </w:r>
      <w:r>
        <w:rPr>
          <w:rFonts w:ascii="Arial" w:cs="Arial" w:eastAsia="Arial" w:hAnsi="Arial"/>
          <w:sz w:val="16"/>
          <w:szCs w:val="16"/>
          <w:color w:val="auto"/>
        </w:rPr>
        <w:t>threshold amount (defined as 50% of LTM net</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245" w:lineRule="exact"/>
        <w:rPr>
          <w:sz w:val="20"/>
          <w:szCs w:val="20"/>
          <w:color w:val="auto"/>
        </w:rPr>
      </w:pPr>
    </w:p>
    <w:p>
      <w:pPr>
        <w:sectPr>
          <w:pgSz w:w="11900" w:h="16838" w:orient="portrait"/>
          <w:cols w:equalWidth="0" w:num="2">
            <w:col w:w="2860" w:space="720"/>
            <w:col w:w="7840"/>
          </w:cols>
          <w:pgMar w:left="240" w:top="179" w:right="239" w:bottom="1440" w:gutter="0" w:footer="0" w:header="0"/>
          <w:type w:val="continuous"/>
        </w:sectPr>
      </w:pPr>
    </w:p>
    <w:p>
      <w:pPr>
        <w:jc w:val="both"/>
        <w:ind w:firstLine="8"/>
        <w:spacing w:after="0" w:line="241" w:lineRule="auto"/>
        <w:tabs>
          <w:tab w:leader="none" w:pos="207"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2020 through January 31, 2021. In relation to the Greektown Lease Agreement, the amount represents current annual base rent payable for the current lease year which is the period from May 23, 2019 through May 31, 2020.</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5"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2020 the performance basis of such ratio was adjusted from a 1.9x EBITDAR ratio to a 6.1x net revenue ratio. In the event that the net revenue or EBITDAR to rent ratio coverage is below the stated floor, the escalation will be reduced to such amount to achieve the stated net revenue or EBITDAR to rent ratio coverage, provided that the amount shall never result in a decrease to the prior year’s rent. In relation to the Greektown Lease Agreement, the EBITDAR to rent ratio floor is conditioned upon obtaining a favorable private letter ruling from the Internal Revenue Service.</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27"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No such rent has been recognized for the years ended December 31, 2019 and 2018.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79"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Hard Rock Cincinnati Lease Agreement: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40" w:type="dxa"/>
            <w:vAlign w:val="bottom"/>
            <w:gridSpan w:val="2"/>
          </w:tcPr>
          <w:p>
            <w:pPr>
              <w:spacing w:after="0"/>
              <w:rPr>
                <w:sz w:val="14"/>
                <w:szCs w:val="14"/>
                <w:color w:val="auto"/>
              </w:rPr>
            </w:pPr>
          </w:p>
        </w:tc>
        <w:tc>
          <w:tcPr>
            <w:tcW w:w="776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760" w:type="dxa"/>
            <w:vAlign w:val="bottom"/>
          </w:tcPr>
          <w:p>
            <w:pPr>
              <w:ind w:left="370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760" w:type="dxa"/>
            <w:vAlign w:val="bottom"/>
          </w:tcPr>
          <w:p>
            <w:pPr>
              <w:ind w:left="4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(1)</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$42,750</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Escalator commencement</w:t>
            </w:r>
          </w:p>
        </w:tc>
        <w:tc>
          <w:tcPr>
            <w:tcW w:w="7760" w:type="dxa"/>
            <w:vAlign w:val="bottom"/>
          </w:tcPr>
          <w:p>
            <w:pPr>
              <w:ind w:left="40"/>
              <w:spacing w:after="0"/>
              <w:rPr>
                <w:sz w:val="20"/>
                <w:szCs w:val="20"/>
                <w:color w:val="auto"/>
              </w:rPr>
            </w:pPr>
            <w:r>
              <w:rPr>
                <w:rFonts w:ascii="Arial" w:cs="Arial" w:eastAsia="Arial" w:hAnsi="Arial"/>
                <w:sz w:val="18"/>
                <w:szCs w:val="18"/>
                <w:color w:val="auto"/>
              </w:rPr>
              <w:t>Lease year two</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2-4 - 1.5%</w:t>
            </w:r>
          </w:p>
        </w:tc>
      </w:tr>
      <w:tr>
        <w:trPr>
          <w:trHeight w:val="216"/>
        </w:trPr>
        <w:tc>
          <w:tcPr>
            <w:tcW w:w="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Lease years 5-15 - The greater of 2% or the change in consumer price index (“CPI”) unless the change in</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CPI is less than 0.5%, in which case there is no escalation in rent for such lease year</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760" w:type="dxa"/>
            <w:vAlign w:val="bottom"/>
          </w:tcPr>
          <w:p>
            <w:pPr>
              <w:ind w:left="40"/>
              <w:spacing w:after="0"/>
              <w:rPr>
                <w:sz w:val="20"/>
                <w:szCs w:val="20"/>
                <w:color w:val="auto"/>
              </w:rPr>
            </w:pPr>
            <w:r>
              <w:rPr>
                <w:rFonts w:ascii="Arial" w:cs="Arial" w:eastAsia="Arial" w:hAnsi="Arial"/>
                <w:sz w:val="18"/>
                <w:szCs w:val="18"/>
                <w:color w:val="auto"/>
              </w:rPr>
              <w:t>Lease year 8</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80% Base Rent and 20% Variable Rent</w:t>
            </w:r>
          </w:p>
        </w:tc>
      </w:tr>
      <w:tr>
        <w:trPr>
          <w:trHeight w:val="272"/>
        </w:trPr>
        <w:tc>
          <w:tcPr>
            <w:tcW w:w="40" w:type="dxa"/>
            <w:vAlign w:val="bottom"/>
          </w:tcPr>
          <w:p>
            <w:pPr>
              <w:spacing w:after="0"/>
              <w:rPr>
                <w:sz w:val="23"/>
                <w:szCs w:val="23"/>
                <w:color w:val="auto"/>
              </w:rPr>
            </w:pPr>
          </w:p>
        </w:tc>
        <w:tc>
          <w:tcPr>
            <w:tcW w:w="3620" w:type="dxa"/>
            <w:vAlign w:val="bottom"/>
            <w:gridSpan w:val="3"/>
          </w:tcPr>
          <w:p>
            <w:pPr>
              <w:spacing w:after="0" w:line="271"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tc>
        <w:tc>
          <w:tcPr>
            <w:tcW w:w="7760" w:type="dxa"/>
            <w:vAlign w:val="bottom"/>
          </w:tcPr>
          <w:p>
            <w:pPr>
              <w:ind w:left="40"/>
              <w:spacing w:after="0"/>
              <w:rPr>
                <w:sz w:val="20"/>
                <w:szCs w:val="20"/>
                <w:color w:val="auto"/>
              </w:rPr>
            </w:pPr>
            <w:r>
              <w:rPr>
                <w:rFonts w:ascii="Arial" w:cs="Arial" w:eastAsia="Arial" w:hAnsi="Arial"/>
                <w:sz w:val="18"/>
                <w:szCs w:val="18"/>
                <w:color w:val="auto"/>
              </w:rPr>
              <w:t>4%</w:t>
            </w:r>
          </w:p>
        </w:tc>
      </w:tr>
    </w:tbl>
    <w:p>
      <w:pPr>
        <w:spacing w:after="0"/>
        <w:rPr>
          <w:sz w:val="20"/>
          <w:szCs w:val="20"/>
          <w:color w:val="auto"/>
        </w:rPr>
      </w:pPr>
      <w:r>
        <w:rPr>
          <w:rFonts w:ascii="Arial" w:cs="Arial" w:eastAsia="Arial" w:hAnsi="Arial"/>
          <w:sz w:val="18"/>
          <w:szCs w:val="18"/>
          <w:color w:val="auto"/>
        </w:rPr>
        <w:t>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(1)The amount represents the current annual base rent payable for the current lease year which is the period from September 20, 2019 through September 30, 2020.</w:t>
      </w:r>
    </w:p>
    <w:p>
      <w:pPr>
        <w:spacing w:after="0" w:line="1" w:lineRule="exact"/>
        <w:rPr>
          <w:sz w:val="20"/>
          <w:szCs w:val="20"/>
          <w:color w:val="auto"/>
        </w:rPr>
      </w:pPr>
    </w:p>
    <w:p>
      <w:pPr>
        <w:ind w:firstLine="8"/>
        <w:spacing w:after="0" w:line="241" w:lineRule="auto"/>
        <w:tabs>
          <w:tab w:leader="none" w:pos="219"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2019 and 2018.</w:t>
      </w:r>
    </w:p>
    <w:p>
      <w:pPr>
        <w:ind w:firstLine="8"/>
        <w:spacing w:after="0" w:line="255" w:lineRule="auto"/>
        <w:tabs>
          <w:tab w:leader="none" w:pos="206"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Century Portfolio Lease Agreement:</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60" w:lineRule="exact"/>
        <w:rPr>
          <w:sz w:val="20"/>
          <w:szCs w:val="20"/>
          <w:color w:val="auto"/>
        </w:rPr>
      </w:pPr>
    </w:p>
    <w:p>
      <w:pPr>
        <w:ind w:left="40"/>
        <w:spacing w:after="0"/>
        <w:tabs>
          <w:tab w:leader="none" w:pos="73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Renewal terms</w:t>
      </w:r>
    </w:p>
    <w:p>
      <w:pPr>
        <w:spacing w:after="0" w:line="63" w:lineRule="exact"/>
        <w:rPr>
          <w:sz w:val="20"/>
          <w:szCs w:val="20"/>
          <w:color w:val="auto"/>
        </w:rPr>
      </w:pPr>
    </w:p>
    <w:p>
      <w:pPr>
        <w:ind w:left="180" w:right="960" w:hanging="134"/>
        <w:spacing w:after="0" w:line="360" w:lineRule="auto"/>
        <w:rPr>
          <w:sz w:val="20"/>
          <w:szCs w:val="20"/>
          <w:color w:val="auto"/>
        </w:rPr>
      </w:pPr>
      <w:r>
        <w:rPr>
          <w:rFonts w:ascii="Arial" w:cs="Arial" w:eastAsia="Arial" w:hAnsi="Arial"/>
          <w:sz w:val="15"/>
          <w:szCs w:val="15"/>
          <w:color w:val="auto"/>
        </w:rPr>
        <w:t xml:space="preserve">Current annual rent </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Escalator commencement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revenue to rent ratio floor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rent commencement/reset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p>
      <w:pPr>
        <w:ind w:left="40"/>
        <w:spacing w:after="0" w:line="202" w:lineRule="auto"/>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$25,000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Lease years 2-3 - 1.0%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 years 4-15 - The greater of 1.25% or the change in consumer price index (“CPI”)</w:t>
      </w:r>
    </w:p>
    <w:p>
      <w:pPr>
        <w:spacing w:after="0" w:line="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-1905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 8 and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80% Base Rent and 20% Variable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60" w:lineRule="exact"/>
        <w:rPr>
          <w:sz w:val="20"/>
          <w:szCs w:val="20"/>
          <w:color w:val="auto"/>
        </w:rPr>
      </w:pPr>
    </w:p>
    <w:p>
      <w:pPr>
        <w:sectPr>
          <w:pgSz w:w="11900" w:h="16838" w:orient="portrait"/>
          <w:cols w:equalWidth="0" w:num="2">
            <w:col w:w="2980" w:space="720"/>
            <w:col w:w="7720"/>
          </w:cols>
          <w:pgMar w:left="240" w:top="179"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(1)The amount represents the current annual base rent payable for the current lease year which is the period from December 6, 2019 through December 31, 2020.</w:t>
      </w:r>
    </w:p>
    <w:p>
      <w:pPr>
        <w:spacing w:after="0" w:line="1" w:lineRule="exact"/>
        <w:rPr>
          <w:sz w:val="20"/>
          <w:szCs w:val="20"/>
          <w:color w:val="auto"/>
        </w:rPr>
      </w:pPr>
    </w:p>
    <w:p>
      <w:pPr>
        <w:ind w:firstLine="8"/>
        <w:spacing w:after="0" w:line="241" w:lineRule="auto"/>
        <w:tabs>
          <w:tab w:leader="none" w:pos="219"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2019 and 2018.</w:t>
      </w:r>
    </w:p>
    <w:p>
      <w:pPr>
        <w:jc w:val="both"/>
        <w:ind w:firstLine="8"/>
        <w:spacing w:after="0" w:line="248" w:lineRule="auto"/>
        <w:tabs>
          <w:tab w:leader="none" w:pos="209"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multiplied by the Variable rent percentage.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79"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year end, on January 24, 2020, we completed the previously announced JACK Cleveland/Thistledown Acquisition. The following is a summary of the material lease provisions of our lease with a subsidiary of JACK Entertainment which commenced on January 24, 2020, the date of acquisition:</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40" w:type="dxa"/>
            <w:vAlign w:val="bottom"/>
            <w:gridSpan w:val="2"/>
          </w:tcPr>
          <w:p>
            <w:pPr>
              <w:spacing w:after="0"/>
              <w:rPr>
                <w:sz w:val="14"/>
                <w:szCs w:val="14"/>
                <w:color w:val="auto"/>
              </w:rPr>
            </w:pPr>
          </w:p>
        </w:tc>
        <w:tc>
          <w:tcPr>
            <w:tcW w:w="776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760" w:type="dxa"/>
            <w:vAlign w:val="bottom"/>
          </w:tcPr>
          <w:p>
            <w:pPr>
              <w:ind w:left="370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760" w:type="dxa"/>
            <w:vAlign w:val="bottom"/>
          </w:tcPr>
          <w:p>
            <w:pPr>
              <w:ind w:left="4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5"/>
                <w:szCs w:val="25"/>
                <w:color w:val="auto"/>
                <w:vertAlign w:val="superscript"/>
              </w:rPr>
              <w:t>(1)</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$65,880</w:t>
            </w:r>
          </w:p>
        </w:tc>
      </w:tr>
      <w:tr>
        <w:trPr>
          <w:trHeight w:val="243"/>
        </w:trPr>
        <w:tc>
          <w:tcPr>
            <w:tcW w:w="40" w:type="dxa"/>
            <w:vAlign w:val="bottom"/>
          </w:tcPr>
          <w:p>
            <w:pPr>
              <w:spacing w:after="0"/>
              <w:rPr>
                <w:sz w:val="21"/>
                <w:szCs w:val="21"/>
                <w:color w:val="auto"/>
              </w:rPr>
            </w:pPr>
          </w:p>
        </w:tc>
        <w:tc>
          <w:tcPr>
            <w:tcW w:w="3620" w:type="dxa"/>
            <w:vAlign w:val="bottom"/>
            <w:gridSpan w:val="3"/>
          </w:tcPr>
          <w:p>
            <w:pPr>
              <w:ind w:left="140"/>
              <w:spacing w:after="0"/>
              <w:rPr>
                <w:sz w:val="20"/>
                <w:szCs w:val="20"/>
                <w:color w:val="auto"/>
              </w:rPr>
            </w:pPr>
            <w:r>
              <w:rPr>
                <w:rFonts w:ascii="Arial" w:cs="Arial" w:eastAsia="Arial" w:hAnsi="Arial"/>
                <w:sz w:val="18"/>
                <w:szCs w:val="18"/>
                <w:color w:val="auto"/>
              </w:rPr>
              <w:t>Escalator commencement</w:t>
            </w:r>
          </w:p>
        </w:tc>
        <w:tc>
          <w:tcPr>
            <w:tcW w:w="7760" w:type="dxa"/>
            <w:vAlign w:val="bottom"/>
          </w:tcPr>
          <w:p>
            <w:pPr>
              <w:ind w:left="40"/>
              <w:spacing w:after="0"/>
              <w:rPr>
                <w:sz w:val="20"/>
                <w:szCs w:val="20"/>
                <w:color w:val="auto"/>
              </w:rPr>
            </w:pPr>
            <w:r>
              <w:rPr>
                <w:rFonts w:ascii="Arial" w:cs="Arial" w:eastAsia="Arial" w:hAnsi="Arial"/>
                <w:sz w:val="18"/>
                <w:szCs w:val="18"/>
                <w:color w:val="auto"/>
              </w:rPr>
              <w:t>Lease year two</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2-3 - 1.0%</w:t>
            </w:r>
          </w:p>
        </w:tc>
      </w:tr>
      <w:tr>
        <w:trPr>
          <w:trHeight w:val="216"/>
        </w:trPr>
        <w:tc>
          <w:tcPr>
            <w:tcW w:w="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4-6 - 1.5%</w:t>
            </w:r>
          </w:p>
        </w:tc>
      </w:tr>
      <w:tr>
        <w:trPr>
          <w:trHeight w:val="230"/>
        </w:trPr>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Lease Years 7-15 - The greater of 1.5% or the change in consumer price index (“CPI”) capped at 2.5%</w:t>
            </w: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revenue to rent ratio floor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rent commencement/reset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p>
      <w:pPr>
        <w:ind w:left="40"/>
        <w:spacing w:after="0" w:line="202" w:lineRule="auto"/>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4.9x in any lease year (commencing in lease year 5) - if the coverage ratio is below the stated amount, there is no escalation in rent for such lease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-1905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 8 and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80% Base Rent and 20% Variable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60" w:lineRule="exact"/>
        <w:rPr>
          <w:sz w:val="20"/>
          <w:szCs w:val="20"/>
          <w:color w:val="auto"/>
        </w:rPr>
      </w:pPr>
    </w:p>
    <w:p>
      <w:pPr>
        <w:sectPr>
          <w:pgSz w:w="11900" w:h="16838" w:orient="portrait"/>
          <w:cols w:equalWidth="0" w:num="2">
            <w:col w:w="2980" w:space="720"/>
            <w:col w:w="7720"/>
          </w:cols>
          <w:pgMar w:left="240" w:top="179"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(1)The amount represents the current annual base rent payable for the current lease year which is the period from January 24, 2020 through January 31, 2021.</w:t>
      </w:r>
    </w:p>
    <w:p>
      <w:pPr>
        <w:spacing w:after="0" w:line="1"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w:t>
      </w:r>
    </w:p>
    <w:p>
      <w:pPr>
        <w:spacing w:after="0" w:line="1" w:lineRule="exact"/>
        <w:rPr>
          <w:rFonts w:ascii="Arial" w:cs="Arial" w:eastAsia="Arial" w:hAnsi="Arial"/>
          <w:sz w:val="14"/>
          <w:szCs w:val="14"/>
          <w:i w:val="1"/>
          <w:iCs w:val="1"/>
          <w:color w:val="auto"/>
        </w:rPr>
      </w:pPr>
    </w:p>
    <w:p>
      <w:pPr>
        <w:jc w:val="both"/>
        <w:ind w:firstLine="8"/>
        <w:spacing w:after="0" w:line="248" w:lineRule="auto"/>
        <w:tabs>
          <w:tab w:leader="none" w:pos="209"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multiplied by the Variable rent percentage.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summarizes the capital expenditure requirements of the respective tenants under the Caesars Lease Agreements (which does not reflect the modifications to the Caesars Lease Agreements contemplated in connection with the closing of the Eldorado Transaction, including the inclusion of the Harrah’s New Orleans, Harrah’s Atlantic City and Harrah’s Laughlin properties in the Non-CPLV Lease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Non-CPLV Lease Agreement and</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vMerge w:val="continue"/>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Joliet Lease Agreement</w:t>
            </w:r>
          </w:p>
        </w:tc>
        <w:tc>
          <w:tcPr>
            <w:tcW w:w="2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CPLV Lease Agreement</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3"/>
              </w:rPr>
              <w:t>HLV Lease Agreement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26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5"/>
                <w:szCs w:val="25"/>
                <w:color w:val="auto"/>
                <w:w w:val="87"/>
                <w:vertAlign w:val="superscript"/>
              </w:rPr>
              <w:t>(1)</w:t>
            </w:r>
          </w:p>
        </w:tc>
        <w:tc>
          <w:tcPr>
            <w:tcW w:w="2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5"/>
                <w:szCs w:val="25"/>
                <w:color w:val="auto"/>
                <w:w w:val="87"/>
                <w:vertAlign w:val="superscript"/>
              </w:rPr>
              <w:t>(1)</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 of net revenues commencing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vMerge w:val="continue"/>
            <w:shd w:val="clear" w:color="auto" w:fill="CCEEFF"/>
          </w:tcPr>
          <w:p>
            <w:pPr>
              <w:spacing w:after="0"/>
              <w:rPr>
                <w:sz w:val="15"/>
                <w:szCs w:val="15"/>
                <w:color w:val="auto"/>
              </w:rPr>
            </w:pPr>
          </w:p>
        </w:tc>
        <w:tc>
          <w:tcPr>
            <w:tcW w:w="2640" w:type="dxa"/>
            <w:vAlign w:val="bottom"/>
            <w:gridSpan w:val="2"/>
            <w:vMerge w:val="continue"/>
            <w:shd w:val="clear" w:color="auto" w:fill="CCEEFF"/>
          </w:tcPr>
          <w:p>
            <w:pPr>
              <w:spacing w:after="0"/>
              <w:rPr>
                <w:sz w:val="15"/>
                <w:szCs w:val="15"/>
                <w:color w:val="auto"/>
              </w:rPr>
            </w:pPr>
          </w:p>
        </w:tc>
        <w:tc>
          <w:tcPr>
            <w:tcW w:w="2620" w:type="dxa"/>
            <w:vAlign w:val="bottom"/>
            <w:gridSpan w:val="2"/>
            <w:vMerge w:val="continue"/>
            <w:shd w:val="clear" w:color="auto" w:fill="CCEEFF"/>
          </w:tcPr>
          <w:p>
            <w:pPr>
              <w:spacing w:after="0"/>
              <w:rPr>
                <w:sz w:val="15"/>
                <w:szCs w:val="15"/>
                <w:color w:val="auto"/>
              </w:rPr>
            </w:pPr>
          </w:p>
        </w:tc>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in 2022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5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5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5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5"/>
                <w:szCs w:val="25"/>
                <w:color w:val="auto"/>
                <w:vertAlign w:val="superscript"/>
              </w:rPr>
              <w:t>(2)</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$255 million</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$84 million</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Initial minimum capital expenditure</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$171 million (2017 - 2021)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right="20" w:firstLine="8"/>
        <w:spacing w:after="0" w:line="250" w:lineRule="auto"/>
        <w:tabs>
          <w:tab w:leader="none" w:pos="222"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 requires a $100 million floor on annual capital expenditures for CPLV, Joliet and Non-CPLV in the aggregate. Additionally, annual building &amp; improvement capital improvements must be equal to or greater than 1% of prior year net revenues.</w:t>
      </w:r>
    </w:p>
    <w:p>
      <w:pPr>
        <w:jc w:val="both"/>
        <w:ind w:firstLine="8"/>
        <w:spacing w:after="0" w:line="276" w:lineRule="auto"/>
        <w:tabs>
          <w:tab w:leader="none" w:pos="206" w:val="left"/>
        </w:tabs>
        <w:numPr>
          <w:ilvl w:val="0"/>
          <w:numId w:val="59"/>
        </w:numPr>
        <w:rPr>
          <w:rFonts w:ascii="Arial" w:cs="Arial" w:eastAsia="Arial" w:hAnsi="Arial"/>
          <w:sz w:val="13"/>
          <w:szCs w:val="13"/>
          <w:i w:val="1"/>
          <w:iCs w:val="1"/>
          <w:color w:val="auto"/>
        </w:rPr>
      </w:pPr>
      <w:r>
        <w:rPr>
          <w:rFonts w:ascii="Arial" w:cs="Arial" w:eastAsia="Arial" w:hAnsi="Arial"/>
          <w:sz w:val="13"/>
          <w:szCs w:val="13"/>
          <w:i w:val="1"/>
          <w:iCs w:val="1"/>
          <w:color w:val="auto"/>
        </w:rPr>
        <w:t>CEOC is required to spend $350 million on capital expenditures (excluding gaming equipment) over a rolling three-year period, with $255 million allocated to Non-CPLV, $84 million allocated to CPLV and the remaining balance of $11 million to facilities covered by any Formation Lease Agreement in such proportion as CEOC may elect. Additionally, CEOC is required to expend a minimum of $495 million on capital expenditures (including gaming equipment) across certain of its affiliates and other assets, together with the $350 million requirement.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79"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capital expenditure requirements of Penn National, Hard Rock, Century Casinos and JACK Entertainment under the Penn National Lease Agreements, Hard Rock Cincinnati Lease Agreement, Century Portfolio Lease Agreement and JACK Cleveland/Thistledown Lease Agreement, respectively:</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Provision</w:t>
      </w: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Yearly minimum expenditure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 National Lease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Agreements</w:t>
      </w:r>
    </w:p>
    <w:p>
      <w:pPr>
        <w:spacing w:after="0" w:line="200" w:lineRule="exact"/>
        <w:rPr>
          <w:sz w:val="20"/>
          <w:szCs w:val="20"/>
          <w:color w:val="auto"/>
        </w:rPr>
      </w:pPr>
    </w:p>
    <w:p>
      <w:pPr>
        <w:spacing w:after="0" w:line="202" w:lineRule="exact"/>
        <w:rPr>
          <w:sz w:val="20"/>
          <w:szCs w:val="20"/>
          <w:color w:val="auto"/>
        </w:rPr>
      </w:pPr>
    </w:p>
    <w:p>
      <w:pPr>
        <w:ind w:left="20" w:hanging="8"/>
        <w:spacing w:after="0" w:line="381" w:lineRule="auto"/>
        <w:rPr>
          <w:sz w:val="20"/>
          <w:szCs w:val="20"/>
          <w:color w:val="auto"/>
        </w:rPr>
      </w:pPr>
      <w:r>
        <w:rPr>
          <w:rFonts w:ascii="Arial" w:cs="Arial" w:eastAsia="Arial" w:hAnsi="Arial"/>
          <w:sz w:val="15"/>
          <w:szCs w:val="15"/>
          <w:color w:val="auto"/>
        </w:rPr>
        <w:t>1% of net revenues based on rolling four-year basis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JACK</w:t>
            </w:r>
          </w:p>
        </w:tc>
        <w:tc>
          <w:tcPr>
            <w:tcW w:w="0" w:type="dxa"/>
            <w:vAlign w:val="bottom"/>
          </w:tcPr>
          <w:p>
            <w:pPr>
              <w:spacing w:after="0"/>
              <w:rPr>
                <w:sz w:val="1"/>
                <w:szCs w:val="1"/>
                <w:color w:val="auto"/>
              </w:rPr>
            </w:pPr>
          </w:p>
        </w:tc>
      </w:tr>
      <w:tr>
        <w:trPr>
          <w:trHeight w:val="203"/>
        </w:trPr>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Hard Rock Cincinnati</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Century Portfolio Lease</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Cleveland/Thistledown</w:t>
            </w:r>
          </w:p>
        </w:tc>
        <w:tc>
          <w:tcPr>
            <w:tcW w:w="0" w:type="dxa"/>
            <w:vAlign w:val="bottom"/>
          </w:tcPr>
          <w:p>
            <w:pPr>
              <w:spacing w:after="0"/>
              <w:rPr>
                <w:sz w:val="1"/>
                <w:szCs w:val="1"/>
                <w:color w:val="auto"/>
              </w:rPr>
            </w:pPr>
          </w:p>
        </w:tc>
      </w:tr>
      <w:tr>
        <w:trPr>
          <w:trHeight w:val="210"/>
        </w:trPr>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Lease Agreement</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Agreement</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Initial minimum of $30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1% of net gaming</w:t>
            </w:r>
          </w:p>
        </w:tc>
        <w:tc>
          <w:tcPr>
            <w:tcW w:w="1940" w:type="dxa"/>
            <w:vAlign w:val="bottom"/>
          </w:tcPr>
          <w:p>
            <w:pPr>
              <w:jc w:val="center"/>
              <w:spacing w:after="0" w:line="216" w:lineRule="exact"/>
              <w:rPr>
                <w:sz w:val="20"/>
                <w:szCs w:val="20"/>
                <w:color w:val="auto"/>
              </w:rPr>
            </w:pPr>
            <w:r>
              <w:rPr>
                <w:rFonts w:ascii="Arial" w:cs="Arial" w:eastAsia="Arial" w:hAnsi="Arial"/>
                <w:sz w:val="18"/>
                <w:szCs w:val="18"/>
                <w:color w:val="auto"/>
                <w:w w:val="94"/>
              </w:rPr>
              <w:t xml:space="preserve">million </w:t>
            </w:r>
            <w:r>
              <w:rPr>
                <w:rFonts w:ascii="Arial" w:cs="Arial" w:eastAsia="Arial" w:hAnsi="Arial"/>
                <w:sz w:val="25"/>
                <w:szCs w:val="25"/>
                <w:color w:val="auto"/>
                <w:w w:val="94"/>
                <w:vertAlign w:val="superscript"/>
              </w:rPr>
              <w:t>(2)</w:t>
            </w:r>
          </w:p>
        </w:tc>
        <w:tc>
          <w:tcPr>
            <w:tcW w:w="0" w:type="dxa"/>
            <w:vAlign w:val="bottom"/>
          </w:tcPr>
          <w:p>
            <w:pPr>
              <w:spacing w:after="0"/>
              <w:rPr>
                <w:sz w:val="1"/>
                <w:szCs w:val="1"/>
                <w:color w:val="auto"/>
              </w:rPr>
            </w:pPr>
          </w:p>
        </w:tc>
      </w:tr>
      <w:tr>
        <w:trPr>
          <w:trHeight w:val="108"/>
        </w:trPr>
        <w:tc>
          <w:tcPr>
            <w:tcW w:w="20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2040" w:type="dxa"/>
            <w:vAlign w:val="bottom"/>
            <w:gridSpan w:val="2"/>
            <w:vMerge w:val="continue"/>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1"/>
              </w:rPr>
              <w:t>Thereafter - 1% of net</w:t>
            </w:r>
          </w:p>
        </w:tc>
        <w:tc>
          <w:tcPr>
            <w:tcW w:w="0" w:type="dxa"/>
            <w:vAlign w:val="bottom"/>
          </w:tcPr>
          <w:p>
            <w:pPr>
              <w:spacing w:after="0"/>
              <w:rPr>
                <w:sz w:val="1"/>
                <w:szCs w:val="1"/>
                <w:color w:val="auto"/>
              </w:rPr>
            </w:pPr>
          </w:p>
        </w:tc>
      </w:tr>
      <w:tr>
        <w:trPr>
          <w:trHeight w:val="108"/>
        </w:trPr>
        <w:tc>
          <w:tcPr>
            <w:tcW w:w="2040" w:type="dxa"/>
            <w:vAlign w:val="bottom"/>
            <w:gridSpan w:val="2"/>
            <w:vMerge w:val="continue"/>
          </w:tcPr>
          <w:p>
            <w:pPr>
              <w:spacing w:after="0"/>
              <w:rPr>
                <w:sz w:val="9"/>
                <w:szCs w:val="9"/>
                <w:color w:val="auto"/>
              </w:rPr>
            </w:pPr>
          </w:p>
        </w:tc>
        <w:tc>
          <w:tcPr>
            <w:tcW w:w="2040" w:type="dxa"/>
            <w:vAlign w:val="bottom"/>
            <w:gridSpan w:val="2"/>
            <w:vMerge w:val="restart"/>
          </w:tcPr>
          <w:p>
            <w:pPr>
              <w:jc w:val="center"/>
              <w:ind w:right="80"/>
              <w:spacing w:after="0" w:line="284" w:lineRule="exact"/>
              <w:rPr>
                <w:sz w:val="20"/>
                <w:szCs w:val="20"/>
                <w:color w:val="auto"/>
              </w:rPr>
            </w:pPr>
            <w:r>
              <w:rPr>
                <w:rFonts w:ascii="Arial" w:cs="Arial" w:eastAsia="Arial" w:hAnsi="Arial"/>
                <w:sz w:val="18"/>
                <w:szCs w:val="18"/>
                <w:color w:val="auto"/>
                <w:w w:val="84"/>
              </w:rPr>
              <w:t xml:space="preserve">revenues </w:t>
            </w:r>
            <w:r>
              <w:rPr>
                <w:rFonts w:ascii="Arial" w:cs="Arial" w:eastAsia="Arial" w:hAnsi="Arial"/>
                <w:sz w:val="25"/>
                <w:szCs w:val="25"/>
                <w:color w:val="auto"/>
                <w:w w:val="84"/>
                <w:vertAlign w:val="superscript"/>
              </w:rPr>
              <w:t>(1)</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0"/>
              </w:rPr>
              <w:t>revenues on a rolling</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three-year basis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-711200</wp:posOffset>
            </wp:positionV>
            <wp:extent cx="7246620" cy="728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4">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3">
            <w:col w:w="2660" w:space="720"/>
            <w:col w:w="1840" w:space="180"/>
            <w:col w:w="6020"/>
          </w:cols>
          <w:pgMar w:left="240" w:top="179" w:right="239" w:bottom="1440" w:gutter="0" w:footer="0" w:header="0"/>
          <w:type w:val="continuous"/>
        </w:sectPr>
      </w:pPr>
    </w:p>
    <w:p>
      <w:pPr>
        <w:ind w:left="220" w:hanging="212"/>
        <w:spacing w:after="0"/>
        <w:tabs>
          <w:tab w:leader="none" w:pos="2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Formation Date, CEOC transferred certain vacant, non-operating land parcels to us which are subject to the provisions of the Non-CPLV Lease. The Non-CPLV Lease allows for the sale of these vacant, non-operating land parcels without Caesars’ consent since they are specifically identified as de minimis to the operations of Caesars. All of the land parcels are located outside of Las Vegas and none of the land parcels are a component of the operations of our regional property portfolio. These vacant parcels of land had a fair value of $34.7 million on the Formation Date and were included in Investments in operating leases on our Balance Sheet.</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quarter ended September 30, 2018 we undertook a short-term strategic initiative to monetize certain of these vacant, non-operating land parcels. In relation to this initiative, we sold one land parcel in the quarter ended September 30, 2018 and had price indications on two other parcels of land. Based on the sales prices and price indications, we determined that the fair value of these three land parcels was lower than their current carrying values and recognized an impairment charge of $6.3 million, based on the anticipated sales prices. As a result of the identified impairment on these three parcels of land, we undertook an evaluation to assess whether indicators of impairment were present on the remaining vacant, non-operating land parcels. We used a sales comparison approach to determine the fair value of the remaining vacant, non-operating land parcels and identified $6.0 million in additional impairment charges. The impairment loss recorded was the result of various factors including changes in market conditions, strategic assessment and environmental and zoning issues that were identified during the sales process. Taking into account the impairment charge recognized in the quarter ended September 30, 2018 and the sale of one of the parcels that occurred during such quarter, the current carrying value of the vacant, non-operating land parcels is $21.1 million as of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71,513</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60,111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Right of 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Debt financing costs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6,190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acquisition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7,062</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3,060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1,253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Tenant receivable for property taxes</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25,586</w:t>
            </w:r>
          </w:p>
        </w:tc>
      </w:tr>
      <w:tr>
        <w:trPr>
          <w:trHeight w:val="257"/>
        </w:trPr>
        <w:tc>
          <w:tcPr>
            <w:tcW w:w="40" w:type="dxa"/>
            <w:vAlign w:val="bottom"/>
          </w:tcPr>
          <w:p>
            <w:pPr>
              <w:spacing w:after="0"/>
              <w:rPr>
                <w:sz w:val="22"/>
                <w:szCs w:val="22"/>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other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188,638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115,550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- 31</w:t>
      </w:r>
    </w:p>
    <w:p>
      <w:pPr>
        <w:sectPr>
          <w:pgSz w:w="11900" w:h="16838" w:orient="portrait"/>
          <w:cols w:equalWidth="0" w:num="1">
            <w:col w:w="11420"/>
          </w:cols>
          <w:pgMar w:left="240" w:top="179"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December 31, 2019 and 2018:</w:t>
      </w:r>
    </w:p>
    <w:p>
      <w:pPr>
        <w:sectPr>
          <w:pgSz w:w="11900" w:h="16838" w:orient="portrait"/>
          <w:cols w:equalWidth="0" w:num="1">
            <w:col w:w="11420"/>
          </w:cols>
          <w:pgMar w:left="240" w:top="179" w:right="239" w:bottom="1440" w:gutter="0" w:footer="0" w:header="0"/>
        </w:sect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40" w:right="560" w:firstLine="243"/>
        <w:spacing w:after="0" w:line="328" w:lineRule="auto"/>
        <w:rPr>
          <w:sz w:val="20"/>
          <w:szCs w:val="20"/>
          <w:color w:val="auto"/>
        </w:rPr>
      </w:pPr>
      <w:r>
        <w:rPr>
          <w:rFonts w:ascii="Arial" w:cs="Arial" w:eastAsia="Arial" w:hAnsi="Arial"/>
          <w:sz w:val="18"/>
          <w:szCs w:val="18"/>
          <w:color w:val="auto"/>
        </w:rPr>
        <w:t>Total property and equipment used in operations Less: accumulated depreciation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property and equipment used in operations,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18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December 31, 2018</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59,346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58,573</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14,805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14,572</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4,523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78,674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75,950</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(8,268)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70,406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71,513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320" w:type="dxa"/>
            <w:vAlign w:val="bottom"/>
            <w:gridSpan w:val="5"/>
            <w:vMerge w:val="restart"/>
          </w:tcPr>
          <w:p>
            <w:pPr>
              <w:ind w:left="12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24"/>
                <w:szCs w:val="24"/>
                <w:color w:val="auto"/>
              </w:rPr>
            </w:pPr>
          </w:p>
        </w:tc>
        <w:tc>
          <w:tcPr>
            <w:tcW w:w="184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32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vMerge w:val="restart"/>
          </w:tcPr>
          <w:p>
            <w:pPr>
              <w:jc w:val="center"/>
              <w:ind w:right="134"/>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160" w:type="dxa"/>
            <w:vAlign w:val="bottom"/>
          </w:tcPr>
          <w:p>
            <w:pPr>
              <w:jc w:val="right"/>
              <w:ind w:right="894"/>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800" w:type="dxa"/>
            <w:vAlign w:val="bottom"/>
          </w:tcPr>
          <w:p>
            <w:pPr>
              <w:jc w:val="right"/>
              <w:ind w:right="75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-1667510</wp:posOffset>
            </wp:positionV>
            <wp:extent cx="72294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-1316355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-964565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20955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320" w:space="720"/>
            <w:col w:w="6380"/>
          </w:cols>
          <w:pgMar w:left="240" w:top="179" w:right="239" w:bottom="1440" w:gutter="0" w:footer="0" w:header="0"/>
          <w:type w:val="continuous"/>
        </w:sectPr>
      </w:pPr>
    </w:p>
    <w:p>
      <w:pPr>
        <w:ind w:left="40"/>
        <w:spacing w:after="0"/>
        <w:tabs>
          <w:tab w:leader="none" w:pos="5040" w:val="left"/>
          <w:tab w:leader="none" w:pos="6560" w:val="left"/>
          <w:tab w:leader="none" w:pos="7220" w:val="left"/>
          <w:tab w:leader="none" w:pos="8720" w:val="left"/>
          <w:tab w:leader="none" w:pos="9380" w:val="left"/>
          <w:tab w:leader="none" w:pos="1102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3,831</w:t>
        <w:tab/>
        <w:t>$</w:t>
      </w:r>
      <w:r>
        <w:rPr>
          <w:sz w:val="20"/>
          <w:szCs w:val="20"/>
          <w:color w:val="auto"/>
        </w:rPr>
        <w:tab/>
      </w:r>
      <w:r>
        <w:rPr>
          <w:rFonts w:ascii="Arial" w:cs="Arial" w:eastAsia="Arial" w:hAnsi="Arial"/>
          <w:sz w:val="18"/>
          <w:szCs w:val="18"/>
          <w:color w:val="auto"/>
        </w:rPr>
        <w:t>3,686</w:t>
        <w:tab/>
        <w:t>$</w:t>
      </w:r>
      <w:r>
        <w:rPr>
          <w:sz w:val="20"/>
          <w:szCs w:val="20"/>
          <w:color w:val="auto"/>
        </w:rPr>
        <w:tab/>
      </w:r>
      <w:r>
        <w:rPr>
          <w:rFonts w:ascii="Arial" w:cs="Arial" w:eastAsia="Arial" w:hAnsi="Arial"/>
          <w:sz w:val="16"/>
          <w:szCs w:val="16"/>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563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December 31,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22,124</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26,426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30,951</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4,934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1,057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123,918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62,406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December 31,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Arial" w:cs="Arial" w:eastAsia="Arial" w:hAnsi="Arial"/>
                <w:sz w:val="16"/>
                <w:szCs w:val="16"/>
                <w:b w:val="1"/>
                <w:bCs w:val="1"/>
                <w:color w:val="auto"/>
              </w:rPr>
              <w:t>Carrying</w:t>
            </w:r>
          </w:p>
        </w:tc>
      </w:tr>
      <w:tr>
        <w:trPr>
          <w:trHeight w:val="244"/>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220" w:type="dxa"/>
            <w:vAlign w:val="bottom"/>
          </w:tcPr>
          <w:p>
            <w:pPr>
              <w:spacing w:after="0"/>
              <w:rPr>
                <w:sz w:val="21"/>
                <w:szCs w:val="21"/>
                <w:color w:val="auto"/>
              </w:rPr>
            </w:pPr>
          </w:p>
        </w:tc>
        <w:tc>
          <w:tcPr>
            <w:tcW w:w="1040" w:type="dxa"/>
            <w:vAlign w:val="bottom"/>
          </w:tcPr>
          <w:p>
            <w:pPr>
              <w:jc w:val="right"/>
              <w:ind w:right="272"/>
              <w:spacing w:after="0" w:line="244"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5"/>
                <w:szCs w:val="25"/>
                <w:i w:val="1"/>
                <w:iCs w:val="1"/>
                <w:color w:val="auto"/>
                <w:vertAlign w:val="superscript"/>
              </w:rPr>
              <w:t>(1)</w:t>
            </w:r>
          </w:p>
        </w:tc>
      </w:tr>
      <w:tr>
        <w:trPr>
          <w:trHeight w:val="244"/>
        </w:trPr>
        <w:tc>
          <w:tcPr>
            <w:tcW w:w="64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i w:val="1"/>
                <w:iCs w:val="1"/>
                <w:color w:val="auto"/>
                <w:vertAlign w:val="superscript"/>
              </w:rPr>
              <w:t>(2)</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Term Loan B Facility</w:t>
            </w:r>
            <w:r>
              <w:rPr>
                <w:rFonts w:ascii="Arial" w:cs="Arial" w:eastAsia="Arial" w:hAnsi="Arial"/>
                <w:sz w:val="25"/>
                <w:szCs w:val="25"/>
                <w:i w:val="1"/>
                <w:iCs w:val="1"/>
                <w:color w:val="auto"/>
                <w:vertAlign w:val="superscript"/>
              </w:rPr>
              <w:t>(3)</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2,076,962</w:t>
            </w: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Second Lien Notes</w:t>
            </w:r>
            <w:r>
              <w:rPr>
                <w:rFonts w:ascii="Arial" w:cs="Arial" w:eastAsia="Arial" w:hAnsi="Arial"/>
                <w:sz w:val="25"/>
                <w:szCs w:val="25"/>
                <w:i w:val="1"/>
                <w:iCs w:val="1"/>
                <w:color w:val="auto"/>
                <w:vertAlign w:val="superscript"/>
              </w:rPr>
              <w:t>(4)</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498,480</w:t>
            </w: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November 2019 Senior Unsecured Notes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2026 Notes</w:t>
            </w:r>
            <w:r>
              <w:rPr>
                <w:rFonts w:ascii="Arial" w:cs="Arial" w:eastAsia="Arial" w:hAnsi="Arial"/>
                <w:sz w:val="25"/>
                <w:szCs w:val="25"/>
                <w:i w:val="1"/>
                <w:iCs w:val="1"/>
                <w:color w:val="auto"/>
                <w:vertAlign w:val="superscript"/>
              </w:rPr>
              <w:t>(5)</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1,231,227</w:t>
            </w: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2029 Notes</w:t>
            </w:r>
            <w:r>
              <w:rPr>
                <w:rFonts w:ascii="Arial" w:cs="Arial" w:eastAsia="Arial" w:hAnsi="Arial"/>
                <w:sz w:val="25"/>
                <w:szCs w:val="25"/>
                <w:i w:val="1"/>
                <w:iCs w:val="1"/>
                <w:color w:val="auto"/>
                <w:vertAlign w:val="superscript"/>
              </w:rPr>
              <w:t>(5)</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2029</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984,894</w:t>
            </w:r>
          </w:p>
        </w:tc>
      </w:tr>
      <w:tr>
        <w:trPr>
          <w:trHeight w:val="25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4,848,480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4,791,563</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- 32</w:t>
      </w:r>
    </w:p>
    <w:p>
      <w:pPr>
        <w:sectPr>
          <w:pgSz w:w="11900" w:h="16838" w:orient="portrait"/>
          <w:cols w:equalWidth="0" w:num="1">
            <w:col w:w="11420"/>
          </w:cols>
          <w:pgMar w:left="240" w:top="179"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44"/>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220" w:type="dxa"/>
            <w:vAlign w:val="bottom"/>
          </w:tcPr>
          <w:p>
            <w:pPr>
              <w:spacing w:after="0"/>
              <w:rPr>
                <w:sz w:val="21"/>
                <w:szCs w:val="21"/>
                <w:color w:val="auto"/>
              </w:rPr>
            </w:pPr>
          </w:p>
        </w:tc>
        <w:tc>
          <w:tcPr>
            <w:tcW w:w="1040" w:type="dxa"/>
            <w:vAlign w:val="bottom"/>
          </w:tcPr>
          <w:p>
            <w:pPr>
              <w:jc w:val="right"/>
              <w:ind w:right="273"/>
              <w:spacing w:after="0" w:line="244"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5"/>
                <w:szCs w:val="25"/>
                <w:i w:val="1"/>
                <w:iCs w:val="1"/>
                <w:color w:val="auto"/>
                <w:vertAlign w:val="superscript"/>
              </w:rPr>
              <w:t>(1)</w:t>
            </w:r>
          </w:p>
        </w:tc>
        <w:tc>
          <w:tcPr>
            <w:tcW w:w="0" w:type="dxa"/>
            <w:vAlign w:val="bottom"/>
          </w:tcPr>
          <w:p>
            <w:pPr>
              <w:spacing w:after="0"/>
              <w:rPr>
                <w:sz w:val="1"/>
                <w:szCs w:val="1"/>
                <w:color w:val="auto"/>
              </w:rPr>
            </w:pPr>
          </w:p>
        </w:tc>
      </w:tr>
      <w:tr>
        <w:trPr>
          <w:trHeight w:val="244"/>
        </w:trPr>
        <w:tc>
          <w:tcPr>
            <w:tcW w:w="64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i w:val="1"/>
                <w:iCs w:val="1"/>
                <w:color w:val="auto"/>
                <w:vertAlign w:val="superscript"/>
              </w:rPr>
              <w:t>(2)</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Term Loan B Facility</w:t>
            </w:r>
            <w:r>
              <w:rPr>
                <w:rFonts w:ascii="Arial" w:cs="Arial" w:eastAsia="Arial" w:hAnsi="Arial"/>
                <w:sz w:val="25"/>
                <w:szCs w:val="25"/>
                <w:i w:val="1"/>
                <w:iCs w:val="1"/>
                <w:color w:val="auto"/>
                <w:vertAlign w:val="superscript"/>
              </w:rPr>
              <w:t>(3)</w:t>
            </w:r>
          </w:p>
        </w:tc>
        <w:tc>
          <w:tcPr>
            <w:tcW w:w="10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 + 2.00%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2,073,784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Second Lien Notes</w:t>
            </w:r>
            <w:r>
              <w:rPr>
                <w:rFonts w:ascii="Arial" w:cs="Arial" w:eastAsia="Arial" w:hAnsi="Arial"/>
                <w:sz w:val="25"/>
                <w:szCs w:val="25"/>
                <w:i w:val="1"/>
                <w:iCs w:val="1"/>
                <w:color w:val="auto"/>
                <w:vertAlign w:val="superscript"/>
              </w:rPr>
              <w:t>(4)</w:t>
            </w: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360" w:type="dxa"/>
            <w:vAlign w:val="bottom"/>
            <w:tcBorders>
              <w:bottom w:val="single" w:sz="8" w:color="CCEEFF"/>
            </w:tcBorders>
            <w:gridSpan w:val="2"/>
          </w:tcPr>
          <w:p>
            <w:pPr>
              <w:ind w:left="1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(6)</w:t>
            </w:r>
          </w:p>
        </w:tc>
        <w:tc>
          <w:tcPr>
            <w:tcW w:w="1040" w:type="dxa"/>
            <w:vAlign w:val="bottom"/>
            <w:tcBorders>
              <w:bottom w:val="single" w:sz="8" w:color="CCEEFF"/>
            </w:tcBorders>
          </w:tcPr>
          <w:p>
            <w:pPr>
              <w:jc w:val="center"/>
              <w:ind w:left="73"/>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4,148,480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4,122,264</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original issue discount and unamortized debt issuance costs incurred in conjunction with debt.</w:t>
      </w:r>
    </w:p>
    <w:p>
      <w:pPr>
        <w:spacing w:after="0" w:line="13" w:lineRule="exact"/>
        <w:rPr>
          <w:rFonts w:ascii="Arial" w:cs="Arial" w:eastAsia="Arial" w:hAnsi="Arial"/>
          <w:sz w:val="14"/>
          <w:szCs w:val="14"/>
          <w:i w:val="1"/>
          <w:iCs w:val="1"/>
          <w:color w:val="auto"/>
        </w:rPr>
      </w:pPr>
    </w:p>
    <w:p>
      <w:pPr>
        <w:jc w:val="both"/>
        <w:ind w:left="340" w:hanging="332"/>
        <w:spacing w:after="0" w:line="241" w:lineRule="auto"/>
        <w:tabs>
          <w:tab w:leader="none" w:pos="34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Revolving Credit Facility initially bore interest at LIBOR plus 2.25% and was subject to a 0.5% commitment fee. Upon our initial public offering, on February 5, 2018, the interest rate was reduced to LIBOR plus 2.00%. On May 15, 2019, we amended our Revolving Credit Facility to, among other things, increase borrowing capacity by $600 million to a total of $1.0 billion and extend the maturity date to May 2024. After giving effect to the amendments executed on May 15, 2019, borrowings under the Revolving Credit Facility will bear interest at a rate based on a leverage 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As of December 31, 2019, the commitment fee was 0.375%.</w:t>
      </w:r>
    </w:p>
    <w:p>
      <w:pPr>
        <w:spacing w:after="0" w:line="2"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Interest on any outstanding balance is payable monthly. The Term Loan B Facility initially bore interest at LIBOR plus 2.25%. Upon our initial public offering, on February 5, 2018, the interest rate was reduced to LIBOR plus 2.00%. In connection with the repricing of the Term Loan B Facility in January of 2020, the interest rate was decreased to LIBOR plus 1.75%. As of December 31, 2019, we had six interest rate swap agreements outstanding with third-party financial institutions having an aggregate notional amount of $2.0 billion at a blended LIBOR rate of 2.7173%. As of December 31, 2018, we had four interest rate swap agreements outstanding with third-party financial institutions having an aggregate notional amount of $1.5 billion at a LIBOR rate of 2.8297%. The interest rate swaps are designated as cash flow hedges that effectively fix the LIBOR component of the interest rate on a portion of the outstanding debt. Final maturity is December 2024 or, to the extent the Second Lien Notes remain outstanding, July 2023 (three months prior to the maturity of the Second Lien Notes).</w:t>
      </w:r>
    </w:p>
    <w:p>
      <w:pPr>
        <w:ind w:left="340" w:hanging="332"/>
        <w:spacing w:after="0"/>
        <w:tabs>
          <w:tab w:leader="none" w:pos="34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 Subsequent to the year end, on February 20, 2020 the Second Lien Notes were redeemed in full.</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The CPLV CMBS Debt was repaid in full on November 26, 2019 with proceeds from the November 2019 Senior Unsecured Notes.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20" w:type="dxa"/>
            <w:vAlign w:val="bottom"/>
          </w:tcPr>
          <w:p>
            <w:pPr>
              <w:spacing w:after="0"/>
              <w:rPr>
                <w:sz w:val="17"/>
                <w:szCs w:val="17"/>
                <w:color w:val="auto"/>
              </w:rPr>
            </w:pPr>
          </w:p>
        </w:tc>
        <w:tc>
          <w:tcPr>
            <w:tcW w:w="2640" w:type="dxa"/>
            <w:vAlign w:val="bottom"/>
          </w:tcPr>
          <w:p>
            <w:pPr>
              <w:jc w:val="right"/>
              <w:ind w:right="431"/>
              <w:spacing w:after="0"/>
              <w:rPr>
                <w:sz w:val="20"/>
                <w:szCs w:val="20"/>
                <w:color w:val="auto"/>
              </w:rPr>
            </w:pPr>
            <w:r>
              <w:rPr>
                <w:rFonts w:ascii="Arial" w:cs="Arial" w:eastAsia="Arial" w:hAnsi="Arial"/>
                <w:sz w:val="16"/>
                <w:szCs w:val="16"/>
                <w:b w:val="1"/>
                <w:bCs w:val="1"/>
                <w:color w:val="auto"/>
              </w:rPr>
              <w:t>Future Minimum 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244"/>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70"/>
        </w:trPr>
        <w:tc>
          <w:tcPr>
            <w:tcW w:w="10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5"/>
                <w:szCs w:val="25"/>
                <w:color w:val="auto"/>
                <w:vertAlign w:val="superscript"/>
              </w:rPr>
              <w:t>(1)</w:t>
            </w:r>
          </w:p>
        </w:tc>
        <w:tc>
          <w:tcPr>
            <w:tcW w:w="7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520,480</w:t>
            </w: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2,068,000</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2,250,000</w:t>
            </w: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4,848,480</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$498.5 million represents the Second Lien Notes which were redeemed in full on February 20,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2019 Senior Unsecured Notes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26, 2019, the Operating Partnership and VICI Note Co. Inc. (the “Co-Issuer” and, together with the Operating Partnership, the “Issuers”), wholly owned subsidiaries of the Company issued (i) $1,250 million in aggregate principal amount of 4.250% Senior Unsecured Notes due 2026 under an indenture dated as of November 26, 2019 (the “2026 Notes Indenture”), among the Issuers, the subsidiary guarantors party thereto and UMB Bank, National Association, as trustee (the “Trustee”), and (ii) $1,000 million in aggregate principal amount of 4.625% Senior Notes due 2029 under an indenture dated as of November 26, 2019 (the “2029 Notes Indenture” and, together with the 2026 Notes Indenture, the “2019 Senior Unsecured Notes Indentures”), among the Issuers, the subsidiary guarantors party thereto and the Trustee. The Operating Partnership and its subsidiaries represent our “Real Property Business” segment, with the “Golf Course Business” segment corresponding to the portion of our business operated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79"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rFonts w:ascii="Arial" w:cs="Arial" w:eastAsia="Arial" w:hAnsi="Arial"/>
          <w:sz w:val="18"/>
          <w:szCs w:val="18"/>
          <w:color w:val="0000EE"/>
        </w:rPr>
      </w:pPr>
      <w:hyperlink w:anchor="page130">
        <w:r>
          <w:rPr>
            <w:rFonts w:ascii="Arial" w:cs="Arial" w:eastAsia="Arial" w:hAnsi="Arial"/>
            <w:sz w:val="18"/>
            <w:szCs w:val="18"/>
            <w:color w:val="auto"/>
          </w:rPr>
          <w:t>through entities that are not direct or indirect subsidiaries of the Operating Partnership or obligors of the Senior Unsecured Notes. See “</w:t>
        </w:r>
        <w:r>
          <w:rPr>
            <w:rFonts w:ascii="Arial" w:cs="Arial" w:eastAsia="Arial" w:hAnsi="Arial"/>
            <w:sz w:val="18"/>
            <w:szCs w:val="18"/>
            <w:u w:val="single" w:color="auto"/>
            <w:color w:val="0000EE"/>
          </w:rPr>
          <w:t>Note 15 - Segment</w:t>
        </w:r>
      </w:hyperlink>
      <w:r>
        <w:rPr>
          <w:rFonts w:ascii="Arial" w:cs="Arial" w:eastAsia="Arial" w:hAnsi="Arial"/>
          <w:sz w:val="18"/>
          <w:szCs w:val="18"/>
          <w:color w:val="auto"/>
        </w:rPr>
        <w:t xml:space="preserve"> </w:t>
      </w:r>
      <w:hyperlink w:anchor="page130">
        <w:r>
          <w:rPr>
            <w:rFonts w:ascii="Arial" w:cs="Arial" w:eastAsia="Arial" w:hAnsi="Arial"/>
            <w:sz w:val="18"/>
            <w:szCs w:val="18"/>
            <w:u w:val="single" w:color="auto"/>
            <w:color w:val="0000EE"/>
          </w:rPr>
          <w:t>Information</w:t>
        </w:r>
        <w:r>
          <w:rPr>
            <w:rFonts w:ascii="Arial" w:cs="Arial" w:eastAsia="Arial" w:hAnsi="Arial"/>
            <w:sz w:val="18"/>
            <w:szCs w:val="18"/>
            <w:color w:val="000000"/>
          </w:rPr>
          <w:t>” for more information about our segments.</w:t>
        </w:r>
      </w:hyperlink>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November 2019 Notes were sold in the United States only to accredited investors pursuant to an exemption from the Securities Act of 1933, as amended (the “Securities Act”), and subsequently resold to persons reasonably believed to be qualified institutional buyers pursuant to Rule 144A under the Securities Act and to non-U.S. persons in accordance with Regulation S under the Securities Act.</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used the proceeds of the offering to repay in full the CPLV CMBS Debt, and pay certain fees and expenses including the net prepayment penalty of $55.4 million. Subsequent to year end, on January 24, 2020, the remaining net proceeds were used to pay for a portion of the purchase price of the JACK Cleveland/Thistledown Acquisition. The 2026 Notes will mature on December 1, 2026, and the 2029 Notes will mature on December 1, 2029. Interest on the 2026 Notes will accrue at a rate of 4.250% per annum, and interest on the 2029 Notes will accrue at a rate of 4.625% per annum. Interest on the Notes will be payable semi-annually in cash in arrears on June 1 and December 1 of each year, commencing on June 1, 2020. The 2019 Senior Unsecured Notes will be fully and unconditionally guaranteed, jointly and severally, on a senior unsecured basis by each existing and future direct and indirect wholly owned material domestic subsidiary of the Operating Partnership that incurs or guarantees certain bank indebtedness or any other material capital market indebtedness, other than certain excluded subsidiaries and the Co-Issuer.</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Issuers may redeem the 2026 Notes at any time prior to December 1, 2022, in whole or in part, at a redemption price equal to 100% of the accrued principal amount thereof plus unpaid interest, if any, to the redemption date plus a make-whole premium. The Issuers may redeem the 2026 Notes, in whole or in part, at any time on or after December 1, 2022 at the redemption price of (i) 102.125% of the principal amount should such redemption occur before December 1, 2023, (ii) 101.063% of the principal amount should such redemption occur before December 1, 2024 and (iii) 100% of the principal amount should such redemption occur on or after December 1, 2024, in each case plus accrued and unpaid interest, if any, to, but excluding, the redemption date. The Issuers may redeem the 2029 Notes at any time prior to December 1, 2024, in whole or in part, at a redemption price equal to 100% of the accrued principal amount thereof plus unpaid interest, if any, to the redemption date plus a make-whole premium. The Issuers may redeem the 2029 Notes, in whole or in part, at any time on or after December 1, 2024 at the redemption price of (i) 102.313% of the principal amount should such redemption occur before December 1, 2025, (ii) 101.541% of the principal amount should such redemption occur before December 1, 2026, (iii) 100.771% of the principal amount should such redemption occur before December 1, 2027 and (iv) 100% of the principal amount should such redemption occur on or after December 1, 2027, in each case plus accrued and unpaid interest, if any, to, but excluding, the redemption date. In addition, before December 1, 2022, the Issuers may redeem up to 40% of each series of Notes with the net cash proceeds from certain equity offerings (i) at a redemption price of 104.250% of the principal amount redeemed in the case of the 2026 Notes and (ii) at a redemption price of 104.625% of the principal amount redeemed in the case of the 2029 Notes. However, the Issuers may only make such redemptions if at least 60% of the aggregate principal amount of the series of 2019 Senior Unsecured Notes issued under the applicable 2019 Senior Unsecured Notes Indenture remains outstanding after the occurrence of such redemption. As of December 31, 2019, the restricted net assets of the Operating Partnership were approximately $7.9 billion.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November 2019 Senior Unsecured Notes Indentures contain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is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2019 Senior Unsecured Notes Indentures), plus the aggregate net proceeds from (i) the sale of certain equity interests in, (ii) capital contributions to, and (iii) certain convertible indebtedness of the Operating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2020 Senior Unsecured Notes Offering and Redemption and Repayment of the Second Lien Notes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December, 31 2019, On February 5, 2020, the Operating Partnership issued (i) $750 million in aggregate principal amount of 3.500% senior unsecured notes due 2025, (ii) $750 million in aggregate principal amount of 3.750% senior unsecured notes due 2027 and (iii) $1.0 billion of 4.125% senior unsecured notes due 2030. We placed $2.0 billion of the net proceeds into escrow pending the consummation of the Eldorado Transaction, and used the remaining net proceeds from the 2025 Notes, together with cash on hand, to redeem in full the outstanding $498.5 million in aggregate principal amount of the Second Lien Notes plus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79"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Lien Notes Applicable Premium, which resulted in a total redemption amount of approximately $537.5 million. The 2025 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 Interest on the notes issued in February 2020 will be payable semi-annually in cash in arrears on February 15 and August 15 of each year, commencing on August 15,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current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15, 2019, immediately after giving effect to Amendment No. 2, VICI PropCo entered into Amendment No. 3 (“Amendment No. 3”, together with Amendment No. 2, the “Amendments”) to the Credit Agreement, which amended and restated the Credit Agreement in its entirety as of May 15, 2019 (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PropCo Term Loan B Facility from LIBOR plus 2.00% to LIBOR plus 1.75%.</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79"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$30,000,000. We are also subject to the financial covenants set forth in the Amended and Restated Credit Agreement as previously described above.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5,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1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21">
        <w:r>
          <w:rPr>
            <w:rFonts w:ascii="Arial" w:cs="Arial" w:eastAsia="Arial" w:hAnsi="Arial"/>
            <w:sz w:val="18"/>
            <w:szCs w:val="18"/>
            <w:u w:val="single" w:color="auto"/>
            <w:color w:val="0000EE"/>
          </w:rPr>
          <w:t>Note 8— 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(the “Second Lien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 owned material domestic restricted subsidiaries and secured by a second priority lien on substantially all of the Issuers’ and such restricted subsidiaries’ material assets, including mortgages on their respective real estate, subject to customary exclusions. None of VICI nor certain subsidiaries of VICI PropCo are subject to the covenants of the Indenture or are guarantors of the Second Lien Notes.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Second Lien Indenture contains covenants that limit the Issuers’ and their restricted subsidiaries’ ability to, among other things: (i) incur additional debt;</w:t>
      </w:r>
    </w:p>
    <w:p>
      <w:pPr>
        <w:spacing w:after="0" w:line="46" w:lineRule="exact"/>
        <w:rPr>
          <w:sz w:val="20"/>
          <w:szCs w:val="20"/>
          <w:color w:val="auto"/>
        </w:rPr>
      </w:pPr>
    </w:p>
    <w:p>
      <w:pPr>
        <w:jc w:val="both"/>
        <w:ind w:firstLine="8"/>
        <w:spacing w:after="0" w:line="287" w:lineRule="auto"/>
        <w:tabs>
          <w:tab w:leader="none" w:pos="277"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the ability to make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October 15, 2020, the Second Lien Notes are redeemable at the option of the Issuers, at a redemption price of 100% of the principal amount of the Second Lien Notes redeemed plus accrued and unpaid interest, if any, to the applicable redemption date, plus an applicable premium equal to the excess of (a) the present value of (i) 104% of the principal amount of the Second Lien Notes so redeemed plus (ii) all required interest payments due on such Second Lien Notes through October 15, 2020, computed using a discount rate equal to the then-applicable U.S. Treasury rate plus 50 basis points, over (b) the then-outstanding principal amount of the Second Lien Notes so redeemed (the “Second Lien Notes Applicable Premium”). The Issuers also had the option to redeem up to 35% of the original aggregate principal amount of the Second Lien Notes with the net cash proceeds of certain issuances of common or preferred equity by VICI PropCo or VICI, at a price equal to 108% of such principal amount of the Second Lien Notes redeemed, plus accrued and unpaid interest, if any, to the redemption date. On or after October 15, 2020, the Second Lien Notes are redeemable at the option of the Issuers, at a redemption price of (a) 104% of the principal amount of the Second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79"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Lien Notes so redeemed for the period October 15, 2020 through October 14, 2021 and (b) 100% of the principal amount of the Second Lien Notes so redeemed after October 15, 2021, in each case, plus accrued and unpaid interest to the redemption date.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partial redemption of the Second Lien Notes, we recognized a loss on extinguishment of debt of $23.0 million during the three months ended March 31, 2018, the majority of which relates to the premium paid on the redemption price.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December 31, 2019, on February 20, 2020 we used the proceeds from the issuance of the 2025 Notes to redeem in full the Second Lien Notes at a redemption price of 100% of the principal amount of the Second Lien Notes then outstanding plus the Second Lien Notes Applicable Premium, which resulted in a total redemption amount of approximately $537.5 million. Due to the full redemption, we will recognize a loss on extinguishment of debt in first quarter of 2020 of approximately $39.0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24, 2019, in connection with the Eldorado Transaction, VICI PropCo entered into the Commitment Letter with the Bridge Lender, pursuant to which and subject to the terms and conditions set forth therein, the Bridge Lender has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are subject to a tiered commitment fee based on the period the commitment is outstanding and a structuring fee. The commitment fee is equal to, with respect to any commitments that are terminated prior to July 22, 2019, 0.25% of such commitments, with respect to any commitments that are outstanding on July 22, 2019 and are terminated prior to June 24, 2020, 0.50% of such commitments, with respect to any commitments that are outstanding on June 24, 2020 and are terminated prior to September 24, 2020, 0.75% of such commitments, and with respect to any commitments that are outstanding on September 24, 2020, 1.00% of such commitments. The structuring fee is equal to 0.10% of the total aggregate commitments at the date of the Commitment Letter and was paid in full upon the first reduction of the commitments. For the year ended December 31, 2019 we have recognized $26.0 million of fees related to the Bridge Facilities in Interest expense on our Statement of Operations.</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Commitments and loans under the Bridge Facilities will be reduced or prepaid, as applicable, in part upon any issuance by us of equity or notes in a public offering or private placement and/or the incurrence of term loans and certain other debt and upon other specified events prior to the consummation of the Eldorado Transaction, in each case subject to the terms and certain exceptions set forth in the Commitment Letter, including that the commitments and loans will not be reduced as a result of the proceeds from primary follow-on offerings. If we use the Bridge Facilities, funding is contingent on the satisfaction of certain customary conditions set forth in the Commitment Letter, including, among others, (i) the execution and delivery of definitive documentation with respect to the Bridge Facilities in accordance with the terms set forth in the Commitment Letter and (ii) the consummation of the transactions in accordance with the Eldorado Transaction documents. Although we do not currently expect VICI PropCo to make any borrowings under the Bridge Facilities, there can be no assurance that such borrowings will not be made or that we will be able to incur alternative long-term debt financing in lieu of borrowings under the Bridge Facilities. Borrowing under the Bridge Facilities, if any, will bear interest at a floating rate that varies depending on the duration of the loans thereunder. Under the Eldorado Senior Bridge Facility, interest will be calculated on a rate between (i) LIBOR plus 200 basis points and LIBOR plus 275 basis or (ii) the base rate plus 100 basis points and the base rate plus 175 basis points, in each case depending on duration. Under the Eldorado Junior Bridge Facility, interest will be calculated on a rate between (x) LIBOR plus 300 basis points and LIBOR plus 375 basis or (y) the base rate plus 200 basis points and the base rate plus 275 basis points, in each case depending on duration. The Bridge Facilities, if funded, will contain restrictive covenants and events of default substantially similar to those contained in, with respect to the Eldorado Senior Bridge Facility, the Senior Secured Credit Facilities and, with respect to the Eldorado Junior Bridge Facility, the Second Lien Notes. If we draw upon the Bridge Facilities, there can be no assurances that we would be able to refinance the Bridge Facilities on terms satisfactory to us, or at all.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November 2019 Senior Unsecured Notes offering, the commitments under the Bridge Facility were reduced by $1.6 billion, to $3.2 billion. Following the February 2020 Senior Unsecured Notes Offering we placed $2.0 billion of the net proceeds into escrow pending the consummation of the Eldorado Transaction and the commitments under the Bridge Facility were further reduced by $2.0 billion to $1.2 billion.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79"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CPLV CMBS Debt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CPLV CMBS Debt was incurred on October 6, 2017 pursuant to a loan agreement (the “CMBS Loan Agreement”), and was secured by a first priority lien on all of the assets of CPLV Property Owner LLC, as borrower (“CPLV Borrower”), including CPLV Borrower’s (1) fee interest (except as provided in</w:t>
      </w:r>
    </w:p>
    <w:p>
      <w:pPr>
        <w:jc w:val="both"/>
        <w:spacing w:after="0" w:line="277" w:lineRule="auto"/>
        <w:rPr>
          <w:sz w:val="20"/>
          <w:szCs w:val="20"/>
          <w:color w:val="auto"/>
        </w:rPr>
      </w:pPr>
      <w:r>
        <w:rPr>
          <w:rFonts w:ascii="Arial" w:cs="Arial" w:eastAsia="Arial" w:hAnsi="Arial"/>
          <w:sz w:val="17"/>
          <w:szCs w:val="17"/>
          <w:color w:val="auto"/>
        </w:rPr>
        <w:t>(2)) in and to Caesars Palace Las Vegas (on the Formation Date other than Octavius Tower), (2) leasehold interest with respect to Octavius Tower on the Formation Date, and (3) interest in the CPLV Lease Agreement and all related agreements, including the Lease Agreements, subject only to certain permitted encumbrances as set forth in the CMBS Loan Agreement. The CPLV CMBS Debt bore interest at 4.36% per annum.</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26, 2019, we used the proceeds from the November 2019 Senior Unsecured Notes offering to repay in full the CPLV CMBS Debt. Due to the prepayment of the CPLV CMBS Debt, we recognized a loss on extinguishment of debt of $58.1 million during the year ended December 31, 2019, the majority of which related to the prepayment penalty.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December 31, 2019, we are in compliance with all required covenants under our 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24, 2018, we entered into four interest rate swap agreements with third party financial institutions having an aggregate notional amount of $1.5 billion. On January 3, 2019, we entered into two 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 and 2.3802%, respectively. For the duration of the interest rate swap transactions, we are only subject to interest rate risk on $100.0 million of variable rate debt.</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detail our outstanding interest rate derivatives that were designated as cash flow hedges of interest rate risk as of December 31, 2019 and 2018:</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w w:val="90"/>
              </w:rPr>
              <w:t>December 31, 2019</w:t>
            </w:r>
          </w:p>
        </w:tc>
        <w:tc>
          <w:tcPr>
            <w:tcW w:w="10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6"/>
                <w:szCs w:val="16"/>
                <w:b w:val="1"/>
                <w:bCs w:val="1"/>
                <w:color w:val="auto"/>
              </w:rPr>
              <w:t>Instrument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1300" w:type="dxa"/>
            <w:vAlign w:val="bottom"/>
          </w:tcPr>
          <w:p>
            <w:pPr>
              <w:ind w:left="260"/>
              <w:spacing w:after="0"/>
              <w:rPr>
                <w:sz w:val="20"/>
                <w:szCs w:val="20"/>
                <w:color w:val="auto"/>
              </w:rPr>
            </w:pPr>
            <w:r>
              <w:rPr>
                <w:rFonts w:ascii="Arial" w:cs="Arial" w:eastAsia="Arial" w:hAnsi="Arial"/>
                <w:sz w:val="16"/>
                <w:szCs w:val="16"/>
                <w:b w:val="1"/>
                <w:bCs w:val="1"/>
                <w:color w:val="auto"/>
              </w:rPr>
              <w:t>Fixed Rate</w:t>
            </w:r>
          </w:p>
        </w:tc>
        <w:tc>
          <w:tcPr>
            <w:tcW w:w="1680" w:type="dxa"/>
            <w:vAlign w:val="bottom"/>
          </w:tcPr>
          <w:p>
            <w:pPr>
              <w:ind w:left="300"/>
              <w:spacing w:after="0"/>
              <w:rPr>
                <w:sz w:val="20"/>
                <w:szCs w:val="20"/>
                <w:color w:val="auto"/>
              </w:rPr>
            </w:pPr>
            <w:r>
              <w:rPr>
                <w:rFonts w:ascii="Arial" w:cs="Arial" w:eastAsia="Arial" w:hAnsi="Arial"/>
                <w:sz w:val="16"/>
                <w:szCs w:val="16"/>
                <w:b w:val="1"/>
                <w:bCs w:val="1"/>
                <w:color w:val="auto"/>
              </w:rPr>
              <w:t>Notional</w:t>
            </w:r>
          </w:p>
        </w:tc>
        <w:tc>
          <w:tcPr>
            <w:tcW w:w="1020" w:type="dxa"/>
            <w:vAlign w:val="bottom"/>
          </w:tcPr>
          <w:p>
            <w:pPr>
              <w:spacing w:after="0"/>
              <w:rPr>
                <w:sz w:val="20"/>
                <w:szCs w:val="20"/>
                <w:color w:val="auto"/>
              </w:rPr>
            </w:pPr>
            <w:r>
              <w:rPr>
                <w:rFonts w:ascii="Arial" w:cs="Arial" w:eastAsia="Arial" w:hAnsi="Arial"/>
                <w:sz w:val="16"/>
                <w:szCs w:val="16"/>
                <w:b w:val="1"/>
                <w:bCs w:val="1"/>
                <w:color w:val="auto"/>
              </w:rPr>
              <w:t>Index</w:t>
            </w:r>
          </w:p>
        </w:tc>
        <w:tc>
          <w:tcPr>
            <w:tcW w:w="2020" w:type="dxa"/>
            <w:vAlign w:val="bottom"/>
          </w:tcPr>
          <w:p>
            <w:pPr>
              <w:ind w:left="620"/>
              <w:spacing w:after="0"/>
              <w:rPr>
                <w:sz w:val="20"/>
                <w:szCs w:val="20"/>
                <w:color w:val="auto"/>
              </w:rPr>
            </w:pPr>
            <w:r>
              <w:rPr>
                <w:rFonts w:ascii="Arial" w:cs="Arial" w:eastAsia="Arial" w:hAnsi="Arial"/>
                <w:sz w:val="16"/>
                <w:szCs w:val="16"/>
                <w:b w:val="1"/>
                <w:bCs w:val="1"/>
                <w:color w:val="auto"/>
              </w:rPr>
              <w:t>Maturity</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$1,500,000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$500,000</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r>
      <w:tr>
        <w:trPr>
          <w:trHeight w:val="446"/>
        </w:trPr>
        <w:tc>
          <w:tcPr>
            <w:tcW w:w="402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ind w:left="400"/>
              <w:spacing w:after="0"/>
              <w:rPr>
                <w:sz w:val="20"/>
                <w:szCs w:val="20"/>
                <w:color w:val="auto"/>
              </w:rPr>
            </w:pPr>
            <w:r>
              <w:rPr>
                <w:rFonts w:ascii="Arial" w:cs="Arial" w:eastAsia="Arial" w:hAnsi="Arial"/>
                <w:sz w:val="16"/>
                <w:szCs w:val="16"/>
                <w:b w:val="1"/>
                <w:bCs w:val="1"/>
                <w:color w:val="auto"/>
              </w:rPr>
              <w:t>December 31, 2018</w:t>
            </w:r>
          </w:p>
        </w:tc>
        <w:tc>
          <w:tcPr>
            <w:tcW w:w="216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402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Notional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$1,500,000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2018, the interest rate swaps are in net unrealized loss positions and are recorded within Other liabilities. The following table presents the effect of our derivative financial instruments on our Statement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restart"/>
          </w:tcPr>
          <w:p>
            <w:pPr>
              <w:jc w:val="center"/>
              <w:ind w:right="155"/>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77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ind w:right="95"/>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loss recorded in other comprehensive income</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Interest recorded in interest expense</w:t>
            </w:r>
          </w:p>
        </w:tc>
        <w:tc>
          <w:tcPr>
            <w:tcW w:w="1200" w:type="dxa"/>
            <w:vAlign w:val="bottom"/>
          </w:tcPr>
          <w:p>
            <w:pPr>
              <w:jc w:val="right"/>
              <w:ind w:right="10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3"/>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F - 38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assets and liabilities measured at fair value on a recurring basis as of December 31,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2019</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340" w:type="dxa"/>
            <w:vAlign w:val="bottom"/>
          </w:tcPr>
          <w:p>
            <w:pPr>
              <w:spacing w:after="0"/>
              <w:rPr>
                <w:sz w:val="20"/>
                <w:szCs w:val="20"/>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4460" w:type="dxa"/>
            <w:vAlign w:val="bottom"/>
          </w:tcPr>
          <w:p>
            <w:pPr>
              <w:ind w:left="28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65,078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65,078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3"/>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340" w:type="dxa"/>
            <w:vAlign w:val="bottom"/>
          </w:tcPr>
          <w:p>
            <w:pPr>
              <w:spacing w:after="0"/>
              <w:rPr>
                <w:sz w:val="20"/>
                <w:szCs w:val="20"/>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Pr>
          <w:p>
            <w:pPr>
              <w:ind w:left="280"/>
              <w:spacing w:after="0" w:line="256" w:lineRule="exact"/>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4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our financial instruments at December 31, 2019 and 2018 for which fair value is only disclosed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4"/>
          </w:tcPr>
          <w:p>
            <w:pPr>
              <w:ind w:left="96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3340" w:type="dxa"/>
            <w:vAlign w:val="bottom"/>
            <w:gridSpan w:val="4"/>
          </w:tcPr>
          <w:p>
            <w:pPr>
              <w:jc w:val="right"/>
              <w:ind w:right="991"/>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9"/>
                <w:szCs w:val="19"/>
                <w:color w:val="auto"/>
              </w:rPr>
            </w:pPr>
          </w:p>
        </w:tc>
        <w:tc>
          <w:tcPr>
            <w:tcW w:w="158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Carrying Amount</w:t>
            </w:r>
          </w:p>
        </w:tc>
        <w:tc>
          <w:tcPr>
            <w:tcW w:w="40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19"/>
                <w:szCs w:val="19"/>
                <w:color w:val="auto"/>
              </w:rPr>
            </w:pPr>
          </w:p>
        </w:tc>
        <w:tc>
          <w:tcPr>
            <w:tcW w:w="1400" w:type="dxa"/>
            <w:vAlign w:val="bottom"/>
          </w:tcPr>
          <w:p>
            <w:pPr>
              <w:jc w:val="right"/>
              <w:ind w:right="39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1,101,893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577,883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577,883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20,564</w:t>
            </w:r>
          </w:p>
        </w:tc>
      </w:tr>
      <w:tr>
        <w:trPr>
          <w:trHeight w:val="243"/>
        </w:trPr>
        <w:tc>
          <w:tcPr>
            <w:tcW w:w="40" w:type="dxa"/>
            <w:vAlign w:val="bottom"/>
          </w:tcPr>
          <w:p>
            <w:pPr>
              <w:spacing w:after="0"/>
              <w:rPr>
                <w:sz w:val="21"/>
                <w:szCs w:val="21"/>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0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i w:val="1"/>
                <w:iCs w:val="1"/>
                <w:color w:val="auto"/>
                <w:vertAlign w:val="superscript"/>
              </w:rPr>
              <w:t>(1)</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Term Loan B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2,076,962</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2,073,784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2,016,000</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380"/>
              <w:spacing w:after="0"/>
              <w:rPr>
                <w:sz w:val="20"/>
                <w:szCs w:val="20"/>
                <w:color w:val="auto"/>
              </w:rPr>
            </w:pPr>
            <w:r>
              <w:rPr>
                <w:rFonts w:ascii="Arial" w:cs="Arial" w:eastAsia="Arial" w:hAnsi="Arial"/>
                <w:sz w:val="18"/>
                <w:szCs w:val="18"/>
                <w:color w:val="auto"/>
              </w:rPr>
              <w:t>Second Lien Notes</w:t>
            </w:r>
          </w:p>
        </w:tc>
        <w:tc>
          <w:tcPr>
            <w:tcW w:w="18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498,480</w:t>
            </w:r>
          </w:p>
        </w:tc>
        <w:tc>
          <w:tcPr>
            <w:tcW w:w="4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538,358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535,866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0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1,539,040</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2026 Notes</w:t>
            </w:r>
          </w:p>
        </w:tc>
        <w:tc>
          <w:tcPr>
            <w:tcW w:w="18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1,231,227</w:t>
            </w:r>
          </w:p>
        </w:tc>
        <w:tc>
          <w:tcPr>
            <w:tcW w:w="4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1,287,500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2029 Notes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984,894</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ind w:right="580" w:firstLine="8"/>
        <w:spacing w:after="0" w:line="241" w:lineRule="auto"/>
        <w:tabs>
          <w:tab w:leader="none" w:pos="204"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ind w:left="220" w:hanging="212"/>
        <w:spacing w:after="0"/>
        <w:tabs>
          <w:tab w:leader="none" w:pos="2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The CPLV CMBS Debt was repaid in full in November 2019.</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79"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assets and liabilities measured at fair value on a non-recurring basis in relation to the impairment recorded during the three months ended September 30,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20"/>
              <w:spacing w:after="0"/>
              <w:rPr>
                <w:sz w:val="20"/>
                <w:szCs w:val="20"/>
                <w:color w:val="auto"/>
              </w:rPr>
            </w:pPr>
            <w:r>
              <w:rPr>
                <w:rFonts w:ascii="Arial" w:cs="Arial" w:eastAsia="Arial" w:hAnsi="Arial"/>
                <w:sz w:val="16"/>
                <w:szCs w:val="16"/>
                <w:b w:val="1"/>
                <w:bCs w:val="1"/>
                <w:color w:val="auto"/>
              </w:rPr>
              <w:t>September 30, 2018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1"/>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64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1</w:t>
            </w: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34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Arial" w:cs="Arial" w:eastAsia="Arial" w:hAnsi="Arial"/>
                <w:sz w:val="16"/>
                <w:szCs w:val="16"/>
                <w:b w:val="1"/>
                <w:bCs w:val="1"/>
                <w:color w:val="auto"/>
              </w:rPr>
              <w:t>Level 3</w:t>
            </w:r>
          </w:p>
        </w:tc>
      </w:tr>
      <w:tr>
        <w:trPr>
          <w:trHeight w:val="33"/>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jc w:val="right"/>
              <w:ind w:right="3620"/>
              <w:spacing w:after="0" w:line="256"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19,019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11,600</w:t>
            </w:r>
          </w:p>
        </w:tc>
      </w:tr>
      <w:tr>
        <w:trPr>
          <w:trHeight w:val="224"/>
        </w:trPr>
        <w:tc>
          <w:tcPr>
            <w:tcW w:w="4460" w:type="dxa"/>
            <w:vAlign w:val="bottom"/>
            <w:gridSpan w:val="3"/>
          </w:tcPr>
          <w:p>
            <w:pPr>
              <w:jc w:val="right"/>
              <w:ind w:right="2660"/>
              <w:spacing w:after="0"/>
              <w:rPr>
                <w:sz w:val="20"/>
                <w:szCs w:val="20"/>
                <w:color w:val="auto"/>
              </w:rPr>
            </w:pPr>
            <w:r>
              <w:rPr>
                <w:rFonts w:ascii="Arial" w:cs="Arial" w:eastAsia="Arial" w:hAnsi="Arial"/>
                <w:sz w:val="18"/>
                <w:szCs w:val="18"/>
                <w:color w:val="auto"/>
                <w:w w:val="88"/>
              </w:rPr>
              <w:t>____________________</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340" w:hanging="332"/>
        <w:spacing w:after="0" w:line="255" w:lineRule="auto"/>
        <w:tabs>
          <w:tab w:leader="none" w:pos="34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the de minimis land valued based on the contract price represents a Level 2 measurement as defined in ASC 820, while the inputs for the de minimis land valued using the sales comparison approach represents Level 3 measurements as defined in ASC 820. The measurement and related estimates were made as of September 30,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the non-recurring Level 3 fair value measurements: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right"/>
              <w:ind w:right="1094"/>
              <w:spacing w:after="0"/>
              <w:rPr>
                <w:sz w:val="20"/>
                <w:szCs w:val="20"/>
                <w:color w:val="auto"/>
              </w:rPr>
            </w:pPr>
            <w:r>
              <w:rPr>
                <w:rFonts w:ascii="Arial" w:cs="Arial" w:eastAsia="Arial" w:hAnsi="Arial"/>
                <w:sz w:val="16"/>
                <w:szCs w:val="16"/>
                <w:b w:val="1"/>
                <w:bCs w:val="1"/>
                <w:color w:val="auto"/>
              </w:rPr>
              <w:t>Significant Assumptions (</w:t>
            </w:r>
            <w:r>
              <w:rPr>
                <w:rFonts w:ascii="Arial" w:cs="Arial" w:eastAsia="Arial" w:hAnsi="Arial"/>
                <w:sz w:val="16"/>
                <w:szCs w:val="16"/>
                <w:b w:val="1"/>
                <w:bCs w:val="1"/>
                <w:i w:val="1"/>
                <w:iCs w:val="1"/>
                <w:color w:val="auto"/>
              </w:rPr>
              <w:t>$ in per sq. ft.</w:t>
            </w:r>
            <w:r>
              <w:rPr>
                <w:rFonts w:ascii="Arial" w:cs="Arial" w:eastAsia="Arial" w:hAnsi="Arial"/>
                <w:sz w:val="16"/>
                <w:szCs w:val="16"/>
                <w:b w:val="1"/>
                <w:bCs w:val="1"/>
                <w:color w:val="auto"/>
              </w:rPr>
              <w:t>)</w:t>
            </w:r>
          </w:p>
        </w:tc>
      </w:tr>
      <w:tr>
        <w:trPr>
          <w:trHeight w:val="33"/>
        </w:trPr>
        <w:tc>
          <w:tcPr>
            <w:tcW w:w="1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38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Type</w:t>
            </w:r>
          </w:p>
        </w:tc>
        <w:tc>
          <w:tcPr>
            <w:tcW w:w="320" w:type="dxa"/>
            <w:vAlign w:val="bottom"/>
          </w:tcPr>
          <w:p>
            <w:pPr>
              <w:spacing w:after="0"/>
              <w:rPr>
                <w:sz w:val="20"/>
                <w:szCs w:val="20"/>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Range</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tcPr>
          <w:p>
            <w:pPr>
              <w:jc w:val="right"/>
              <w:ind w:right="154"/>
              <w:spacing w:after="0"/>
              <w:rPr>
                <w:sz w:val="20"/>
                <w:szCs w:val="20"/>
                <w:color w:val="auto"/>
              </w:rPr>
            </w:pPr>
            <w:r>
              <w:rPr>
                <w:rFonts w:ascii="Arial" w:cs="Arial" w:eastAsia="Arial" w:hAnsi="Arial"/>
                <w:sz w:val="16"/>
                <w:szCs w:val="16"/>
                <w:b w:val="1"/>
                <w:bCs w:val="1"/>
                <w:color w:val="auto"/>
              </w:rPr>
              <w:t>Square Footage</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11,600</w:t>
            </w:r>
          </w:p>
        </w:tc>
        <w:tc>
          <w:tcPr>
            <w:tcW w:w="2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comparison</w:t>
            </w:r>
          </w:p>
        </w:tc>
        <w:tc>
          <w:tcPr>
            <w:tcW w:w="16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$0.50 - 5.00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4,002,908</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2019, we are not subject to any litigation that we believe could have, individually or in the aggregate, a material adverse effect on our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New Orleans, Louisiana and New York, New York, which expire in 2020 and 2030, respectively. The weighted average remaining lease term as of December 31, 2019 under our operating leases was 16.3 years. Our Cascata ground lease has three 10-year extension options. The rent of such options would be the in-place rent at the time of renewal.</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restart"/>
          </w:tcPr>
          <w:p>
            <w:pPr>
              <w:jc w:val="center"/>
              <w:ind w:right="155"/>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77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ind w:right="95"/>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20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Cash paid for rent</w:t>
            </w:r>
          </w:p>
        </w:tc>
        <w:tc>
          <w:tcPr>
            <w:tcW w:w="1200" w:type="dxa"/>
            <w:vAlign w:val="bottom"/>
          </w:tcPr>
          <w:p>
            <w:pPr>
              <w:jc w:val="right"/>
              <w:ind w:right="101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1,297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10, 2019 we entered into a lease agreement for new office space in New York, NY for our corporate headquarters. The lease has a 10-year term, with one 5-year extension option and requires a fixed annual rent of $0.9 million. We determined the lease was an operating lease and recorded a $6.7 million right of use asset and a corresponding lease liability within Other assets and Other liabilities, respectively, on our Balance Sheet. The discount rate for the lease was determined to be 5.3% and was based on the yield of our current secured borrowings, adjusted to match borrowings of similar terms.</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2019, upon adoption of ASC 842, we recorded an $11.1 million right of use asset and a corresponding lease liability within Other assets and Other liabilities, respectively, on our Balance Sheet, related to the ground lease of the land at the Cascata Golf Course. The discount rate for the lease was determined to be 5.5% and was based on the yield of our current secured borrowings, adjusted to match borrowings of similar terms.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79"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December 31, 2019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Lease Commitments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20,983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minimum lease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30,028</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Discounting factor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90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approximately $1.3 billion after commissions and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2018</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19, 2018, we completed a primary follow-on offering of 34,500,000 shares of common stock at an offering price of $21.00 per share for an aggregate offering value of $724.5 million, resulting in net proceeds of $694.2 million. We used the net proceeds from the offering to pay the aggregate purchase price of $700.0 million for the recently completed acquisition of the land and real estate assets of Greektown and related fees and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2019, we completed a primary follow-on offering of (i) 50,000,000 (including 15,000,000 shares sold pursuant to the exercise in full of the underwriters’ option to purchase additional common stock) shares of common stock at an offering price of $21.50 per share for an aggregate offering value of $1.1 billion, resulting in net proceeds, after the deduction of the underwriting discount and expenses, of $1.0 billion and (ii) 65,000,000 shares of common stock that are subject to forward sale agreements to be settled by September 26, 2020. We did not initially receive any proceeds from the sale of the shares of common stock subject to the forward sale agreements that were sold by the forward purchasers or their respective affiliates (collectively the “Forward Sale Agreements”). We determined that the Forward Sale Agreements meet the criteria for equity classification and are therefore exempt from derivative accounting. We recorded the Forward Sale Agreements at fair value at inception, which we determined to be zero. Subsequent changes to fair value are not required under equity classification.</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settle the Forward Sale Agreements entirely by the physical delivery of shares of common stock in exchange for cash proceeds, although we may elect cash settlement or net share settlement for all or a portion of our obligations under the Forward Sale Agreements. The settlement of the Forward Sales Agreements is calculated based on the forward sale price ($21.50) as adjusted for a floating interest rate factor and other fixed amounts based on the passage of time, as specified in the Forward Sale Agreements. As of December 31, 2019, based on these adjustments, the forward share price was $19.96 and would result in us receiving $1.3 billion in cash proceeds if we were to physically settle the Forward Sale Agreements. Alternatively, if we were to net cash settle the Forward Share Agreements, it would result in a cash outflow of $346.2 million or if we were to net share settle the Forward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79"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Agreements, it would result in us issuing 13.5 million shares. As of December 31, 2019, we have not settled any portion of the Forward Sale Agreements.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the shares of common stock issuable upon settlement of the Forward Sale Agreements are reflected in our diluted earnings per share calculations using the treasury stock method. Under this method, the number of our shares of common stock used in calculating diluted earnings per share is deemed to be increased by the excess, if any, of the number of shares of common stock that would be issued upon full physical settlement of the Forward Sale Agreements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our shares of common stock will result in an increase in the number of shares of common stock outstanding and dilution to our earnings per share. We used a portion of the net proceeds from the offering for the Hard Rock Cincinnati Acquisition and the Century Portfolio Acquisition, and intend to use the remaining net proceeds from the offering and the proceeds upon settlement of the Forward Sales Agreements to fund a portion of the purchase price for the Eldorado Transaction and for general corporate purposes, which may include the acquisition and improvement of properties, capital expenditures, working capital and the repayment of indebtedness.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19, 2018, we entered into an equity distribution agreement, or ATM Agreement, pursuant to which we may sell, from time to time, up to an aggregate sales price of $750.0 million of our common stock. Sales of common stock, if any, made pursuant to the ATM Agreement may be sold in negotiated transactions or transactions that are deemed to be “at the market” offerings, as defined in Rule 415 of the Securities Act of 1933, as amended. Actual sales will depend on a variety of factors including market conditions, the trading price of our common stock, our capital needs, and our determination of the appropriate sources of funding to meet such needs. During the year ended December 31, 2019, we sold a total of 6,107,633 shares under the at-the-market offering program for net proceeds of $128.3 million. Subsequent to the year end, on February 7, 2020, we sold 7,500,000 shares under the at-the-market offering program for net proceeds of $200.0 million. We have no obligation to sell the remaining shares available for sale under the at-the-market offering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 Outstanding</w:t>
            </w:r>
          </w:p>
        </w:tc>
        <w:tc>
          <w:tcPr>
            <w:tcW w:w="1840" w:type="dxa"/>
            <w:vAlign w:val="bottom"/>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Beginning Balance January 1</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404,729,616</w:t>
            </w:r>
          </w:p>
        </w:tc>
        <w:tc>
          <w:tcPr>
            <w:tcW w:w="12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300,278,938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 stock in initial public offering</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69,575,000</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Issuance of common stock in primary follow-on offerings </w:t>
            </w:r>
            <w:r>
              <w:rPr>
                <w:rFonts w:ascii="Arial" w:cs="Arial" w:eastAsia="Arial" w:hAnsi="Arial"/>
                <w:sz w:val="25"/>
                <w:szCs w:val="25"/>
                <w:i w:val="1"/>
                <w:iCs w:val="1"/>
                <w:color w:val="auto"/>
                <w:vertAlign w:val="superscript"/>
              </w:rPr>
              <w:t>(1)</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23"/>
                <w:szCs w:val="23"/>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34,500,000</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 stock under the at-the-market offering program</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6,107,633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Issuance of restricted and unrestricted common stock under the stock incentive program, net of</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5"/>
                <w:szCs w:val="25"/>
                <w:i w:val="1"/>
                <w:iCs w:val="1"/>
                <w:color w:val="auto"/>
                <w:vertAlign w:val="superscript"/>
              </w:rPr>
              <w:t>(2)</w:t>
            </w:r>
          </w:p>
        </w:tc>
        <w:tc>
          <w:tcPr>
            <w:tcW w:w="1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167,493</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375,678</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Ending Balance December 31</w:t>
            </w:r>
          </w:p>
        </w:tc>
        <w:tc>
          <w:tcPr>
            <w:tcW w:w="1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461,004,742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404,729,616</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65,000,000 shares issued in June 2019 subject to Forward Sale Agreements to be settled by September 26, 2020.</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The years ended December 31, 2019 and 2018 excludes 157,512 share units and 133,491 share units, respectively, issued under the performance-based stock incentive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years ended December 31, 2019 and 2018 were as follows: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32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14, 2019</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29, 2019</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11, 2019</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January 1, 2019 - March 31,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0.2875</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28, 2019</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12, 2019</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2019 - June 30,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0.2875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12, 2019</w:t>
            </w:r>
          </w:p>
        </w:tc>
        <w:tc>
          <w:tcPr>
            <w:tcW w:w="2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27, 2019</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10, 2019</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2019 - September 30,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0.2975</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12, 2019</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27, 2019</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9, 2020</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1, 2019 - December 31,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0.2975</w:t>
            </w:r>
          </w:p>
        </w:tc>
      </w:tr>
      <w:tr>
        <w:trPr>
          <w:trHeight w:val="567"/>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ind w:left="1360"/>
              <w:spacing w:after="0"/>
              <w:rPr>
                <w:sz w:val="20"/>
                <w:szCs w:val="20"/>
                <w:color w:val="auto"/>
              </w:rPr>
            </w:pPr>
            <w:r>
              <w:rPr>
                <w:rFonts w:ascii="Arial" w:cs="Arial" w:eastAsia="Arial" w:hAnsi="Arial"/>
                <w:sz w:val="18"/>
                <w:szCs w:val="18"/>
                <w:color w:val="auto"/>
              </w:rPr>
              <w:t>F - 42</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32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080" w:type="dxa"/>
            <w:vAlign w:val="bottom"/>
            <w:gridSpan w:val="2"/>
            <w:shd w:val="clear" w:color="auto" w:fill="CCEEFF"/>
          </w:tcPr>
          <w:p>
            <w:pPr>
              <w:jc w:val="center"/>
              <w:ind w:right="120"/>
              <w:spacing w:after="0" w:line="264" w:lineRule="exact"/>
              <w:rPr>
                <w:sz w:val="20"/>
                <w:szCs w:val="20"/>
                <w:color w:val="auto"/>
              </w:rPr>
            </w:pPr>
            <w:r>
              <w:rPr>
                <w:rFonts w:ascii="Arial" w:cs="Arial" w:eastAsia="Arial" w:hAnsi="Arial"/>
                <w:sz w:val="18"/>
                <w:szCs w:val="18"/>
                <w:color w:val="auto"/>
                <w:w w:val="87"/>
              </w:rPr>
              <w:t xml:space="preserve">March 15, 2018 </w:t>
            </w:r>
            <w:r>
              <w:rPr>
                <w:rFonts w:ascii="Arial" w:cs="Arial" w:eastAsia="Arial" w:hAnsi="Arial"/>
                <w:sz w:val="25"/>
                <w:szCs w:val="25"/>
                <w:i w:val="1"/>
                <w:iCs w:val="1"/>
                <w:color w:val="auto"/>
                <w:w w:val="87"/>
                <w:vertAlign w:val="superscript"/>
              </w:rPr>
              <w:t>(1)</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29, 2018</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13, 2018</w:t>
            </w:r>
          </w:p>
        </w:tc>
        <w:tc>
          <w:tcPr>
            <w:tcW w:w="3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5, 2018 - March 31,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14, 2018</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28, 2018</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13, 2018</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2018 - June 30,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0.2625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17, 2018</w:t>
            </w:r>
          </w:p>
        </w:tc>
        <w:tc>
          <w:tcPr>
            <w:tcW w:w="2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28, 2018</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11, 2018</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2018 - September 30,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0.2875</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13, 2018</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28, 2018</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10, 2019</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1, 2018 - December 31,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0.2875</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26" w:lineRule="exact"/>
        <w:rPr>
          <w:sz w:val="20"/>
          <w:szCs w:val="20"/>
          <w:color w:val="auto"/>
        </w:rPr>
      </w:pPr>
    </w:p>
    <w:p>
      <w:pPr>
        <w:ind w:left="340" w:hanging="332"/>
        <w:spacing w:after="0" w:line="273" w:lineRule="auto"/>
        <w:tabs>
          <w:tab w:leader="none" w:pos="34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5" w:lineRule="exact"/>
        <w:rPr>
          <w:sz w:val="20"/>
          <w:szCs w:val="20"/>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Forward Sale Agreements. The shares issuable upon settlement of the Forward Sale Agreements, as described in </w:t>
      </w:r>
      <w:hyperlink w:anchor="page124">
        <w:r>
          <w:rPr>
            <w:rFonts w:ascii="Arial" w:cs="Arial" w:eastAsia="Arial" w:hAnsi="Arial"/>
            <w:sz w:val="16"/>
            <w:szCs w:val="16"/>
            <w:u w:val="single" w:color="auto"/>
            <w:color w:val="0000EE"/>
          </w:rPr>
          <w:t>Note 11</w:t>
        </w:r>
      </w:hyperlink>
      <w:r>
        <w:rPr>
          <w:rFonts w:ascii="Arial" w:cs="Arial" w:eastAsia="Arial" w:hAnsi="Arial"/>
          <w:sz w:val="16"/>
          <w:szCs w:val="16"/>
          <w:color w:val="auto"/>
        </w:rPr>
        <w:t>, are reflected in the diluted earnings per share calculations using the treasury stock method. Under this method, the number of our shares of common stock used in calculating diluted earnings per share is deemed to be increased by the excess, if any, of the number of shares of common stock that would be issued upon full physical settlement of the Forward Sale Agreements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shares of common stock would result in an increase in the number of shares outstanding and dilution to earnings per share.</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common shares outstanding used in the calculation of diluted earnings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040" w:type="dxa"/>
            <w:vAlign w:val="bottom"/>
            <w:gridSpan w:val="3"/>
            <w:vMerge w:val="restart"/>
          </w:tcPr>
          <w:p>
            <w:pPr>
              <w:ind w:left="1220"/>
              <w:spacing w:after="0"/>
              <w:rPr>
                <w:sz w:val="20"/>
                <w:szCs w:val="20"/>
                <w:color w:val="auto"/>
              </w:rPr>
            </w:pPr>
            <w:r>
              <w:rPr>
                <w:rFonts w:ascii="Arial" w:cs="Arial" w:eastAsia="Arial" w:hAnsi="Arial"/>
                <w:sz w:val="16"/>
                <w:szCs w:val="16"/>
                <w:b w:val="1"/>
                <w:bCs w:val="1"/>
                <w:color w:val="auto"/>
                <w:w w:val="91"/>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304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tcPr>
          <w:p>
            <w:pPr>
              <w:jc w:val="right"/>
              <w:ind w:right="7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792"/>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Determination of shares:</w:t>
            </w: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40" w:type="dxa"/>
            <w:vAlign w:val="bottom"/>
            <w:gridSpan w:val="3"/>
            <w:vMerge w:val="continue"/>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Weighted-average shares of common stock outstanding</w:t>
            </w:r>
          </w:p>
        </w:tc>
        <w:tc>
          <w:tcPr>
            <w:tcW w:w="2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435,071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367,226</w:t>
            </w:r>
          </w:p>
        </w:tc>
        <w:tc>
          <w:tcPr>
            <w:tcW w:w="10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206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2140" w:type="dxa"/>
            <w:vAlign w:val="bottom"/>
            <w:gridSpan w:val="2"/>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Assumed settlement of Forward Sale Agreements</w:t>
            </w:r>
          </w:p>
        </w:tc>
        <w:tc>
          <w:tcPr>
            <w:tcW w:w="2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w w:val="94"/>
              </w:rPr>
              <w:t>Diluted weighted-average shares of common stock outstanding</w:t>
            </w:r>
          </w:p>
        </w:tc>
        <w:tc>
          <w:tcPr>
            <w:tcW w:w="2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439,153</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367,317</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40" w:type="dxa"/>
            <w:vAlign w:val="bottom"/>
            <w:gridSpan w:val="3"/>
          </w:tcPr>
          <w:p>
            <w:pPr>
              <w:ind w:left="460"/>
              <w:spacing w:after="0"/>
              <w:rPr>
                <w:sz w:val="20"/>
                <w:szCs w:val="20"/>
                <w:color w:val="auto"/>
              </w:rPr>
            </w:pPr>
            <w:r>
              <w:rPr>
                <w:rFonts w:ascii="Arial" w:cs="Arial" w:eastAsia="Arial" w:hAnsi="Arial"/>
                <w:sz w:val="18"/>
                <w:szCs w:val="18"/>
                <w:color w:val="auto"/>
              </w:rPr>
              <w:t>F - 43</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Basic and Diluted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restart"/>
          </w:tcPr>
          <w:p>
            <w:pPr>
              <w:jc w:val="center"/>
              <w:ind w:right="153"/>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80" w:type="dxa"/>
            <w:vAlign w:val="bottom"/>
          </w:tcPr>
          <w:p>
            <w:pPr>
              <w:spacing w:after="0"/>
              <w:rPr>
                <w:sz w:val="17"/>
                <w:szCs w:val="17"/>
                <w:color w:val="auto"/>
              </w:rPr>
            </w:pPr>
          </w:p>
        </w:tc>
        <w:tc>
          <w:tcPr>
            <w:tcW w:w="1580" w:type="dxa"/>
            <w:vAlign w:val="bottom"/>
          </w:tcPr>
          <w:p>
            <w:pPr>
              <w:jc w:val="right"/>
              <w:ind w:right="7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7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Basic:</w:t>
            </w: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40" w:type="dxa"/>
            <w:vAlign w:val="bottom"/>
            <w:gridSpan w:val="3"/>
            <w:vMerge w:val="continue"/>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Weighted-average shares of common stock outstanding</w:t>
            </w:r>
          </w:p>
        </w:tc>
        <w:tc>
          <w:tcPr>
            <w:tcW w:w="48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435,071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367,226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 EPS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545,964</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4"/>
              </w:rPr>
              <w:t>Diluted weighted-average shares of common stock outstanding</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439,153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Diluted EPS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2019, 11,899,660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years ended December 31, 2019 and 2018 and the period from October 6, 2017 through December 31, 2017, the Company granted approximately 177,000, 172,000 and 124,000, shares of restricted stock, respectively, under the Plan, respectively, subject to vesting restrictions based on service. Such restricted time-based stock awards vest ratably on an annual basis over a service period of three to four years. The number of shares granted was determined based on the 10-day volume weighted average price using the 10 trading days immediately preceding the grant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years ended December 31, 2019 and 2018 the Company granted approximately 158,000 and 133,000 restricted stock units, respectively, under the Plan subject to vesting restrictions based on specified absolute and relative total stockholder return goals measured over a three-year performance period. We used a Monte Carlo Simulation (risk-neutral approach) to determine the number of shares that may be earned and vested pursuant to the award as these awards were deemed to have a market condition. The risk-free interest rate assumptions used in the Monte Carlo Simulation were determined based on the zero-coupon risk-free rate of 2.5% - 2.7% and an expected price volatility of 13.3% - 20.0%. The expected price volatility was calculated based on both historical and implied volatility.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40" w:type="dxa"/>
            <w:vAlign w:val="bottom"/>
            <w:gridSpan w:val="3"/>
            <w:vMerge w:val="restart"/>
          </w:tcPr>
          <w:p>
            <w:pPr>
              <w:jc w:val="right"/>
              <w:ind w:right="434"/>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restart"/>
          </w:tcPr>
          <w:p>
            <w:pPr>
              <w:jc w:val="center"/>
              <w:ind w:right="157"/>
              <w:spacing w:after="0"/>
              <w:rPr>
                <w:sz w:val="20"/>
                <w:szCs w:val="20"/>
                <w:color w:val="auto"/>
              </w:rPr>
            </w:pPr>
            <w:r>
              <w:rPr>
                <w:rFonts w:ascii="Arial" w:cs="Arial" w:eastAsia="Arial" w:hAnsi="Arial"/>
                <w:sz w:val="16"/>
                <w:szCs w:val="16"/>
                <w:b w:val="1"/>
                <w:bCs w:val="1"/>
                <w:color w:val="auto"/>
                <w:w w:val="92"/>
              </w:rPr>
              <w:t>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ind w:right="97"/>
              <w:spacing w:after="0"/>
              <w:rPr>
                <w:sz w:val="20"/>
                <w:szCs w:val="20"/>
                <w:color w:val="auto"/>
              </w:rPr>
            </w:pPr>
            <w:r>
              <w:rPr>
                <w:rFonts w:ascii="Arial" w:cs="Arial" w:eastAsia="Arial" w:hAnsi="Arial"/>
                <w:sz w:val="16"/>
                <w:szCs w:val="16"/>
                <w:b w:val="1"/>
                <w:bCs w:val="1"/>
                <w:color w:val="auto"/>
                <w:w w:val="90"/>
              </w:rPr>
              <w:t>to 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75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F - 44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incentive stock, time-based restricted stock and performance-based restricted stock units: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 Average Grant Date</w:t>
            </w:r>
          </w:p>
        </w:tc>
      </w:tr>
      <w:tr>
        <w:trPr>
          <w:trHeight w:val="210"/>
        </w:trPr>
        <w:tc>
          <w:tcPr>
            <w:tcW w:w="6980" w:type="dxa"/>
            <w:vAlign w:val="bottom"/>
          </w:tcPr>
          <w:p>
            <w:pPr>
              <w:spacing w:after="0"/>
              <w:rPr>
                <w:sz w:val="18"/>
                <w:szCs w:val="18"/>
                <w:color w:val="auto"/>
              </w:rPr>
            </w:pPr>
          </w:p>
        </w:tc>
        <w:tc>
          <w:tcPr>
            <w:tcW w:w="1360" w:type="dxa"/>
            <w:vAlign w:val="bottom"/>
          </w:tcPr>
          <w:p>
            <w:pPr>
              <w:ind w:left="860"/>
              <w:spacing w:after="0"/>
              <w:rPr>
                <w:sz w:val="20"/>
                <w:szCs w:val="20"/>
                <w:color w:val="auto"/>
              </w:rPr>
            </w:pPr>
            <w:r>
              <w:rPr>
                <w:rFonts w:ascii="Arial" w:cs="Arial" w:eastAsia="Arial" w:hAnsi="Arial"/>
                <w:sz w:val="16"/>
                <w:szCs w:val="16"/>
                <w:b w:val="1"/>
                <w:bCs w:val="1"/>
                <w:color w:val="auto"/>
                <w:w w:val="89"/>
              </w:rPr>
              <w:t>Shares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Formation Date</w:t>
            </w:r>
          </w:p>
        </w:tc>
        <w:tc>
          <w:tcPr>
            <w:tcW w:w="1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174,572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15.41</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Outstanding as of December 31, 2017</w:t>
            </w:r>
          </w:p>
        </w:tc>
        <w:tc>
          <w:tcPr>
            <w:tcW w:w="1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123,610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15.61</w:t>
            </w:r>
          </w:p>
        </w:tc>
      </w:tr>
      <w:tr>
        <w:trPr>
          <w:trHeight w:val="27"/>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(59,954)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10.18</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338,788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(121,786)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20.44</w:t>
            </w:r>
          </w:p>
        </w:tc>
      </w:tr>
      <w:tr>
        <w:trPr>
          <w:trHeight w:val="27"/>
        </w:trPr>
        <w:tc>
          <w:tcPr>
            <w:tcW w:w="6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Outstanding as of December 31, 2019</w:t>
            </w:r>
          </w:p>
        </w:tc>
        <w:tc>
          <w:tcPr>
            <w:tcW w:w="1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601,472</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69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was $7.8 million of unrecognized compensation cost related to non-vested stock-based compensation arrangements under the Plan. This cost is expected to be recognized over a weighted average period of 1.7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Income Taxes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federal income tax except for the TRS operations.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Accordingly, our tax provision and deferred tax analysis are primarily from the results of TRS activities.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tax legislation, commonly referred to as the Tax Cuts and Jobs Act (“Tax Reform Act”), was enacted on December 22, 2017, which significantly changed U.S. tax law by, among other things, a permanent reduction of the U.S. corporate income tax rate from 35% to 21%, effective January 1, 2018. ASC 740, “Accounting for Income Taxes”, requires companies to recognize the effect of tax law changes in the period of enactment. Accordingly, in 2017 we recorded a reduction to our net deferred tax liability of $2.4 million, and a corresponding increase to income tax benefit during the period.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79"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income tax expense (benefit)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7"/>
            <w:vMerge w:val="restart"/>
          </w:tcPr>
          <w:p>
            <w:pPr>
              <w:jc w:val="center"/>
              <w:ind w:right="32"/>
              <w:spacing w:after="0"/>
              <w:rPr>
                <w:sz w:val="20"/>
                <w:szCs w:val="20"/>
                <w:color w:val="auto"/>
              </w:rPr>
            </w:pPr>
            <w:r>
              <w:rPr>
                <w:rFonts w:ascii="Arial" w:cs="Arial" w:eastAsia="Arial" w:hAnsi="Arial"/>
                <w:sz w:val="16"/>
                <w:szCs w:val="16"/>
                <w:b w:val="1"/>
                <w:bCs w:val="1"/>
                <w:color w:val="auto"/>
                <w:w w:val="92"/>
              </w:rPr>
              <w:t>Period from October 6,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6"/>
          </w:tcPr>
          <w:p>
            <w:pPr>
              <w:jc w:val="center"/>
              <w:ind w:left="454"/>
              <w:spacing w:after="0"/>
              <w:rPr>
                <w:sz w:val="20"/>
                <w:szCs w:val="20"/>
                <w:color w:val="auto"/>
              </w:rPr>
            </w:pPr>
            <w:r>
              <w:rPr>
                <w:rFonts w:ascii="Arial" w:cs="Arial" w:eastAsia="Arial" w:hAnsi="Arial"/>
                <w:sz w:val="16"/>
                <w:szCs w:val="16"/>
                <w:b w:val="1"/>
                <w:bCs w:val="1"/>
                <w:color w:val="auto"/>
                <w:w w:val="91"/>
              </w:rPr>
              <w:t>to December 31, 2017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3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Deferred</w:t>
            </w:r>
          </w:p>
        </w:tc>
        <w:tc>
          <w:tcPr>
            <w:tcW w:w="240" w:type="dxa"/>
            <w:vAlign w:val="bottom"/>
          </w:tcPr>
          <w:p>
            <w:pPr>
              <w:spacing w:after="0"/>
              <w:rPr>
                <w:sz w:val="19"/>
                <w:szCs w:val="19"/>
                <w:color w:val="auto"/>
              </w:rPr>
            </w:pPr>
          </w:p>
        </w:tc>
        <w:tc>
          <w:tcPr>
            <w:tcW w:w="66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Income tax expense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and 2018, the net effects of temporary differences that gave rise to significant portions of the deferred tax assets and deferred tax liabilities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2019</w:t>
            </w: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Arial" w:cs="Arial" w:eastAsia="Arial" w:hAnsi="Arial"/>
                <w:sz w:val="18"/>
                <w:szCs w:val="18"/>
                <w:color w:val="auto"/>
              </w:rPr>
              <w:t>Federal net operating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3"/>
          </w:tcPr>
          <w:p>
            <w:pPr>
              <w:ind w:left="1340"/>
              <w:spacing w:after="0"/>
              <w:rPr>
                <w:sz w:val="20"/>
                <w:szCs w:val="20"/>
                <w:color w:val="auto"/>
              </w:rPr>
            </w:pPr>
            <w:r>
              <w:rPr>
                <w:rFonts w:ascii="Arial" w:cs="Arial" w:eastAsia="Arial" w:hAnsi="Arial"/>
                <w:sz w:val="18"/>
                <w:szCs w:val="18"/>
                <w:color w:val="auto"/>
              </w:rPr>
              <w:t>—   $</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Accruals, reserves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46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tax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jc w:val="right"/>
              <w:ind w:right="4750"/>
              <w:spacing w:after="0"/>
              <w:rPr>
                <w:sz w:val="20"/>
                <w:szCs w:val="20"/>
                <w:color w:val="auto"/>
              </w:rPr>
            </w:pPr>
            <w:r>
              <w:rPr>
                <w:rFonts w:ascii="Arial" w:cs="Arial" w:eastAsia="Arial" w:hAnsi="Arial"/>
                <w:sz w:val="18"/>
                <w:szCs w:val="18"/>
                <w:color w:val="auto"/>
                <w:w w:val="99"/>
              </w:rPr>
              <w:t>Land, buildings and equipment, net</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(3,457)</w:t>
            </w:r>
          </w:p>
        </w:tc>
      </w:tr>
      <w:tr>
        <w:trPr>
          <w:trHeight w:val="27"/>
        </w:trPr>
        <w:tc>
          <w:tcPr>
            <w:tcW w:w="7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jc w:val="right"/>
              <w:ind w:right="5090"/>
              <w:spacing w:after="0"/>
              <w:rPr>
                <w:sz w:val="20"/>
                <w:szCs w:val="20"/>
                <w:color w:val="auto"/>
              </w:rPr>
            </w:pPr>
            <w:r>
              <w:rPr>
                <w:rFonts w:ascii="Arial" w:cs="Arial" w:eastAsia="Arial" w:hAnsi="Arial"/>
                <w:sz w:val="18"/>
                <w:szCs w:val="18"/>
                <w:color w:val="auto"/>
              </w:rPr>
              <w:t>Total deferred tax liabilities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r>
      <w:tr>
        <w:trPr>
          <w:trHeight w:val="257"/>
        </w:trPr>
        <w:tc>
          <w:tcPr>
            <w:tcW w:w="7660" w:type="dxa"/>
            <w:vAlign w:val="bottom"/>
          </w:tcPr>
          <w:p>
            <w:pPr>
              <w:jc w:val="right"/>
              <w:ind w:right="5090"/>
              <w:spacing w:after="0"/>
              <w:rPr>
                <w:sz w:val="20"/>
                <w:szCs w:val="20"/>
                <w:color w:val="auto"/>
              </w:rPr>
            </w:pPr>
            <w:r>
              <w:rPr>
                <w:rFonts w:ascii="Arial" w:cs="Arial" w:eastAsia="Arial" w:hAnsi="Arial"/>
                <w:sz w:val="18"/>
                <w:szCs w:val="18"/>
                <w:color w:val="auto"/>
              </w:rPr>
              <w:t>Net deferred tax liability</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r>
      <w:tr>
        <w:trPr>
          <w:trHeight w:val="20"/>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effective income tax rate to the historical federal statutory rate of 21% in 2019 and 2018 and 35% in 2017:</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(Amounts in thousands)</w:t>
      </w:r>
    </w:p>
    <w:p>
      <w:pPr>
        <w:spacing w:after="0" w:line="59" w:lineRule="exact"/>
        <w:rPr>
          <w:sz w:val="20"/>
          <w:szCs w:val="20"/>
          <w:color w:val="auto"/>
        </w:rPr>
      </w:pPr>
    </w:p>
    <w:p>
      <w:pPr>
        <w:ind w:left="40"/>
        <w:spacing w:after="0" w:line="361" w:lineRule="auto"/>
        <w:rPr>
          <w:sz w:val="20"/>
          <w:szCs w:val="20"/>
          <w:color w:val="auto"/>
        </w:rPr>
      </w:pPr>
      <w:r>
        <w:rPr>
          <w:rFonts w:ascii="Arial" w:cs="Arial" w:eastAsia="Arial" w:hAnsi="Arial"/>
          <w:sz w:val="16"/>
          <w:szCs w:val="16"/>
          <w:color w:val="auto"/>
        </w:rPr>
        <w:t>Federal income tax expense at statutory rate REIT income not subject to federal income tax</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180" w:type="dxa"/>
            <w:vAlign w:val="bottom"/>
          </w:tcPr>
          <w:p>
            <w:pPr>
              <w:spacing w:after="0"/>
              <w:rPr>
                <w:sz w:val="17"/>
                <w:szCs w:val="17"/>
                <w:color w:val="auto"/>
              </w:rPr>
            </w:pPr>
          </w:p>
        </w:tc>
        <w:tc>
          <w:tcPr>
            <w:tcW w:w="2580" w:type="dxa"/>
            <w:vAlign w:val="bottom"/>
            <w:gridSpan w:val="5"/>
          </w:tcPr>
          <w:p>
            <w:pPr>
              <w:jc w:val="right"/>
              <w:ind w:right="1120"/>
              <w:spacing w:after="0"/>
              <w:rPr>
                <w:sz w:val="20"/>
                <w:szCs w:val="20"/>
                <w:color w:val="auto"/>
              </w:rPr>
            </w:pPr>
            <w:r>
              <w:rPr>
                <w:rFonts w:ascii="Arial" w:cs="Arial" w:eastAsia="Arial" w:hAnsi="Arial"/>
                <w:sz w:val="16"/>
                <w:szCs w:val="16"/>
                <w:b w:val="1"/>
                <w:bCs w:val="1"/>
                <w:color w:val="auto"/>
              </w:rPr>
              <w:t>Year Ended</w:t>
            </w:r>
          </w:p>
        </w:tc>
        <w:tc>
          <w:tcPr>
            <w:tcW w:w="2560" w:type="dxa"/>
            <w:vAlign w:val="bottom"/>
            <w:gridSpan w:val="5"/>
          </w:tcPr>
          <w:p>
            <w:pPr>
              <w:jc w:val="right"/>
              <w:ind w:right="1100"/>
              <w:spacing w:after="0"/>
              <w:rPr>
                <w:sz w:val="20"/>
                <w:szCs w:val="20"/>
                <w:color w:val="auto"/>
              </w:rPr>
            </w:pPr>
            <w:r>
              <w:rPr>
                <w:rFonts w:ascii="Arial" w:cs="Arial" w:eastAsia="Arial" w:hAnsi="Arial"/>
                <w:sz w:val="16"/>
                <w:szCs w:val="16"/>
                <w:b w:val="1"/>
                <w:bCs w:val="1"/>
                <w:color w:val="auto"/>
              </w:rPr>
              <w:t>Year Ended</w:t>
            </w:r>
          </w:p>
        </w:tc>
        <w:tc>
          <w:tcPr>
            <w:tcW w:w="230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0"/>
              </w:rPr>
              <w:t>October 6, 2017</w:t>
            </w:r>
          </w:p>
        </w:tc>
      </w:tr>
      <w:tr>
        <w:trPr>
          <w:trHeight w:val="210"/>
        </w:trPr>
        <w:tc>
          <w:tcPr>
            <w:tcW w:w="180" w:type="dxa"/>
            <w:vAlign w:val="bottom"/>
          </w:tcPr>
          <w:p>
            <w:pPr>
              <w:spacing w:after="0"/>
              <w:rPr>
                <w:sz w:val="18"/>
                <w:szCs w:val="18"/>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December 31, 2019</w:t>
            </w:r>
          </w:p>
        </w:tc>
        <w:tc>
          <w:tcPr>
            <w:tcW w:w="256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December 31, 2018</w:t>
            </w:r>
          </w:p>
        </w:tc>
        <w:tc>
          <w:tcPr>
            <w:tcW w:w="230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0"/>
              </w:rPr>
              <w:t>to December 31, 2017</w:t>
            </w:r>
          </w:p>
        </w:tc>
      </w:tr>
      <w:tr>
        <w:trPr>
          <w:trHeight w:val="33"/>
        </w:trPr>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Percent</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Percent</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w:t>
            </w:r>
          </w:p>
        </w:tc>
      </w:tr>
      <w:tr>
        <w:trPr>
          <w:trHeight w:val="27"/>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116,757</w:t>
            </w:r>
          </w:p>
        </w:tc>
        <w:tc>
          <w:tcPr>
            <w:tcW w:w="120" w:type="dxa"/>
            <w:vAlign w:val="bottom"/>
          </w:tcPr>
          <w:p>
            <w:pPr>
              <w:spacing w:after="0"/>
              <w:rPr>
                <w:sz w:val="20"/>
                <w:szCs w:val="20"/>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21.0 %  $</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112,326</w:t>
            </w:r>
          </w:p>
        </w:tc>
        <w:tc>
          <w:tcPr>
            <w:tcW w:w="12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21.0 %  $</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15,414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(115,395)</w:t>
            </w:r>
          </w:p>
        </w:tc>
        <w:tc>
          <w:tcPr>
            <w:tcW w:w="12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(111,035)</w:t>
            </w:r>
          </w:p>
        </w:tc>
        <w:tc>
          <w:tcPr>
            <w:tcW w:w="1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3"/>
                <w:szCs w:val="23"/>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-153670</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400" w:space="400"/>
            <w:col w:w="762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w w:val="93"/>
              </w:rPr>
              <w:t>Pre-tax gain attributable to taxable subsidiaries</w:t>
            </w: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7"/>
        </w:trPr>
        <w:tc>
          <w:tcPr>
            <w:tcW w:w="3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7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Tax Reform on deferred tax liability</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0"/>
        </w:trPr>
        <w:tc>
          <w:tcPr>
            <w:tcW w:w="3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57"/>
        </w:trPr>
        <w:tc>
          <w:tcPr>
            <w:tcW w:w="380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2"/>
                <w:szCs w:val="22"/>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0.3 %  $</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0.2 %  $</w:t>
            </w:r>
          </w:p>
        </w:tc>
        <w:tc>
          <w:tcPr>
            <w:tcW w:w="780" w:type="dxa"/>
            <w:vAlign w:val="bottom"/>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743"/>
        </w:trPr>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8"/>
                <w:szCs w:val="18"/>
                <w:color w:val="auto"/>
              </w:rPr>
              <w:t>F - 46</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declared dividends of $1.17 per common share and $0.9975 per common share during the years ended December 31, 2019 and 2018, respectively. We did not declare any dividends during the period from October 6, 2017 through December 31, 2017. For U.S. Federal income tax purposes, the portion of the dividends allocated to stockholders for the years ended December 31, 2019 and 2018 are characterized as follows:</w:t>
      </w:r>
    </w:p>
    <w:p>
      <w:pPr>
        <w:spacing w:after="0" w:line="234"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per share)</w:t>
            </w:r>
          </w:p>
        </w:tc>
        <w:tc>
          <w:tcPr>
            <w:tcW w:w="4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7"/>
                <w:szCs w:val="17"/>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64"/>
        </w:trPr>
        <w:tc>
          <w:tcPr>
            <w:tcW w:w="4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Ordinary dividends</w:t>
            </w:r>
          </w:p>
        </w:tc>
        <w:tc>
          <w:tcPr>
            <w:tcW w:w="3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0.8465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0.9251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Section 199A dividends </w:t>
            </w:r>
            <w:r>
              <w:rPr>
                <w:rFonts w:ascii="Arial" w:cs="Arial" w:eastAsia="Arial" w:hAnsi="Arial"/>
                <w:sz w:val="25"/>
                <w:szCs w:val="25"/>
                <w:color w:val="auto"/>
                <w:vertAlign w:val="superscript"/>
              </w:rPr>
              <w:t>(1)</w:t>
            </w:r>
          </w:p>
        </w:tc>
        <w:tc>
          <w:tcPr>
            <w:tcW w:w="3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0.8159</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0.9251</w:t>
            </w:r>
          </w:p>
        </w:tc>
      </w:tr>
      <w:tr>
        <w:trPr>
          <w:trHeight w:val="270"/>
        </w:trPr>
        <w:tc>
          <w:tcPr>
            <w:tcW w:w="40" w:type="dxa"/>
            <w:vAlign w:val="bottom"/>
          </w:tcPr>
          <w:p>
            <w:pPr>
              <w:spacing w:after="0"/>
              <w:rPr>
                <w:sz w:val="23"/>
                <w:szCs w:val="23"/>
                <w:color w:val="auto"/>
              </w:rPr>
            </w:pPr>
          </w:p>
        </w:tc>
        <w:tc>
          <w:tcPr>
            <w:tcW w:w="490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Qualified dividend </w:t>
            </w:r>
            <w:r>
              <w:rPr>
                <w:rFonts w:ascii="Arial" w:cs="Arial" w:eastAsia="Arial" w:hAnsi="Arial"/>
                <w:sz w:val="25"/>
                <w:szCs w:val="25"/>
                <w:color w:val="auto"/>
                <w:vertAlign w:val="superscript"/>
              </w:rPr>
              <w:t>(1)</w:t>
            </w:r>
          </w:p>
        </w:tc>
        <w:tc>
          <w:tcPr>
            <w:tcW w:w="3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0.0306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Non-dividend distribution</w:t>
            </w:r>
          </w:p>
        </w:tc>
        <w:tc>
          <w:tcPr>
            <w:tcW w:w="3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0.0985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6"/>
        </w:trPr>
        <w:tc>
          <w:tcPr>
            <w:tcW w:w="4940" w:type="dxa"/>
            <w:vAlign w:val="bottom"/>
            <w:gridSpan w:val="3"/>
          </w:tcPr>
          <w:p>
            <w:pPr>
              <w:jc w:val="right"/>
              <w:ind w:right="3140"/>
              <w:spacing w:after="0"/>
              <w:rPr>
                <w:sz w:val="20"/>
                <w:szCs w:val="20"/>
                <w:color w:val="auto"/>
              </w:rPr>
            </w:pPr>
            <w:r>
              <w:rPr>
                <w:rFonts w:ascii="Arial" w:cs="Arial" w:eastAsia="Arial" w:hAnsi="Arial"/>
                <w:sz w:val="18"/>
                <w:szCs w:val="18"/>
                <w:color w:val="auto"/>
                <w:w w:val="88"/>
              </w:rPr>
              <w:t>____________________</w:t>
            </w:r>
          </w:p>
        </w:tc>
        <w:tc>
          <w:tcPr>
            <w:tcW w:w="3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ind w:left="340" w:hanging="332"/>
        <w:spacing w:after="0"/>
        <w:tabs>
          <w:tab w:leader="none" w:pos="340"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a subset of, and are included in, the ordinary dividend amounts.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had estimated NOLs of $151.6 million, generated by our REIT, that will expire in 2029, unless they are utilized by us prior to expiration.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2017, 2018 and 2019 tax years remain subject to examination by taxing authorities. Since our formation occurred in 2017, there are no prior tax years subject to examination.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Segment Information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certain information with respect to our 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2019</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9"/>
                <w:szCs w:val="19"/>
                <w:color w:val="auto"/>
              </w:rPr>
            </w:pPr>
          </w:p>
        </w:tc>
        <w:tc>
          <w:tcPr>
            <w:tcW w:w="1900" w:type="dxa"/>
            <w:vAlign w:val="bottom"/>
          </w:tcPr>
          <w:p>
            <w:pPr>
              <w:jc w:val="right"/>
              <w:ind w:right="151"/>
              <w:spacing w:after="0"/>
              <w:rPr>
                <w:sz w:val="20"/>
                <w:szCs w:val="20"/>
                <w:color w:val="auto"/>
              </w:rPr>
            </w:pPr>
            <w:r>
              <w:rPr>
                <w:rFonts w:ascii="Arial" w:cs="Arial" w:eastAsia="Arial" w:hAnsi="Arial"/>
                <w:sz w:val="16"/>
                <w:szCs w:val="16"/>
                <w:b w:val="1"/>
                <w:bCs w:val="1"/>
                <w:color w:val="auto"/>
                <w:w w:val="91"/>
              </w:rPr>
              <w:t>Real Property Business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Golf Course Business</w:t>
            </w:r>
          </w:p>
        </w:tc>
        <w:tc>
          <w:tcPr>
            <w:tcW w:w="260" w:type="dxa"/>
            <w:vAlign w:val="bottom"/>
          </w:tcPr>
          <w:p>
            <w:pPr>
              <w:spacing w:after="0"/>
              <w:rPr>
                <w:sz w:val="19"/>
                <w:szCs w:val="19"/>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rPr>
              <w:t>VICI 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865,858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894,798</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836,275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842,499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(248,384)</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(58,143)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555,986</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1,705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554,281</w:t>
            </w:r>
          </w:p>
        </w:tc>
      </w:tr>
      <w:tr>
        <w:trPr>
          <w:trHeight w:val="243"/>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3,831</w:t>
            </w:r>
          </w:p>
        </w:tc>
      </w:tr>
      <w:tr>
        <w:trPr>
          <w:trHeight w:val="32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13,177,318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13,265,619</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5,199,029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5,216,630</w:t>
            </w:r>
          </w:p>
        </w:tc>
      </w:tr>
      <w:tr>
        <w:trPr>
          <w:trHeight w:val="567"/>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right"/>
              <w:ind w:right="1091"/>
              <w:spacing w:after="0"/>
              <w:rPr>
                <w:sz w:val="20"/>
                <w:szCs w:val="20"/>
                <w:color w:val="auto"/>
              </w:rPr>
            </w:pPr>
            <w:r>
              <w:rPr>
                <w:rFonts w:ascii="Arial" w:cs="Arial" w:eastAsia="Arial" w:hAnsi="Arial"/>
                <w:sz w:val="18"/>
                <w:szCs w:val="18"/>
                <w:color w:val="auto"/>
              </w:rPr>
              <w:t>F - 47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2018</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9"/>
                <w:szCs w:val="19"/>
                <w:color w:val="auto"/>
              </w:rPr>
            </w:pPr>
          </w:p>
        </w:tc>
        <w:tc>
          <w:tcPr>
            <w:tcW w:w="1900" w:type="dxa"/>
            <w:vAlign w:val="bottom"/>
          </w:tcPr>
          <w:p>
            <w:pPr>
              <w:jc w:val="right"/>
              <w:ind w:right="151"/>
              <w:spacing w:after="0"/>
              <w:rPr>
                <w:sz w:val="20"/>
                <w:szCs w:val="20"/>
                <w:color w:val="auto"/>
              </w:rPr>
            </w:pPr>
            <w:r>
              <w:rPr>
                <w:rFonts w:ascii="Arial" w:cs="Arial" w:eastAsia="Arial" w:hAnsi="Arial"/>
                <w:sz w:val="16"/>
                <w:szCs w:val="16"/>
                <w:b w:val="1"/>
                <w:bCs w:val="1"/>
                <w:color w:val="auto"/>
                <w:w w:val="91"/>
              </w:rPr>
              <w:t>Real Property Business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Golf Course Business</w:t>
            </w:r>
          </w:p>
        </w:tc>
        <w:tc>
          <w:tcPr>
            <w:tcW w:w="260" w:type="dxa"/>
            <w:vAlign w:val="bottom"/>
          </w:tcPr>
          <w:p>
            <w:pPr>
              <w:spacing w:after="0"/>
              <w:rPr>
                <w:sz w:val="19"/>
                <w:szCs w:val="19"/>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rPr>
              <w:t>VICI Consolidated</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2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870,776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897,977</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751,803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757,954</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(212,663)</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533,558</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532,117</w:t>
            </w:r>
          </w:p>
        </w:tc>
      </w:tr>
      <w:tr>
        <w:trPr>
          <w:trHeight w:val="32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w:t>
            </w:r>
          </w:p>
        </w:tc>
      </w:tr>
      <w:tr>
        <w:trPr>
          <w:trHeight w:val="32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11,247,637</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11,333,368</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4,424,861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4,432,346</w:t>
            </w:r>
          </w:p>
        </w:tc>
      </w:tr>
      <w:tr>
        <w:trPr>
          <w:trHeight w:val="7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Period from October 6, 2017</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 December 31, 2017</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9"/>
                <w:szCs w:val="19"/>
                <w:color w:val="auto"/>
              </w:rPr>
            </w:pPr>
          </w:p>
        </w:tc>
        <w:tc>
          <w:tcPr>
            <w:tcW w:w="1900" w:type="dxa"/>
            <w:vAlign w:val="bottom"/>
          </w:tcPr>
          <w:p>
            <w:pPr>
              <w:jc w:val="right"/>
              <w:ind w:right="151"/>
              <w:spacing w:after="0"/>
              <w:rPr>
                <w:sz w:val="20"/>
                <w:szCs w:val="20"/>
                <w:color w:val="auto"/>
              </w:rPr>
            </w:pPr>
            <w:r>
              <w:rPr>
                <w:rFonts w:ascii="Arial" w:cs="Arial" w:eastAsia="Arial" w:hAnsi="Arial"/>
                <w:sz w:val="16"/>
                <w:szCs w:val="16"/>
                <w:b w:val="1"/>
                <w:bCs w:val="1"/>
                <w:color w:val="auto"/>
                <w:w w:val="91"/>
              </w:rPr>
              <w:t>Real Property Business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Golf Course Business</w:t>
            </w:r>
          </w:p>
        </w:tc>
        <w:tc>
          <w:tcPr>
            <w:tcW w:w="260" w:type="dxa"/>
            <w:vAlign w:val="bottom"/>
          </w:tcPr>
          <w:p>
            <w:pPr>
              <w:spacing w:after="0"/>
              <w:rPr>
                <w:sz w:val="19"/>
                <w:szCs w:val="19"/>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rPr>
              <w:t>VICI Consolidated</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2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181,258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187,609</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142,722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144,196</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(38,488)</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42,636</w:t>
            </w:r>
          </w:p>
        </w:tc>
      </w:tr>
      <w:tr>
        <w:trPr>
          <w:trHeight w:val="243"/>
        </w:trPr>
        <w:tc>
          <w:tcPr>
            <w:tcW w:w="20" w:type="dxa"/>
            <w:vAlign w:val="bottom"/>
          </w:tcPr>
          <w:p>
            <w:pPr>
              <w:spacing w:after="0"/>
              <w:rPr>
                <w:sz w:val="21"/>
                <w:szCs w:val="21"/>
                <w:color w:val="auto"/>
              </w:rPr>
            </w:pPr>
          </w:p>
        </w:tc>
        <w:tc>
          <w:tcPr>
            <w:tcW w:w="502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1,901</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44,537</w:t>
            </w:r>
          </w:p>
        </w:tc>
      </w:tr>
      <w:tr>
        <w:trPr>
          <w:trHeight w:val="32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09"/>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ind w:left="340" w:hanging="332"/>
        <w:spacing w:after="0" w:line="255" w:lineRule="auto"/>
        <w:tabs>
          <w:tab w:leader="none" w:pos="34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Upon the adoption of ASC 842 on January 1, 2019, we ceased recording tenant reimbursement of property taxes as these taxes are paid directly by our tenants to the applicable government entity.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Subsequent Events</w:t>
      </w:r>
    </w:p>
    <w:p>
      <w:pPr>
        <w:spacing w:after="0" w:line="219" w:lineRule="exact"/>
        <w:rPr>
          <w:sz w:val="20"/>
          <w:szCs w:val="20"/>
          <w:color w:val="auto"/>
        </w:rPr>
      </w:pPr>
    </w:p>
    <w:p>
      <w:pPr>
        <w:jc w:val="both"/>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We have evaluated subsequent events and, except for the payment of dividends on January 9, 2020, as described in </w:t>
      </w:r>
      <w:hyperlink w:anchor="page124">
        <w:r>
          <w:rPr>
            <w:rFonts w:ascii="Arial" w:cs="Arial" w:eastAsia="Arial" w:hAnsi="Arial"/>
            <w:sz w:val="17"/>
            <w:szCs w:val="17"/>
            <w:u w:val="single" w:color="auto"/>
            <w:color w:val="0000EE"/>
          </w:rPr>
          <w:t>Note 11</w:t>
        </w:r>
      </w:hyperlink>
      <w:r>
        <w:rPr>
          <w:rFonts w:ascii="Arial" w:cs="Arial" w:eastAsia="Arial" w:hAnsi="Arial"/>
          <w:sz w:val="17"/>
          <w:szCs w:val="17"/>
          <w:color w:val="auto"/>
        </w:rPr>
        <w:t xml:space="preserve">, and the closing of the JACK Cleveland/Thistledown Acquisition on January 24, 2020, as described in </w:t>
      </w:r>
      <w:hyperlink w:anchor="page102">
        <w:r>
          <w:rPr>
            <w:rFonts w:ascii="Arial" w:cs="Arial" w:eastAsia="Arial" w:hAnsi="Arial"/>
            <w:sz w:val="17"/>
            <w:szCs w:val="17"/>
            <w:u w:val="single" w:color="auto"/>
            <w:color w:val="0000EE"/>
          </w:rPr>
          <w:t>Note 4</w:t>
        </w:r>
      </w:hyperlink>
      <w:r>
        <w:rPr>
          <w:rFonts w:ascii="Arial" w:cs="Arial" w:eastAsia="Arial" w:hAnsi="Arial"/>
          <w:sz w:val="17"/>
          <w:szCs w:val="17"/>
          <w:color w:val="auto"/>
        </w:rPr>
        <w:t xml:space="preserve">, the repricing of the Term Loan B Facility on January 24, 2020, as described in </w:t>
      </w:r>
      <w:hyperlink w:anchor="page115">
        <w:r>
          <w:rPr>
            <w:rFonts w:ascii="Arial" w:cs="Arial" w:eastAsia="Arial" w:hAnsi="Arial"/>
            <w:sz w:val="17"/>
            <w:szCs w:val="17"/>
            <w:u w:val="single" w:color="auto"/>
            <w:color w:val="0000EE"/>
          </w:rPr>
          <w:t>Note 7</w:t>
        </w:r>
      </w:hyperlink>
      <w:r>
        <w:rPr>
          <w:rFonts w:ascii="Arial" w:cs="Arial" w:eastAsia="Arial" w:hAnsi="Arial"/>
          <w:sz w:val="17"/>
          <w:szCs w:val="17"/>
          <w:color w:val="auto"/>
        </w:rPr>
        <w:t xml:space="preserve">, the sale of common stock under the at-the-market offering program on February 7, 2020, as described in </w:t>
      </w:r>
      <w:hyperlink w:anchor="page124">
        <w:r>
          <w:rPr>
            <w:rFonts w:ascii="Arial" w:cs="Arial" w:eastAsia="Arial" w:hAnsi="Arial"/>
            <w:sz w:val="17"/>
            <w:szCs w:val="17"/>
            <w:u w:val="single" w:color="auto"/>
            <w:color w:val="0000EE"/>
          </w:rPr>
          <w:t>Note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the February 2020 Senior Unsecured Notes offering that closed on February 5, 2020 and the repayment of the Second Lien Notes on February 20, 2020, as described in </w:t>
      </w:r>
      <w:hyperlink w:anchor="page115">
        <w:r>
          <w:rPr>
            <w:rFonts w:ascii="Arial" w:cs="Arial" w:eastAsia="Arial" w:hAnsi="Arial"/>
            <w:sz w:val="17"/>
            <w:szCs w:val="17"/>
            <w:u w:val="single" w:color="auto"/>
            <w:color w:val="0000EE"/>
          </w:rPr>
          <w:t>Note 7</w:t>
        </w:r>
      </w:hyperlink>
      <w:r>
        <w:rPr>
          <w:rFonts w:ascii="Arial" w:cs="Arial" w:eastAsia="Arial" w:hAnsi="Arial"/>
          <w:sz w:val="17"/>
          <w:szCs w:val="17"/>
          <w:color w:val="auto"/>
        </w:rPr>
        <w:t>, there were no other events relative to the Financial Statements that require additional disclosure.</w:t>
      </w:r>
    </w:p>
    <w:p>
      <w:pPr>
        <w:spacing w:after="0" w:line="28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F - 48</w:t>
      </w:r>
    </w:p>
    <w:p>
      <w:pPr>
        <w:sectPr>
          <w:pgSz w:w="11900" w:h="16838" w:orient="portrait"/>
          <w:cols w:equalWidth="0" w:num="1">
            <w:col w:w="11420"/>
          </w:cols>
          <w:pgMar w:left="240" w:top="179"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Quarterly Results of Operations (Unaudited)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of operations for the years ended December 31,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5"/>
          </w:tcPr>
          <w:p>
            <w:pPr>
              <w:ind w:left="11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 except per share data)</w:t>
            </w:r>
          </w:p>
        </w:tc>
        <w:tc>
          <w:tcPr>
            <w:tcW w:w="20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2019</w:t>
            </w:r>
          </w:p>
        </w:tc>
        <w:tc>
          <w:tcPr>
            <w:tcW w:w="28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19"/>
                <w:szCs w:val="19"/>
                <w:color w:val="auto"/>
              </w:rPr>
            </w:pPr>
          </w:p>
        </w:tc>
        <w:tc>
          <w:tcPr>
            <w:tcW w:w="1580" w:type="dxa"/>
            <w:vAlign w:val="bottom"/>
          </w:tcPr>
          <w:p>
            <w:pPr>
              <w:jc w:val="right"/>
              <w:ind w:right="291"/>
              <w:spacing w:after="0"/>
              <w:rPr>
                <w:sz w:val="20"/>
                <w:szCs w:val="20"/>
                <w:color w:val="auto"/>
              </w:rPr>
            </w:pPr>
            <w:r>
              <w:rPr>
                <w:rFonts w:ascii="Arial" w:cs="Arial" w:eastAsia="Arial" w:hAnsi="Arial"/>
                <w:sz w:val="16"/>
                <w:szCs w:val="16"/>
                <w:b w:val="1"/>
                <w:bCs w:val="1"/>
                <w:color w:val="auto"/>
              </w:rPr>
              <w:t>March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214,002</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226,758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208,380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205,495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201,866</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152,926</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w w:val="96"/>
              </w:rPr>
              <w:t>Net income attributable to common stockholders</w:t>
            </w: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98,631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152,049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150,849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0.2875</w:t>
            </w:r>
          </w:p>
        </w:tc>
      </w:tr>
      <w:tr>
        <w:trPr>
          <w:trHeight w:val="534"/>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5"/>
          </w:tcPr>
          <w:p>
            <w:pPr>
              <w:ind w:left="11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 except per share data)</w:t>
            </w:r>
          </w:p>
        </w:tc>
        <w:tc>
          <w:tcPr>
            <w:tcW w:w="20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19"/>
                <w:szCs w:val="19"/>
                <w:color w:val="auto"/>
              </w:rPr>
            </w:pPr>
          </w:p>
        </w:tc>
        <w:tc>
          <w:tcPr>
            <w:tcW w:w="1580" w:type="dxa"/>
            <w:vAlign w:val="bottom"/>
          </w:tcPr>
          <w:p>
            <w:pPr>
              <w:jc w:val="right"/>
              <w:ind w:right="291"/>
              <w:spacing w:after="0"/>
              <w:rPr>
                <w:sz w:val="20"/>
                <w:szCs w:val="20"/>
                <w:color w:val="auto"/>
              </w:rPr>
            </w:pPr>
            <w:r>
              <w:rPr>
                <w:rFonts w:ascii="Arial" w:cs="Arial" w:eastAsia="Arial" w:hAnsi="Arial"/>
                <w:sz w:val="16"/>
                <w:szCs w:val="16"/>
                <w:b w:val="1"/>
                <w:bCs w:val="1"/>
                <w:color w:val="auto"/>
              </w:rPr>
              <w:t>March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218,276</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195,682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184,100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189,448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188,724</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114,103</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w w:val="96"/>
              </w:rPr>
              <w:t>Net income attributable to common stockholders</w:t>
            </w: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142,541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129,912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139,044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112,122</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0.33</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0.1600</w:t>
            </w:r>
          </w:p>
        </w:tc>
      </w:tr>
      <w:tr>
        <w:trPr>
          <w:trHeight w:val="756"/>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F - 49</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24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VICI Properties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combined balance sheets of Caesars Entertainment Outdoor (the "Business") as of October 5, 2017 and December 31, 2016, the related combined statements of operations, equity, and cash flows for the period from January 1, 2017 to October 5, 2017 and for each of the two years in the period ended December 31, 2016, and the related notes to the combined financial statements (collectively referred to as the "Financial Statements"). In our opinion, the financial statements present fairly, in all material respects, the financial position of the Business as of October 5, 2017 and December 31, 2016, and the results of its operations and its cash flows for the period from January 1, 2017 to October 5, 2017 and for each of the two years in the period ended December 31, 2016,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Business’ management. Our responsibility is to express an opinion on the Business’ financial statements based on our audits. We are a public accounting firm registered with the Public Company Accounting Oversight Board (United States) (PCAOB) and are required to be independent with respect to the Business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Business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Business’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Business’ auditor since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ectPr>
          <w:pgSz w:w="11900" w:h="16838" w:orient="portrait"/>
          <w:cols w:equalWidth="0" w:num="1">
            <w:col w:w="11420"/>
          </w:cols>
          <w:pgMar w:left="240" w:top="179"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The following sets forth the historical combined financial statements of Caesars Entertainment Outdoor as our predecessor, the operations of which were contributed to VICI Golf on October 6, 2017 as part of our Formation Transactions.</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Receivables,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Prepayments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assets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Liabilities and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63" w:lineRule="exact"/>
        <w:rPr>
          <w:sz w:val="20"/>
          <w:szCs w:val="20"/>
          <w:color w:val="auto"/>
        </w:rPr>
      </w:pPr>
    </w:p>
    <w:p>
      <w:pPr>
        <w:ind w:left="500" w:right="340" w:hanging="215"/>
        <w:spacing w:after="0" w:line="356" w:lineRule="auto"/>
        <w:rPr>
          <w:sz w:val="20"/>
          <w:szCs w:val="20"/>
          <w:color w:val="auto"/>
        </w:rPr>
      </w:pPr>
      <w:r>
        <w:rPr>
          <w:rFonts w:ascii="Arial" w:cs="Arial" w:eastAsia="Arial" w:hAnsi="Arial"/>
          <w:sz w:val="18"/>
          <w:szCs w:val="18"/>
          <w:color w:val="auto"/>
        </w:rPr>
        <w:t>Current portion of long-term debt Total current liabilities</w:t>
      </w:r>
    </w:p>
    <w:p>
      <w:pPr>
        <w:spacing w:after="0" w:line="223" w:lineRule="exact"/>
        <w:rPr>
          <w:sz w:val="20"/>
          <w:szCs w:val="20"/>
          <w:color w:val="auto"/>
        </w:rPr>
      </w:pPr>
    </w:p>
    <w:p>
      <w:pPr>
        <w:ind w:left="40" w:right="600"/>
        <w:spacing w:after="0" w:line="361" w:lineRule="auto"/>
        <w:rPr>
          <w:sz w:val="20"/>
          <w:szCs w:val="20"/>
          <w:color w:val="auto"/>
        </w:rPr>
      </w:pPr>
      <w:r>
        <w:rPr>
          <w:rFonts w:ascii="Arial" w:cs="Arial" w:eastAsia="Arial" w:hAnsi="Arial"/>
          <w:sz w:val="16"/>
          <w:szCs w:val="16"/>
          <w:color w:val="auto"/>
        </w:rPr>
        <w:t>Deferred income taxes Liabilities subject to compromise</w:t>
      </w:r>
    </w:p>
    <w:p>
      <w:pPr>
        <w:ind w:left="72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investment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equity</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tbl>
      <w:tblPr>
        <w:tblLayout w:type="fixed"/>
        <w:tblInd w:w="36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88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October 5, 2017</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2016</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77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1,644</w:t>
            </w:r>
          </w:p>
        </w:tc>
      </w:tr>
      <w:tr>
        <w:trPr>
          <w:trHeight w:val="554"/>
        </w:trPr>
        <w:tc>
          <w:tcPr>
            <w:tcW w:w="2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88,309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88,831</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90,475</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04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70"/>
        </w:trPr>
        <w:tc>
          <w:tcPr>
            <w:tcW w:w="280" w:type="dxa"/>
            <w:vAlign w:val="bottom"/>
          </w:tcPr>
          <w:p>
            <w:pPr>
              <w:spacing w:after="0"/>
              <w:rPr>
                <w:sz w:val="23"/>
                <w:szCs w:val="2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554"/>
        </w:trPr>
        <w:tc>
          <w:tcPr>
            <w:tcW w:w="2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5,043</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6,332</w:t>
            </w:r>
          </w:p>
        </w:tc>
      </w:tr>
      <w:tr>
        <w:trPr>
          <w:trHeight w:val="810"/>
        </w:trPr>
        <w:tc>
          <w:tcPr>
            <w:tcW w:w="2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83,091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84,091</w:t>
            </w:r>
          </w:p>
        </w:tc>
      </w:tr>
      <w:tr>
        <w:trPr>
          <w:trHeight w:val="270"/>
        </w:trPr>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83,141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84,143</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72"/>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90,475</w:t>
            </w:r>
          </w:p>
        </w:tc>
      </w:tr>
      <w:tr>
        <w:trPr>
          <w:trHeight w:val="27"/>
        </w:trPr>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-4853305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-4501515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-4158615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-3815715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-3455670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-3094990</wp:posOffset>
            </wp:positionV>
            <wp:extent cx="72466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-2726690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-2383155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-2040255</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-1680210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-1337310</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-985520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-642620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-290830</wp:posOffset>
            </wp:positionV>
            <wp:extent cx="72466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 - 51</w:t>
      </w:r>
    </w:p>
    <w:p>
      <w:pPr>
        <w:sectPr>
          <w:pgSz w:w="11900" w:h="16838" w:orient="portrait"/>
          <w:cols w:equalWidth="0" w:num="2">
            <w:col w:w="3040" w:space="500"/>
            <w:col w:w="7880"/>
          </w:cols>
          <w:pgMar w:left="240" w:top="179" w:right="2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Period from</w:t>
            </w: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January 1, 2017 to October</w:t>
            </w:r>
          </w:p>
        </w:tc>
        <w:tc>
          <w:tcPr>
            <w:tcW w:w="260" w:type="dxa"/>
            <w:vAlign w:val="bottom"/>
          </w:tcPr>
          <w:p>
            <w:pPr>
              <w:spacing w:after="0"/>
              <w:rPr>
                <w:sz w:val="17"/>
                <w:szCs w:val="17"/>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1800" w:type="dxa"/>
            <w:vAlign w:val="bottom"/>
          </w:tcPr>
          <w:p>
            <w:pPr>
              <w:jc w:val="right"/>
              <w:ind w:right="531"/>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5, 2017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 2016</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2015</w:t>
            </w:r>
          </w:p>
        </w:tc>
      </w:tr>
      <w:tr>
        <w:trPr>
          <w:trHeight w:val="3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 xml:space="preserve">Golf </w:t>
            </w:r>
            <w:r>
              <w:rPr>
                <w:rFonts w:ascii="Arial" w:cs="Arial" w:eastAsia="Arial" w:hAnsi="Arial"/>
                <w:sz w:val="16"/>
                <w:szCs w:val="16"/>
                <w:color w:val="auto"/>
              </w:rPr>
              <w:t>($5,685, $6,353 and $5,146 attributable to related parties)</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14,071</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Retail and other</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1,856</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18,077</w:t>
            </w:r>
          </w:p>
        </w:tc>
      </w:tr>
      <w:tr>
        <w:trPr>
          <w:trHeight w:val="277"/>
        </w:trPr>
        <w:tc>
          <w:tcPr>
            <w:tcW w:w="50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Direct</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Golf</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6,767</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1,936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Property costs</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3,133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Administrative and other</w:t>
            </w:r>
          </w:p>
        </w:tc>
        <w:tc>
          <w:tcPr>
            <w:tcW w:w="36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1,760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18,059</w:t>
            </w:r>
          </w:p>
        </w:tc>
      </w:tr>
      <w:tr>
        <w:trPr>
          <w:trHeight w:val="277"/>
        </w:trPr>
        <w:tc>
          <w:tcPr>
            <w:tcW w:w="50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5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- 52</w:t>
      </w:r>
    </w:p>
    <w:p>
      <w:pPr>
        <w:sectPr>
          <w:pgSz w:w="11900" w:h="16838" w:orient="portrait"/>
          <w:cols w:equalWidth="0" w:num="1">
            <w:col w:w="11420"/>
          </w:cols>
          <w:pgMar w:left="240" w:top="179"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Investment</w:t>
            </w: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87,353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with parent, net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85,323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85,375</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Transactions with parent, net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84,143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with parent, net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Balance at October 5, 2017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83,141</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ectPr>
          <w:pgSz w:w="11900" w:h="16838" w:orient="portrait"/>
          <w:cols w:equalWidth="0" w:num="1">
            <w:col w:w="11420"/>
          </w:cols>
          <w:pgMar w:left="240" w:top="179"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7"/>
                <w:szCs w:val="17"/>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cash flows provided by operating</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asset sales</w:t>
            </w: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Provisions for (recoveries of) bad debt</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Change in current assets and liabilities:</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Prepayments</w:t>
            </w: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flows provided by operating activities</w:t>
            </w:r>
          </w:p>
        </w:tc>
        <w:tc>
          <w:tcPr>
            <w:tcW w:w="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7"/>
        </w:trPr>
        <w:tc>
          <w:tcPr>
            <w:tcW w:w="57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w w:val="92"/>
              </w:rPr>
              <w:t>Acquisitions of property and equipment, net of change in related payables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5720" w:type="dxa"/>
            <w:vAlign w:val="bottom"/>
          </w:tcPr>
          <w:p>
            <w:pPr>
              <w:ind w:left="680"/>
              <w:spacing w:after="0"/>
              <w:rPr>
                <w:sz w:val="20"/>
                <w:szCs w:val="20"/>
                <w:color w:val="auto"/>
              </w:rPr>
            </w:pPr>
            <w:r>
              <w:rPr>
                <w:rFonts w:ascii="Arial" w:cs="Arial" w:eastAsia="Arial" w:hAnsi="Arial"/>
                <w:sz w:val="18"/>
                <w:szCs w:val="18"/>
                <w:color w:val="auto"/>
              </w:rPr>
              <w:t>Cash flows used in investing activities</w:t>
            </w: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7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Repayments for capital leases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Transactions with parent, net</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flows used in financing activities</w:t>
            </w:r>
          </w:p>
        </w:tc>
        <w:tc>
          <w:tcPr>
            <w:tcW w:w="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7"/>
        </w:trPr>
        <w:tc>
          <w:tcPr>
            <w:tcW w:w="57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24"/>
                <w:szCs w:val="24"/>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6"/>
        </w:trPr>
        <w:tc>
          <w:tcPr>
            <w:tcW w:w="5720" w:type="dxa"/>
            <w:vAlign w:val="bottom"/>
            <w:vMerge w:val="continue"/>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ectPr>
          <w:pgSz w:w="11900" w:h="16838" w:orient="portrait"/>
          <w:cols w:equalWidth="0" w:num="1">
            <w:col w:w="11420"/>
          </w:cols>
          <w:pgMar w:left="240" w:top="179"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In these notes, the words “Caesars Entertainment Outdoor,” “Business,” “Outdoor Business,” “we,” “our,” and “us” refer to the business and operation of the golf courses listed in Note 1 that were wholly owned by Caesars Entertainment Operating Company, Inc. through October 5, 2017.</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“Formation Date”), CEOC merged with and into CEOC LLC, a Delaware limited liability company (“New CEOC”) with New CEOC surviving the merger.</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Combined Financial Statements as our “Financial Statements,” (ii) our Combined Statements of Operations as our “Statements of</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Operations,” and (iii) our Combined Balance Sheets as our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Formation Date, the Outdoor Business was a wholly 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golf courses generate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were owned by Caesars Debtor entities, the Outdoor Business was also considered a debtor-in-possession prior to the Formation Date. CEOC’s plan of reorganization was confirmed by the Bankruptcy Court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Operations and Assets to VICI</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Formation Date, pursuant to the Bankruptcy Plan, subsidiaries of CEOC contributed the ownership of the Business to VICI Properties Inc. (“VICI”). Following the Formation, the assets, liabilities and operations of the Business are now included in VICI Golf LLC (“VICI Golf”), a Delaware limited-liability company. VICI Golf is a wholly owned subsidiary of VICI. VICI is a separate entity initially owned by certain former creditors of CEOC.</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in annual use fees and minimum rounds fees of at least $1.1 million. The annual membership fee, use fees and minimum round fees are subject to an annual escalator beginning at the times provided under the Golf Course Use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Financial Statements were prepared in accordance with accounting principles generally accepted in the United States (“GAAP”) and with the applicable rules and regulations of the Securities and Exchange Commission (“SEC”).</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Statements were derived from the financial statements of CEOC, prepared on a “carve-out” basis, to present the financial position and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ectPr>
          <w:pgSz w:w="11900" w:h="16838" w:orient="portrait"/>
          <w:cols w:equalWidth="0" w:num="1">
            <w:col w:w="11420"/>
          </w:cols>
          <w:pgMar w:left="240" w:top="179"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 Management believes the assumptions and methodologies used in the allocation of these revenues and expenses are reasonable. Actual amounts could differ from those estimates.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Golf revenue from CEOC and Caesars' affiliates includes reimbursement for below market-rate golf tee times and free play for certain casino guests. Variable golf fees provided by CEOC and Caesars affiliates are based on revenue shortfalls necessary to cover the cost of maintaining the courses in appropriate playing conditions for casino guests. The variable fee is dependent upon the number of rounds played, the types of rounds played (market-rate or discounted rate), and costs incurred to allow the golf course to continue to offer golf as an amenity to its gaming customers. These reimbursements and adjustments are included in golf revenue in the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Each of the golf courses represents a separate operating segment and we aggregate all such operations into one reportable segment.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reflect the application of ASC 852.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cash-on-hand and cash-in-bank.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non-interest bearing and are initially recorded at cost. They include amounts for sponsorship and other golf tournament fees, amounts due for hosted private events, and amounts due from credit card clearing activities. The allowance for doubtful accounts is established and maintained based on our best estimate of accounts receivable collectability. Management estimates collectability by specifically analyzing accounts receivable aging, known troubled accounts and other historical factors that affect collections. Accounts are written off when management deems the account to be uncollectible. Recoveries of accounts previously written off are recorded into income when received. Trade receivables are due within one year or less and approximates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Doubtful Accounts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280" w:type="dxa"/>
            <w:vAlign w:val="bottom"/>
          </w:tcPr>
          <w:p>
            <w:pPr>
              <w:jc w:val="right"/>
              <w:ind w:right="113"/>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Charges (credits) to income</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less recoveries</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5720" w:type="dxa"/>
            <w:vAlign w:val="bottom"/>
          </w:tcPr>
          <w:p>
            <w:pPr>
              <w:ind w:left="40"/>
              <w:spacing w:after="0"/>
              <w:rPr>
                <w:sz w:val="20"/>
                <w:szCs w:val="20"/>
                <w:color w:val="auto"/>
              </w:rPr>
            </w:pPr>
            <w:r>
              <w:rPr>
                <w:rFonts w:ascii="Arial" w:cs="Arial" w:eastAsia="Arial" w:hAnsi="Arial"/>
                <w:sz w:val="18"/>
                <w:szCs w:val="18"/>
                <w:color w:val="auto"/>
                <w:w w:val="91"/>
              </w:rPr>
              <w:t>Balance as of October 5, 2017; December 31, 2016; and December 31, 2015,</w:t>
            </w:r>
          </w:p>
        </w:tc>
        <w:tc>
          <w:tcPr>
            <w:tcW w:w="1280" w:type="dxa"/>
            <w:vAlign w:val="bottom"/>
            <w:tcBorders>
              <w:top w:val="single" w:sz="8" w:color="auto"/>
            </w:tcBorders>
            <w:vMerge w:val="restart"/>
          </w:tcPr>
          <w:p>
            <w:pPr>
              <w:jc w:val="right"/>
              <w:ind w:right="107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2"/>
        </w:trPr>
        <w:tc>
          <w:tcPr>
            <w:tcW w:w="57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128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which consists primarily of food and beverages and merchandise held for resale, is stated at the lower of cost or market. Losses on obsolete or excess inventory are not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has significant capital invested in long-lived assets and judgments are made in determining their estimated useful lives and salvage values and if or when an asset (or asset group) has been impaired. The accuracy of these estimates affects the amount of depreciation and amortization expense recognized in the financial results and whether a gain or loss should be recognized on the disposal of an asset. Lives assigned to the assets are based on standard policy, established by management as representative of the useful life of each category of asset.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long-lived assets is reviewed whenever events and circumstances indicate the carrying value of an asset may not be recoverable from the estimated future cash flows expected to result from its use and eventual disposition. The factors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- 56</w:t>
      </w:r>
    </w:p>
    <w:p>
      <w:pPr>
        <w:sectPr>
          <w:pgSz w:w="11900" w:h="16838" w:orient="portrait"/>
          <w:cols w:equalWidth="0" w:num="1">
            <w:col w:w="11420"/>
          </w:cols>
          <w:pgMar w:left="240" w:top="179"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considered by management in performing this assessment may include current operating results, trends, prospects, as well as the effect of demand, competition, and other economic, legal, and regulatory factors. In estimating expected future cash flows for determining whether an asset is impaired, assets are grouped at the lowest level of identifiable cash flows, which in this case, is the four golf courses combined together as an asset group. These analyses are sensitive to management assumptions and the estimates of the obsolescence factors. Changes in these assumptions and estimates could have a material impact on the analyses and the Financial Statements. For the period from January 1, 2017 to October 5, 2017 and the years ended December 31, 2016 and 2015, no impairment of long-lived assets was recorded.</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Additions to property and equipment are stated at cost. Costs of improvements that extend the life of the asset are capitalized. Maintenance and repair costs are expensed as incurred. Gains or losses on the dispositions of property and equipment are recognized in the period of disposal. With respect to golf course improvements (included in land improvements), only costs associated with original construction, complete replacements of items such as tee boxes and putting greens, or the addition of new trees, sand traps, fairways or putting greens are capitalized. All other related costs are expensed as incurred. For building improvements, only costs that extend the useful life of the building are capitalized.</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land improvements include site preparations that prepare land for its intended use as a golf course. Like the land itself, these improvements are inexhaustible and therefore not depreciated. Examples include excavation, filling, grading and preparation of fairways and roughs. Depreciable land improvements are defined as improvements made to land that have determinable estimated useful lives and deteriorate with use or passage of time. These improvements were built or installed to enhance or facilitate the use of the land for a particular purpose. Depreciable land improvements associated with the golf courses include greens, bunkers, tee boxes, cart paths, fences and gates, landscaping and sprinkler systems.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calculated using the straight-line method over the shorter of the estimated useful life of the asset or the related lease, as follows: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Useful Lives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 years</w:t>
            </w:r>
          </w:p>
        </w:tc>
      </w:tr>
      <w:tr>
        <w:trPr>
          <w:trHeight w:val="243"/>
        </w:trPr>
        <w:tc>
          <w:tcPr>
            <w:tcW w:w="103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40 years</w:t>
            </w:r>
          </w:p>
        </w:tc>
      </w:tr>
      <w:tr>
        <w:trPr>
          <w:trHeight w:val="27"/>
        </w:trPr>
        <w:tc>
          <w:tcPr>
            <w:tcW w:w="10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 years</w:t>
            </w:r>
          </w:p>
        </w:tc>
      </w:tr>
      <w:tr>
        <w:trPr>
          <w:trHeight w:val="243"/>
        </w:trPr>
        <w:tc>
          <w:tcPr>
            <w:tcW w:w="1032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2-10 years</w:t>
            </w:r>
          </w:p>
        </w:tc>
      </w:tr>
      <w:tr>
        <w:trPr>
          <w:trHeight w:val="729"/>
        </w:trPr>
        <w:tc>
          <w:tcPr>
            <w:tcW w:w="10320" w:type="dxa"/>
            <w:vAlign w:val="bottom"/>
          </w:tcPr>
          <w:p>
            <w:pPr>
              <w:spacing w:after="0"/>
              <w:rPr>
                <w:sz w:val="20"/>
                <w:szCs w:val="20"/>
                <w:color w:val="auto"/>
              </w:rPr>
            </w:pPr>
            <w:r>
              <w:rPr>
                <w:rFonts w:ascii="Arial" w:cs="Arial" w:eastAsia="Arial" w:hAnsi="Arial"/>
                <w:sz w:val="18"/>
                <w:szCs w:val="18"/>
                <w:color w:val="auto"/>
                <w:w w:val="92"/>
              </w:rPr>
              <w:t>Leasehold improvements are amortized over the shorter of the term of the respective lease or their useful life using the straight-line method.</w:t>
            </w:r>
          </w:p>
        </w:tc>
        <w:tc>
          <w:tcPr>
            <w:tcW w:w="1100" w:type="dxa"/>
            <w:vAlign w:val="bottom"/>
          </w:tcPr>
          <w:p>
            <w:pPr>
              <w:spacing w:after="0"/>
              <w:rPr>
                <w:sz w:val="24"/>
                <w:szCs w:val="24"/>
                <w:color w:val="auto"/>
              </w:rPr>
            </w:pPr>
          </w:p>
        </w:tc>
      </w:tr>
      <w:tr>
        <w:trPr>
          <w:trHeight w:val="378"/>
        </w:trPr>
        <w:tc>
          <w:tcPr>
            <w:tcW w:w="10320" w:type="dxa"/>
            <w:vAlign w:val="bottom"/>
          </w:tcPr>
          <w:p>
            <w:pPr>
              <w:spacing w:after="0"/>
              <w:rPr>
                <w:sz w:val="20"/>
                <w:szCs w:val="20"/>
                <w:color w:val="auto"/>
              </w:rPr>
            </w:pPr>
            <w:r>
              <w:rPr>
                <w:rFonts w:ascii="Arial" w:cs="Arial" w:eastAsia="Arial" w:hAnsi="Arial"/>
                <w:sz w:val="18"/>
                <w:szCs w:val="18"/>
                <w:b w:val="1"/>
                <w:bCs w:val="1"/>
                <w:i w:val="1"/>
                <w:iCs w:val="1"/>
                <w:color w:val="auto"/>
              </w:rPr>
              <w:t>Liabilities Subject to Compromise</w:t>
            </w:r>
          </w:p>
        </w:tc>
        <w:tc>
          <w:tcPr>
            <w:tcW w:w="1100" w:type="dxa"/>
            <w:vAlign w:val="bottom"/>
          </w:tcPr>
          <w:p>
            <w:pPr>
              <w:spacing w:after="0"/>
              <w:rPr>
                <w:sz w:val="24"/>
                <w:szCs w:val="24"/>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bankruptcy law, actions by creditors to collect amounts owed prior to the Petition Date are stayed and certain other prepetition contractual obligations may not be enforced against the companies that own the Business. Substantially all liabilities of the Debtors as of the Petition Date, except those paid under certain first day motions filed with the Bankruptcy Court, have been classified as liabilities subject to compromise in the Balance Sheets. Liabilities subject to compromise, including claims that became known after the bankruptcy petition was filed, are reported using our best estimates of the expected amount of the total allowed claim.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golf course operations, food and beverage and merchandise sales are recognized at the time of sale or when the service is provided and are reported net of sales tax. Golf memberships sold are typically to individuals and are not refundable and are deferred and recognized within golf revenue in the Statements of Operations over the expected life of an active membership, which is typically one year or less.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$611,000 for the period January 1, 2017 to October 5, 2017, and $620,000 and $708,000 for the years ended December 31, 2016 and 2015, respectively.</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additional variable golf fees provided by CEOC and Caesars’ affiliates based on revenue shortfalls necessary to cover the cost of operating the courses at a high level appropriate for casino guests. The variable fee is dependent upon the number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- 57</w:t>
      </w:r>
    </w:p>
    <w:p>
      <w:pPr>
        <w:sectPr>
          <w:pgSz w:w="11900" w:h="16838" w:orient="portrait"/>
          <w:cols w:equalWidth="0" w:num="1">
            <w:col w:w="11420"/>
          </w:cols>
          <w:pgMar w:left="240" w:top="179"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rounds played, the types of rounds played (market-rate or discounted rate), and costs incurred to allow the golf course to continue to offer golf as an amenity to its gaming customers. Variable golf fees included in golf revenue were approximately $4,692,000 for the period January 1, 2017 to October 5, 2017 and $4,862,000 and $3,669,000 for the years ended December 31,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golf courses are marketed through advertising and other promotional activities. Advertising expense is charged to income during the period incurred. Advertising expense totaled approximately $63,000 for the period January 1, 2017 to October 5, 2017, and $118,000 and $74,000 for the years ended December 31, 2016 and 2015, respectively, and is included in Administrative and other in the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costs are charged to income during the period incurred and include land rent, utilities and general repairs and maintenance.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the Outdoor Business has been included in the consolidated federal income tax return of Caesars, as well as certain state tax returns where Caesars or one of its subsidiaries files a state tax return. The provisions of ASC 740, “Income Taxes,” was applied and the provision for income taxes was computed on a separate return basis. The separate return method applies the accounting guidance for income taxes to the stand-alone combined Financial Statements as if the Business was a separate taxpayer and a stand-alone enterprise for the periods presented. As discussed in Note 7, these Financial Statements include certain allocations of income and expense amongst affiliated entities. The tax provision was calculated assuming such allocations were appropriate for income tax reporting purposes and do not include any transfer pricing adjustments with respect to such allocations. The calculation of income taxes on a separate return basis requires a considerable amount of judgment and use of both estimates and allocations. Management believes that the assumptions and estimates used to compute these tax amounts are reasonable. However, the Financial Statements may not necessarily reflect our income tax expense or tax payments in the future, or what tax amounts would have been if the Business had been a stand-alone enterprise during the periods presented.</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and state income taxes currently payable are settled though our net investment equity account. Certain taxes provided for are deferred because of temporary differences between reporting income and expenses for financial statement purposes versus tax purposes. Federal income tax credits are recorded as a reduction of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earnings in the period that includes the enactment date. Accruals for tax uncertainties are classified within other liabilities in our combined balance sheets. Amounts accrued relate to any potential income tax liabilities resulting from uncertain tax positions, as well as potential interest or penalties associated with those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Business Combinations - January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amendments intend to clarify the definition of a business with the objective of adding guidance to assist</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to annual periods beginning after December 15, 2017, including interim periods within those periods.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adoption of this standard could have a material impact on our Financial Statements should we have a future acquisition of a business.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- 58</w:t>
      </w:r>
    </w:p>
    <w:p>
      <w:pPr>
        <w:sectPr>
          <w:pgSz w:w="11900" w:h="16838" w:orient="portrait"/>
          <w:cols w:equalWidth="0" w:num="1">
            <w:col w:w="11420"/>
          </w:cols>
          <w:pgMar w:left="240" w:top="179"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Leases - February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guidance requires most lease obligations to be recognized as a right-of-use asset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The qualitative and quantitative effects of adoption are still being analyzed. We are in the process of evaluating the full impact the new guidance will have on our Financial Statements.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Revenue from Contracts with Customers - May 2014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guidance is intended to clarify the principles for recognizing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develop a 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 December 15, 2017, including interim periods within those reporting periods. The guidance should be applied using the full retrospective method or retrospectively with the cumulative effect initially applying the guidance recognized at the date of initial application. We are adopting this standard effective January 1, 2018, retrospectively, and determined that there will not be a material impact to our Financial Statements. The adoption of this guidance does not change the timing or process in which we recognize golf revenue.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that addresses intra-entity transfers of assets other than inventory, which requires the recognition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income tax consequences when such transfers occur. The amendments should be applied on a modified retrospective basis through a cumulative-effect adjustment directly to retained earnings as of the beginning of the period of adoption. Amendments are effective for fiscal years beginning after December 15, 2017, and interim reporting periods within those years. Early adoption is permitted. We do not expect this standard will have a material impact on our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Statement of Cash Flows - August 2016</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addresses eight specific cash flow issues with the objective of reducing diversity in how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are presented and classified in the statement of cash flows. The amendments should be applied retrospectively to each period presented. The amendments are effective for fiscal years beginning after December 15, 2017, and interim periods within those fiscal years. Early adoption is permitted. We have adopted this standard for our October 5, 2017 Statement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5"/>
          </w:tcPr>
          <w:p>
            <w:pPr>
              <w:jc w:val="right"/>
              <w:ind w:right="139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5"/>
              </w:rPr>
              <w:t>October 5,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non-depreciable land improvements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Depreciable land improvements</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40,174</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equipment (including capital leases)</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5,445</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117,525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116,277</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r>
      <w:tr>
        <w:trPr>
          <w:trHeight w:val="257"/>
        </w:trPr>
        <w:tc>
          <w:tcPr>
            <w:tcW w:w="57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88,309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88,831</w:t>
            </w:r>
          </w:p>
        </w:tc>
      </w:tr>
      <w:tr>
        <w:trPr>
          <w:trHeight w:val="20"/>
        </w:trPr>
        <w:tc>
          <w:tcPr>
            <w:tcW w:w="5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
        </w:trPr>
        <w:tc>
          <w:tcPr>
            <w:tcW w:w="572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98"/>
              </w:rPr>
              <w:t>Period from January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2017 to October 5,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2"/>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 (including capital lease amortization)</w:t>
            </w: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ectPr>
          <w:pgSz w:w="11900" w:h="16838" w:orient="portrait"/>
          <w:cols w:equalWidth="0" w:num="1">
            <w:col w:w="11420"/>
          </w:cols>
          <w:pgMar w:left="240" w:top="179"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Accrued Expenses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20" w:type="dxa"/>
            <w:vAlign w:val="bottom"/>
            <w:gridSpan w:val="4"/>
          </w:tcPr>
          <w:p>
            <w:pPr>
              <w:jc w:val="right"/>
              <w:ind w:right="1511"/>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72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October 5, 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2016</w:t>
            </w:r>
          </w:p>
        </w:tc>
      </w:tr>
      <w:tr>
        <w:trPr>
          <w:trHeight w:val="33"/>
        </w:trPr>
        <w:tc>
          <w:tcPr>
            <w:tcW w:w="7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utilities</w:t>
            </w:r>
          </w:p>
        </w:tc>
        <w:tc>
          <w:tcPr>
            <w:tcW w:w="1600" w:type="dxa"/>
            <w:vAlign w:val="bottom"/>
            <w:tcBorders>
              <w:bottom w:val="single" w:sz="8" w:color="CCEEFF"/>
            </w:tcBorders>
            <w:shd w:val="clear" w:color="auto" w:fill="CCEEFF"/>
          </w:tcPr>
          <w:p>
            <w:pPr>
              <w:jc w:val="right"/>
              <w:ind w:right="13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real estate taxes and other taxes</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and professional fees</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Payroll and other compensation</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1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1600" w:type="dxa"/>
            <w:vAlign w:val="bottom"/>
            <w:tcBorders>
              <w:top w:val="single" w:sz="8" w:color="auto"/>
              <w:bottom w:val="single" w:sz="8" w:color="auto"/>
            </w:tcBorders>
          </w:tcPr>
          <w:p>
            <w:pPr>
              <w:jc w:val="right"/>
              <w:ind w:right="13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705</w:t>
            </w:r>
          </w:p>
        </w:tc>
      </w:tr>
      <w:tr>
        <w:trPr>
          <w:trHeight w:val="20"/>
        </w:trPr>
        <w:tc>
          <w:tcPr>
            <w:tcW w:w="7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5,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13 claims. In the aggregate, total asserted liquidated proofs of claim for approximately $122.2 million had been filed against or assigned to the Business. Based on reasonable current estimates, the Business expects to ask the Bankruptcy Court to disallow 19 claims representing approximately $116.3 million of such claims. These claims are classified by the Business as amended and replaced, duplicate, redundant or non-Caesars Debtor claims.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5, 2017 and December 31, 2016, liabilities subject to compromise was approximately $249,000 and $265,000, respectively, and consisted of accounts payable-related liabilities.</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(Provision)/Benefit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3"/>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Federal</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84"/>
        </w:trPr>
        <w:tc>
          <w:tcPr>
            <w:tcW w:w="5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57"/>
        </w:trPr>
        <w:tc>
          <w:tcPr>
            <w:tcW w:w="57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0"/>
        </w:trPr>
        <w:tc>
          <w:tcPr>
            <w:tcW w:w="5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the Outdoor Business does not have a formal tax sharing agreement in place with Caesars Entertainment for federal income tax purposes, Caesars Entertainment pays all of the Outdoor Business’ federal income taxes. The Outdoor Business’ portion was approximately $100,000 for the period January 1, 2017 to October 5, 2017 and $111,000 and $98,000 for the years ended December 31, 2016 and 2015,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- 60</w:t>
      </w:r>
    </w:p>
    <w:p>
      <w:pPr>
        <w:sectPr>
          <w:pgSz w:w="11900" w:h="16838" w:orient="portrait"/>
          <w:cols w:equalWidth="0" w:num="1">
            <w:col w:w="11420"/>
          </w:cols>
          <w:pgMar w:left="240" w:top="179"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 Reconciliation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federal tax at the statutory tax rate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Increases/(decreases) in tax resulting from:</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taxes, net of federal tax benefit</w:t>
            </w:r>
          </w:p>
        </w:tc>
        <w:tc>
          <w:tcPr>
            <w:tcW w:w="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Federal tax credits</w:t>
            </w:r>
          </w:p>
        </w:tc>
        <w:tc>
          <w:tcPr>
            <w:tcW w:w="8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Income tax (expense)/benefit</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Temporary Differences Resulting in Deferred Tax Assets and Liabilities</w:t>
            </w: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7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4"/>
          </w:tcPr>
          <w:p>
            <w:pPr>
              <w:jc w:val="right"/>
              <w:ind w:right="127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As of October 5, 2017</w:t>
            </w: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 2016</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Federal net operating loss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State net operating loss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Federal tax credits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Subtotal</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Total deferred tax assets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Depreciation and other property related items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Total deferred tax liabilities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deferred tax liability</w:t>
            </w:r>
          </w:p>
        </w:tc>
        <w:tc>
          <w:tcPr>
            <w:tcW w:w="8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October 5, 2017 and December 31, 2016, we had federal NOL carryforwards of $19.2 million and $20.1 million, respectively. These NOL carryforwards will begin to expire in 2032. In addition, we have federal general business tax credit carryforwards of approximately $82 thousand which will begin to expire in 2032. As of October 5, 2017 and December 31, 2016, we had state NOL carryforwards of $15.1 million and $15.5 million, respectively. These NOL carryforwards will begin to expire in 2032.</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Reconciliation of Unrecognized Tax Benefit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4"/>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w:t>
            </w:r>
          </w:p>
        </w:tc>
        <w:tc>
          <w:tcPr>
            <w:tcW w:w="7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classify reserves for tax uncertainties within accrued expenses and deferred credits and other in our balance sheets, separate from any related income tax payable or deferred income taxes. Reserve amounts related to potential income tax liabilities resulting from uncertain tax positions as well as potential interest or penalties associated with those liabilities.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ectPr>
          <w:pgSz w:w="11900" w:h="16838" w:orient="portrait"/>
          <w:cols w:equalWidth="0" w:num="1">
            <w:col w:w="11420"/>
          </w:cols>
          <w:pgMar w:left="240" w:top="179" w:right="239" w:bottom="977"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accrue interest and penalties related to unrecognized tax benefits in income tax expense. There were no adjustments to our accrual for the period ending October 5, 2017 and the years ending December 31, 2016 and 2015, respectively, for accrued interest or penalties. There are no unrecognized tax benefits included in the balances of unrecognized tax benefits as of October 5, 2017, December 31, 2016 and 2015 that, if recognized, would impact the effective tax rate.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Related Party Transactions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transactions with CEOC resulting in net distributions of approximately $1.0 million for the period January 1, 2017 to October 5, 2017 and $1.2 million and $2.0 million for the years ending December 31, 2016 and 2015, respectively. The net distributions are the result of cash generated by the operations of the Business and proceeds from the sale of assets, partially offset by amounts contributed by CEOC to fund capital improvements and capital lease obligations. These transactions are included as transactions with parent, net in our Combined Statements of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are recorded with respect to the related-party transactions described in this section: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January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1, 2017 to October 5,</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Transaction type</w:t>
            </w:r>
          </w:p>
        </w:tc>
        <w:tc>
          <w:tcPr>
            <w:tcW w:w="120" w:type="dxa"/>
            <w:vAlign w:val="bottom"/>
          </w:tcPr>
          <w:p>
            <w:pPr>
              <w:spacing w:after="0"/>
              <w:rPr>
                <w:sz w:val="18"/>
                <w:szCs w:val="18"/>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Recorded as:</w:t>
            </w:r>
          </w:p>
        </w:tc>
        <w:tc>
          <w:tcPr>
            <w:tcW w:w="380" w:type="dxa"/>
            <w:vAlign w:val="bottom"/>
          </w:tcPr>
          <w:p>
            <w:pPr>
              <w:spacing w:after="0"/>
              <w:rPr>
                <w:sz w:val="18"/>
                <w:szCs w:val="18"/>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2016</w:t>
            </w:r>
          </w:p>
        </w:tc>
        <w:tc>
          <w:tcPr>
            <w:tcW w:w="12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 2015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and other</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3"/>
              </w:rPr>
              <w:t>Allocation of indirect expenses from CEOC and</w:t>
            </w: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Administrative and other</w:t>
            </w: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ind w:left="100"/>
              <w:spacing w:after="0" w:line="257" w:lineRule="exact"/>
              <w:rPr>
                <w:sz w:val="20"/>
                <w:szCs w:val="20"/>
                <w:color w:val="auto"/>
              </w:rPr>
            </w:pPr>
            <w:r>
              <w:rPr>
                <w:rFonts w:ascii="Arial" w:cs="Arial" w:eastAsia="Arial" w:hAnsi="Arial"/>
                <w:sz w:val="18"/>
                <w:szCs w:val="18"/>
                <w:color w:val="auto"/>
              </w:rPr>
              <w:t xml:space="preserve">Caesars’ 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Golf revenue from CEOC and Caesars’</w:t>
            </w: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ind w:left="100"/>
              <w:spacing w:after="0" w:line="257" w:lineRule="exact"/>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(2)</w:t>
            </w: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1"/>
              </w:rPr>
              <w:t>Pass-through revenue with CEOC and Caesars’</w:t>
            </w: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Golf revenue</w:t>
            </w: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540" w:type="dxa"/>
            <w:vAlign w:val="bottom"/>
            <w:vMerge w:val="restart"/>
          </w:tcPr>
          <w:p>
            <w:pPr>
              <w:ind w:left="100"/>
              <w:spacing w:after="0"/>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(3)</w:t>
            </w: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vMerge w:val="continue"/>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beverage revenue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Retail and other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9"/>
        </w:trPr>
        <w:tc>
          <w:tcPr>
            <w:tcW w:w="3560" w:type="dxa"/>
            <w:vAlign w:val="bottom"/>
            <w:gridSpan w:val="2"/>
          </w:tcPr>
          <w:p>
            <w:pPr>
              <w:jc w:val="right"/>
              <w:ind w:right="2291"/>
              <w:spacing w:after="0"/>
              <w:rPr>
                <w:sz w:val="20"/>
                <w:szCs w:val="20"/>
                <w:color w:val="auto"/>
              </w:rPr>
            </w:pPr>
            <w:r>
              <w:rPr>
                <w:rFonts w:ascii="Arial" w:cs="Arial" w:eastAsia="Arial" w:hAnsi="Arial"/>
                <w:sz w:val="18"/>
                <w:szCs w:val="18"/>
                <w:i w:val="1"/>
                <w:iCs w:val="1"/>
                <w:color w:val="auto"/>
                <w:w w:val="89"/>
              </w:rPr>
              <w:t>_____________</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40" w:hanging="332"/>
        <w:spacing w:after="0" w:line="229" w:lineRule="auto"/>
        <w:tabs>
          <w:tab w:leader="none" w:pos="340"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Statements of Operations include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costs.</w:t>
      </w:r>
    </w:p>
    <w:p>
      <w:pPr>
        <w:spacing w:after="0" w:line="1" w:lineRule="exact"/>
        <w:rPr>
          <w:rFonts w:ascii="Arial" w:cs="Arial" w:eastAsia="Arial" w:hAnsi="Arial"/>
          <w:sz w:val="25"/>
          <w:szCs w:val="25"/>
          <w:i w:val="1"/>
          <w:iCs w:val="1"/>
          <w:color w:val="auto"/>
          <w:vertAlign w:val="superscript"/>
        </w:rPr>
      </w:pPr>
    </w:p>
    <w:p>
      <w:pPr>
        <w:ind w:left="340" w:hanging="332"/>
        <w:spacing w:after="0" w:line="180" w:lineRule="auto"/>
        <w:tabs>
          <w:tab w:leader="none" w:pos="340"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Summary of Significant Accounting Policies - Revenue Recognition.</w:t>
      </w:r>
    </w:p>
    <w:p>
      <w:pPr>
        <w:spacing w:after="0" w:line="2" w:lineRule="exact"/>
        <w:rPr>
          <w:rFonts w:ascii="Arial" w:cs="Arial" w:eastAsia="Arial" w:hAnsi="Arial"/>
          <w:sz w:val="25"/>
          <w:szCs w:val="25"/>
          <w:i w:val="1"/>
          <w:iCs w:val="1"/>
          <w:color w:val="auto"/>
          <w:vertAlign w:val="superscript"/>
        </w:rPr>
      </w:pPr>
    </w:p>
    <w:p>
      <w:pPr>
        <w:ind w:left="340" w:hanging="332"/>
        <w:spacing w:after="0" w:line="208" w:lineRule="auto"/>
        <w:tabs>
          <w:tab w:leader="none" w:pos="340" w:val="left"/>
        </w:tabs>
        <w:numPr>
          <w:ilvl w:val="0"/>
          <w:numId w:val="70"/>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CEOC maintains a defined contribution savings and retirement plan that allows certain employees of the Business to make pre-tax and after-tax contributions. Under the plan, participating employees may elect to contribute up to 50% of their eligible earnings, subject to IRS rules and regulations, and are eligible to receive a company match of up to $600. Participating employees become vested in matching contributions on a pro-rata basis over five years of credited service. Our contribution expense, included in direct operating expenses and administrative and other expense, was approximately $27,000 for the period January 1, 2017 to October 5, 2017 and $34,000 and $39,000 for the years ended December 31, 2016 and 2015,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- 62</w:t>
      </w:r>
    </w:p>
    <w:p>
      <w:pPr>
        <w:sectPr>
          <w:pgSz w:w="11900" w:h="16838" w:orient="portrait"/>
          <w:cols w:equalWidth="0" w:num="1">
            <w:col w:w="11420"/>
          </w:cols>
          <w:pgMar w:left="240" w:top="179"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Caesars and certain of its affiliates from the plan. The NRF has advised Caesars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Caesars and CEOC for any liability under the NRF’s claims.</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Formation Date.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Caesars Debtors’ Plan, the NRF is barred from asserting any claims against the Company and its subsidiaries to the extent such claims arose prior to the Formation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2039. Total rental expense under these agreements included in direct golf operating expenses and property costs in our Statements of Operations were approximately $0.7 million for the period January 1, 2017 to October 5, 2017 and approximately $1.0 million for each of the years ended December 31,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October 5, 2017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w w:val="99"/>
              </w:rPr>
              <w:t>Operating Leases</w:t>
            </w:r>
          </w:p>
        </w:tc>
      </w:tr>
      <w:tr>
        <w:trPr>
          <w:trHeight w:val="33"/>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873</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908</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18,911</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in direct golf operating expenses in the Statements of Operations were approximately $2.1 million for the period January 1, 2017 to October 5, 2017 and $2.9 million and $2.8 million for the years ended December 31,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October 5, 2017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Maintenance Agreements</w:t>
            </w: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r>
      <w:tr>
        <w:trPr>
          <w:trHeight w:val="243"/>
        </w:trPr>
        <w:tc>
          <w:tcPr>
            <w:tcW w:w="9360" w:type="dxa"/>
            <w:vAlign w:val="bottom"/>
          </w:tcPr>
          <w:p>
            <w:pPr>
              <w:jc w:val="right"/>
              <w:ind w:right="8870"/>
              <w:spacing w:after="0"/>
              <w:rPr>
                <w:sz w:val="20"/>
                <w:szCs w:val="20"/>
                <w:color w:val="auto"/>
              </w:rPr>
            </w:pPr>
            <w:r>
              <w:rPr>
                <w:rFonts w:ascii="Arial" w:cs="Arial" w:eastAsia="Arial" w:hAnsi="Arial"/>
                <w:sz w:val="18"/>
                <w:szCs w:val="18"/>
                <w:color w:val="auto"/>
                <w:w w:val="94"/>
              </w:rPr>
              <w:t>2018</w:t>
            </w: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2,969</w:t>
            </w:r>
          </w:p>
        </w:tc>
      </w:tr>
      <w:tr>
        <w:trPr>
          <w:trHeight w:val="27"/>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2019</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57"/>
        </w:trPr>
        <w:tc>
          <w:tcPr>
            <w:tcW w:w="9360" w:type="dxa"/>
            <w:vAlign w:val="bottom"/>
          </w:tcPr>
          <w:p>
            <w:pPr>
              <w:jc w:val="right"/>
              <w:ind w:right="5910"/>
              <w:spacing w:after="0"/>
              <w:rPr>
                <w:sz w:val="20"/>
                <w:szCs w:val="20"/>
                <w:color w:val="auto"/>
              </w:rPr>
            </w:pPr>
            <w:r>
              <w:rPr>
                <w:rFonts w:ascii="Arial" w:cs="Arial" w:eastAsia="Arial" w:hAnsi="Arial"/>
                <w:sz w:val="18"/>
                <w:szCs w:val="18"/>
                <w:color w:val="auto"/>
                <w:w w:val="95"/>
              </w:rPr>
              <w:t>Total maintenance agreement commitments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3,969</w:t>
            </w: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- 63</w:t>
      </w:r>
    </w:p>
    <w:p>
      <w:pPr>
        <w:sectPr>
          <w:pgSz w:w="11900" w:h="16838" w:orient="portrait"/>
          <w:cols w:equalWidth="0" w:num="1">
            <w:col w:w="11420"/>
          </w:cols>
          <w:pgMar w:left="240" w:top="179" w:right="23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620"/>
        <w:spacing w:after="0"/>
        <w:rPr>
          <w:sz w:val="20"/>
          <w:szCs w:val="20"/>
          <w:color w:val="auto"/>
        </w:rPr>
      </w:pPr>
      <w:r>
        <w:rPr>
          <w:rFonts w:ascii="Arial" w:cs="Arial" w:eastAsia="Arial" w:hAnsi="Arial"/>
          <w:sz w:val="15"/>
          <w:szCs w:val="15"/>
          <w:b w:val="1"/>
          <w:bCs w:val="1"/>
          <w:color w:val="auto"/>
        </w:rPr>
        <w:t>Schedule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9"/>
          <w:szCs w:val="19"/>
          <w:b w:val="1"/>
          <w:bCs w:val="1"/>
          <w:color w:val="auto"/>
        </w:rPr>
        <w:t>In thousands, except share and per share data</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13,912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377,704</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520,877</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8,087,905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6,033,310</w:t>
            </w:r>
          </w:p>
        </w:tc>
      </w:tr>
      <w:tr>
        <w:trPr>
          <w:trHeight w:val="297"/>
        </w:trPr>
        <w:tc>
          <w:tcPr>
            <w:tcW w:w="72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8,102,814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6,934,222</w:t>
            </w:r>
          </w:p>
        </w:tc>
      </w:tr>
      <w:tr>
        <w:trPr>
          <w:trHeight w:val="311"/>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137,056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116,287</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116,773</w:t>
            </w:r>
          </w:p>
        </w:tc>
      </w:tr>
      <w:tr>
        <w:trPr>
          <w:trHeight w:val="324"/>
        </w:trPr>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$0.01 par value, 700,000,000 shares authorized and 461,004,742 and</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3"/>
              </w:rPr>
              <w:t>404,729,616 shares issued and outstanding at December 31, 2019 and December 31, 2018,</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 and 2018</w:t>
            </w: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7,817,582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6,648,430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187,096</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6,817,449</w:t>
            </w:r>
          </w:p>
        </w:tc>
      </w:tr>
      <w:tr>
        <w:trPr>
          <w:trHeight w:val="257"/>
        </w:trPr>
        <w:tc>
          <w:tcPr>
            <w:tcW w:w="7200" w:type="dxa"/>
            <w:vAlign w:val="bottom"/>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8,102,814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6,934,222</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- 1</w:t>
      </w:r>
    </w:p>
    <w:p>
      <w:pPr>
        <w:sectPr>
          <w:pgSz w:w="11900" w:h="16838" w:orient="portrait"/>
          <w:cols w:equalWidth="0" w:num="1">
            <w:col w:w="11420"/>
          </w:cols>
          <w:pgMar w:left="240" w:top="179"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center"/>
              <w:ind w:right="152"/>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vMerge w:val="restart"/>
          </w:tcPr>
          <w:p>
            <w:pPr>
              <w:jc w:val="center"/>
              <w:ind w:right="172"/>
              <w:spacing w:after="0"/>
              <w:rPr>
                <w:sz w:val="20"/>
                <w:szCs w:val="20"/>
                <w:color w:val="auto"/>
              </w:rPr>
            </w:pPr>
            <w:r>
              <w:rPr>
                <w:rFonts w:ascii="Arial" w:cs="Arial" w:eastAsia="Arial" w:hAnsi="Arial"/>
                <w:sz w:val="16"/>
                <w:szCs w:val="16"/>
                <w:b w:val="1"/>
                <w:bCs w:val="1"/>
                <w:color w:val="auto"/>
                <w:w w:val="90"/>
              </w:rPr>
              <w:t>October 6, 2017 to</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5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right"/>
              <w:ind w:right="7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center"/>
              <w:ind w:right="172"/>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of investment in subsidiary</w:t>
            </w:r>
          </w:p>
        </w:tc>
        <w:tc>
          <w:tcPr>
            <w:tcW w:w="1200" w:type="dxa"/>
            <w:vAlign w:val="bottom"/>
          </w:tcPr>
          <w:p>
            <w:pPr>
              <w:jc w:val="right"/>
              <w:ind w:right="10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532,699</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516,116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13,265</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1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w w:val="92"/>
              </w:rPr>
              <w:t>Unrealized loss on cash flow hedges - investment in subsidiaries</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(42,954)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503,010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501,495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- 2</w:t>
      </w:r>
    </w:p>
    <w:p>
      <w:pPr>
        <w:sectPr>
          <w:pgSz w:w="11900" w:h="16838" w:orient="portrait"/>
          <w:cols w:equalWidth="0" w:num="1">
            <w:col w:w="11420"/>
          </w:cols>
          <w:pgMar w:left="240" w:top="179"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center"/>
              <w:ind w:right="151"/>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vMerge w:val="restart"/>
          </w:tcPr>
          <w:p>
            <w:pPr>
              <w:jc w:val="center"/>
              <w:ind w:right="171"/>
              <w:spacing w:after="0"/>
              <w:rPr>
                <w:sz w:val="20"/>
                <w:szCs w:val="20"/>
                <w:color w:val="auto"/>
              </w:rPr>
            </w:pPr>
            <w:r>
              <w:rPr>
                <w:rFonts w:ascii="Arial" w:cs="Arial" w:eastAsia="Arial" w:hAnsi="Arial"/>
                <w:sz w:val="16"/>
                <w:szCs w:val="16"/>
                <w:b w:val="1"/>
                <w:bCs w:val="1"/>
                <w:color w:val="auto"/>
                <w:w w:val="90"/>
              </w:rPr>
              <w:t>October 6, 2017 to</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5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right"/>
              <w:ind w:right="770"/>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center"/>
              <w:ind w:right="171"/>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545,964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7"/>
              </w:rPr>
              <w:t>Adjustments to reconcile net income to cash flows provided by</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income from subsidiaries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(532,699)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Distributions of earnings from subsidiaries</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13,334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Change in other assets</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other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Change in intercompany balances, net</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98,813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26,032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521,125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99,095</w:t>
            </w:r>
          </w:p>
        </w:tc>
        <w:tc>
          <w:tcPr>
            <w:tcW w:w="0" w:type="dxa"/>
            <w:vAlign w:val="bottom"/>
          </w:tcPr>
          <w:p>
            <w:pPr>
              <w:spacing w:after="0"/>
              <w:rPr>
                <w:sz w:val="1"/>
                <w:szCs w:val="1"/>
                <w:color w:val="auto"/>
              </w:rPr>
            </w:pPr>
          </w:p>
        </w:tc>
      </w:tr>
      <w:tr>
        <w:trPr>
          <w:trHeight w:val="318"/>
        </w:trPr>
        <w:tc>
          <w:tcPr>
            <w:tcW w:w="50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(1,700,748)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(1,838,205)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subsidiaries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232,875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Investments in short-term investments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(342,767)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760,419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Cash flows used in investing activities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(1,050,221)</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(2,001,301)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follow-on offering of 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1,164,307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Proceeds from private placement of common stock</w:t>
            </w:r>
          </w:p>
        </w:tc>
        <w:tc>
          <w:tcPr>
            <w:tcW w:w="4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964,376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initial public offering of 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(503,958)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(262,682)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Mandatory debt conversion costs</w:t>
            </w: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Cash flows provided by financing activities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660,349</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1,738,811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964,363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(363,840)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258,635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63,458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Cash, cash equivalents and restricted cash, beginning of period</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377,752</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55,659</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13,912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377,752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119,117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- 3</w:t>
      </w:r>
    </w:p>
    <w:p>
      <w:pPr>
        <w:sectPr>
          <w:pgSz w:w="11900" w:h="16838" w:orient="portrait"/>
          <w:cols w:equalWidth="0" w:num="1">
            <w:col w:w="11420"/>
          </w:cols>
          <w:pgMar w:left="240" w:top="179"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parent company financial information has been prepared in accordance with Rule 12-04, Schedule 1 of Regulation S-X, as the restricted net assets of VICI Properties Inc. and its subsidiaries exceed 25% of the consolidated net assets of VICI Properties Inc. and its subsidiaries (the “Company”). This information should be read in conjunction with the Company’s consolidated financial statements included elsewhere in this filing.</w:t>
      </w:r>
    </w:p>
    <w:p>
      <w:pPr>
        <w:spacing w:after="0" w:line="107"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VICI Properties 1 LLC (“VICI PropCo”), a Delaware limited liability company and an indirect wholly owned subsidiary of VICI Properties, Inc</w:t>
      </w:r>
      <w:r>
        <w:rPr>
          <w:rFonts w:ascii="Arial" w:cs="Arial" w:eastAsia="Arial" w:hAnsi="Arial"/>
          <w:sz w:val="16"/>
          <w:szCs w:val="16"/>
          <w:i w:val="1"/>
          <w:iCs w:val="1"/>
          <w:color w:val="auto"/>
        </w:rPr>
        <w:t>.,</w:t>
      </w:r>
      <w:r>
        <w:rPr>
          <w:rFonts w:ascii="Arial" w:cs="Arial" w:eastAsia="Arial" w:hAnsi="Arial"/>
          <w:sz w:val="16"/>
          <w:szCs w:val="16"/>
          <w:color w:val="auto"/>
        </w:rPr>
        <w:t xml:space="preserve"> has certain restrictions on its ability to pay dividends or make intercompany loans and advances pursuant to financing arrangements. On December 22, 2017, VICI PropCo entered into a credit agreement (the “Credit Agreement”) governing the Term Loan B Facility and the Revolving Credit Facility. 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(as defined in the Credit Agreement)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Second Lien Notes were issued on October 6, 2017, pursuant to an indenture (the “Second Lien Notes Indenture”) by and among VICI PropCo and its wholly owned subsidiary, VICI FC Inc. (together, the “Second Lien Notes Issuers”), the subsidiary guarantors party thereto, and UMB Bank National Association, as trustee. The Second Lien Notes Indenture contains covenants that limit the Second Lien Notes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 Subsequent to December 31, 2019, on February 20, 2020 we used the proceeds from the 2025 Notes to redeem in full the Second Lien Notes at a redemption price of 100% of the principal amount of the Second Lien Notes then outstanding plus the Second Lien Notes Applicable Premium, which resulted in a total redemption amount of approximately $537.5 million.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November 2019 Senior Unsecured Notes were issued in November 2019, pursuant to indentures (the “2019 Senior Unsecured Notes Indentures”) by and among the Operating Partnership and VICI Note Co. Inc. (the “Co-Issuer” and, together with the Operating Partnership, the “2019 Senior Unsecured Notes Issuers”), the subsidiary guarantors party thereto and UMB Bank, National Association, as trustee. The 2019 Senior Unsecured Notes Indentures contains covenants that limit the 2019 Senior Unsecured Notes Issuers’ and their restricted subsidiaries’ ability to, among other things: pursuant to a indenture agreements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- 4</w:t>
      </w:r>
    </w:p>
    <w:p>
      <w:pPr>
        <w:sectPr>
          <w:pgSz w:w="11900" w:h="16838" w:orient="portrait"/>
          <w:cols w:equalWidth="0" w:num="1">
            <w:col w:w="11420"/>
          </w:cols>
          <w:pgMar w:left="240" w:top="179"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containing certain covenants limiting our ability (i) incur additional debt; (ii) create liens on assets; (iii) make distributions and pay dividends on or redeem or repurchase stock; (iv) make certain types of investments; (v) sell stock in certain subsidiaries; (vi) enter into agreements that restrict dividends or other payments from subsidiaries; (vii) enter into transactions with affiliates; (viii) issue guarantees of debt; and (ix) sell assets or merge with other companies. These covenants are subject to a number of exceptions and qualifications, including the ability to declare or pay any cash dividend or make any cash distribution to VICI to fund a dividend or distribution by VICI that is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2019 Senior Unsecured Notes Indentures), plus the aggregate net proceeds from (i) the sale of certain equity interests in, (ii) capital contributions to, and (iii) certain convertible indebtedness of, the Operating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restricted net assets the Company’s consolidated subsidiaries held as of December 31, 2019 was approximately $7.9 billion.</w:t>
      </w:r>
    </w:p>
    <w:p>
      <w:pPr>
        <w:spacing w:after="0" w:line="167"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discussion of the Company’s commitments, contingencies, and long-term obligations under its senior secured credit facilities, see </w:t>
      </w:r>
      <w:hyperlink w:anchor="page115">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Company’s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- 5</w:t>
      </w:r>
    </w:p>
    <w:p>
      <w:pPr>
        <w:sectPr>
          <w:pgSz w:w="11900" w:h="16838" w:orient="portrait"/>
          <w:cols w:equalWidth="0" w:num="1">
            <w:col w:w="11420"/>
          </w:cols>
          <w:pgMar w:left="240" w:top="179"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89"/>
              </w:rPr>
              <w:t>Costs Capitalized Subsequent</w:t>
            </w:r>
          </w:p>
        </w:tc>
        <w:tc>
          <w:tcPr>
            <w:tcW w:w="1840" w:type="dxa"/>
            <w:vAlign w:val="bottom"/>
            <w:gridSpan w:val="6"/>
          </w:tcPr>
          <w:p>
            <w:pPr>
              <w:jc w:val="center"/>
              <w:spacing w:after="0"/>
              <w:rPr>
                <w:sz w:val="20"/>
                <w:szCs w:val="20"/>
                <w:color w:val="auto"/>
              </w:rPr>
            </w:pPr>
            <w:r>
              <w:rPr>
                <w:rFonts w:ascii="Arial" w:cs="Arial" w:eastAsia="Arial" w:hAnsi="Arial"/>
                <w:sz w:val="13"/>
                <w:szCs w:val="13"/>
                <w:b w:val="1"/>
                <w:bCs w:val="1"/>
                <w:color w:val="auto"/>
                <w:w w:val="89"/>
              </w:rPr>
              <w:t>Gross Amount at Which Carried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74"/>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8"/>
              </w:rPr>
              <w:t>Acquisition Costs</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w w:val="96"/>
              </w:rPr>
              <w:t>to Acquisition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6"/>
              </w:rPr>
              <w:t>at Close of Period</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44"/>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Land and</w:t>
            </w:r>
          </w:p>
        </w:tc>
        <w:tc>
          <w:tcPr>
            <w:tcW w:w="9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Building and</w:t>
            </w:r>
          </w:p>
        </w:tc>
        <w:tc>
          <w:tcPr>
            <w:tcW w:w="120" w:type="dxa"/>
            <w:vAlign w:val="bottom"/>
          </w:tcPr>
          <w:p>
            <w:pPr>
              <w:spacing w:after="0"/>
              <w:rPr>
                <w:sz w:val="12"/>
                <w:szCs w:val="12"/>
                <w:color w:val="auto"/>
              </w:rPr>
            </w:pPr>
          </w:p>
        </w:tc>
        <w:tc>
          <w:tcPr>
            <w:tcW w:w="80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Land and</w:t>
            </w:r>
          </w:p>
        </w:tc>
        <w:tc>
          <w:tcPr>
            <w:tcW w:w="94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93"/>
              </w:rPr>
              <w:t>Building and</w:t>
            </w:r>
          </w:p>
        </w:tc>
        <w:tc>
          <w:tcPr>
            <w:tcW w:w="120" w:type="dxa"/>
            <w:vAlign w:val="bottom"/>
          </w:tcPr>
          <w:p>
            <w:pPr>
              <w:spacing w:after="0"/>
              <w:rPr>
                <w:sz w:val="12"/>
                <w:szCs w:val="12"/>
                <w:color w:val="auto"/>
              </w:rPr>
            </w:pP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Land and</w:t>
            </w:r>
          </w:p>
        </w:tc>
        <w:tc>
          <w:tcPr>
            <w:tcW w:w="9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Building 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Date</w:t>
            </w:r>
          </w:p>
        </w:tc>
        <w:tc>
          <w:tcPr>
            <w:tcW w:w="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Useful</w:t>
            </w:r>
          </w:p>
        </w:tc>
      </w:tr>
      <w:tr>
        <w:trPr>
          <w:trHeight w:val="174"/>
        </w:trPr>
        <w:tc>
          <w:tcPr>
            <w:tcW w:w="880" w:type="dxa"/>
            <w:vAlign w:val="bottom"/>
          </w:tcPr>
          <w:p>
            <w:pPr>
              <w:ind w:left="12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3"/>
                <w:szCs w:val="13"/>
                <w:b w:val="1"/>
                <w:bCs w:val="1"/>
                <w:color w:val="auto"/>
                <w:w w:val="95"/>
              </w:rPr>
              <w:t>Encumbrances   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Improvements</w:t>
            </w: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(a)</w:t>
            </w: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5"/>
                <w:szCs w:val="15"/>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Life</w:t>
            </w:r>
          </w:p>
        </w:tc>
      </w:tr>
      <w:tr>
        <w:trPr>
          <w:trHeight w:val="148"/>
        </w:trPr>
        <w:tc>
          <w:tcPr>
            <w:tcW w:w="880" w:type="dxa"/>
            <w:vAlign w:val="bottom"/>
            <w:tcBorders>
              <w:top w:val="single" w:sz="8" w:color="auto"/>
            </w:tcBorders>
          </w:tcPr>
          <w:p>
            <w:pPr>
              <w:ind w:left="40"/>
              <w:spacing w:after="0" w:line="148" w:lineRule="exact"/>
              <w:rPr>
                <w:sz w:val="20"/>
                <w:szCs w:val="20"/>
                <w:color w:val="auto"/>
              </w:rPr>
            </w:pPr>
            <w:r>
              <w:rPr>
                <w:rFonts w:ascii="Arial" w:cs="Arial" w:eastAsia="Arial" w:hAnsi="Arial"/>
                <w:sz w:val="13"/>
                <w:szCs w:val="13"/>
                <w:color w:val="auto"/>
                <w:w w:val="89"/>
              </w:rPr>
              <w:t>Caesars Palace</w:t>
            </w:r>
          </w:p>
        </w:tc>
        <w:tc>
          <w:tcPr>
            <w:tcW w:w="100" w:type="dxa"/>
            <w:vAlign w:val="bottom"/>
          </w:tcPr>
          <w:p>
            <w:pPr>
              <w:spacing w:after="0"/>
              <w:rPr>
                <w:sz w:val="12"/>
                <w:szCs w:val="12"/>
                <w:color w:val="auto"/>
              </w:rPr>
            </w:pPr>
          </w:p>
        </w:tc>
        <w:tc>
          <w:tcPr>
            <w:tcW w:w="680" w:type="dxa"/>
            <w:vAlign w:val="bottom"/>
            <w:tcBorders>
              <w:top w:val="single" w:sz="8" w:color="auto"/>
            </w:tcBorders>
          </w:tcPr>
          <w:p>
            <w:pPr>
              <w:ind w:left="20"/>
              <w:spacing w:after="0" w:line="148" w:lineRule="exact"/>
              <w:rPr>
                <w:sz w:val="20"/>
                <w:szCs w:val="20"/>
                <w:color w:val="auto"/>
              </w:rPr>
            </w:pPr>
            <w:r>
              <w:rPr>
                <w:rFonts w:ascii="Arial" w:cs="Arial" w:eastAsia="Arial" w:hAnsi="Arial"/>
                <w:sz w:val="13"/>
                <w:szCs w:val="13"/>
                <w:color w:val="auto"/>
                <w:w w:val="98"/>
              </w:rPr>
              <w:t>Las Vegas,</w:t>
            </w: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r>
      <w:tr>
        <w:trPr>
          <w:trHeight w:val="168"/>
        </w:trPr>
        <w:tc>
          <w:tcPr>
            <w:tcW w:w="980" w:type="dxa"/>
            <w:vAlign w:val="bottom"/>
            <w:gridSpan w:val="2"/>
          </w:tcPr>
          <w:p>
            <w:pPr>
              <w:ind w:left="40"/>
              <w:spacing w:after="0"/>
              <w:rPr>
                <w:sz w:val="20"/>
                <w:szCs w:val="20"/>
                <w:color w:val="auto"/>
              </w:rPr>
            </w:pPr>
            <w:r>
              <w:rPr>
                <w:rFonts w:ascii="Arial" w:cs="Arial" w:eastAsia="Arial" w:hAnsi="Arial"/>
                <w:sz w:val="13"/>
                <w:szCs w:val="13"/>
                <w:color w:val="auto"/>
              </w:rPr>
              <w:t>Land</w:t>
            </w: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Nevada</w:t>
            </w: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1,010,967</w:t>
            </w: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ind w:lef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1,010,967</w:t>
            </w: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1,010,967</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10/6/2017 (b)</w:t>
            </w:r>
          </w:p>
        </w:tc>
        <w:tc>
          <w:tcPr>
            <w:tcW w:w="4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56"/>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Land Parcels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35"/>
        </w:trPr>
        <w:tc>
          <w:tcPr>
            <w:tcW w:w="9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subject to Non-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35"/>
        </w:trPr>
        <w:tc>
          <w:tcPr>
            <w:tcW w:w="9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CPLV Lease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76"/>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Agreement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(c)</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75,691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75,691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75,691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9"/>
              </w:rPr>
              <w:t>10/6/2017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r>
      <w:tr>
        <w:trPr>
          <w:trHeight w:val="148"/>
        </w:trPr>
        <w:tc>
          <w:tcPr>
            <w:tcW w:w="9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Vacant, non-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8"/>
        </w:trPr>
        <w:tc>
          <w:tcPr>
            <w:tcW w:w="980" w:type="dxa"/>
            <w:vAlign w:val="bottom"/>
            <w:gridSpan w:val="2"/>
          </w:tcPr>
          <w:p>
            <w:pPr>
              <w:ind w:left="40"/>
              <w:spacing w:after="0"/>
              <w:rPr>
                <w:sz w:val="20"/>
                <w:szCs w:val="20"/>
                <w:color w:val="auto"/>
              </w:rPr>
            </w:pPr>
            <w:r>
              <w:rPr>
                <w:rFonts w:ascii="Arial" w:cs="Arial" w:eastAsia="Arial" w:hAnsi="Arial"/>
                <w:sz w:val="13"/>
                <w:szCs w:val="13"/>
                <w:color w:val="auto"/>
              </w:rPr>
              <w:t>operating Land</w:t>
            </w: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Various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21,111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21,111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21,111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center"/>
              <w:ind w:left="37"/>
              <w:spacing w:after="0"/>
              <w:rPr>
                <w:sz w:val="20"/>
                <w:szCs w:val="20"/>
                <w:color w:val="auto"/>
              </w:rPr>
            </w:pPr>
            <w:r>
              <w:rPr>
                <w:rFonts w:ascii="Arial" w:cs="Arial" w:eastAsia="Arial" w:hAnsi="Arial"/>
                <w:sz w:val="13"/>
                <w:szCs w:val="13"/>
                <w:color w:val="auto"/>
                <w:w w:val="89"/>
              </w:rPr>
              <w:t>10/6/2017</w:t>
            </w: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56"/>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Eastside</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Las Vegas,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0"/>
        </w:trPr>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Property (d)</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Nevada</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73,600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73,600</w:t>
            </w:r>
          </w:p>
        </w:tc>
        <w:tc>
          <w:tcPr>
            <w:tcW w:w="1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73,600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9"/>
              </w:rPr>
              <w:t>10/6/2017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1,181,369</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ind w:lef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1,181,369</w:t>
            </w: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1,181,369</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40" w:right="580" w:hanging="5"/>
        <w:spacing w:after="0" w:line="257" w:lineRule="auto"/>
        <w:tabs>
          <w:tab w:leader="none" w:pos="223"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As discussed further in Note 2 </w:t>
      </w:r>
      <w:r>
        <w:rPr>
          <w:rFonts w:ascii="Arial" w:cs="Arial" w:eastAsia="Arial" w:hAnsi="Arial"/>
          <w:sz w:val="12"/>
          <w:szCs w:val="12"/>
          <w:b w:val="1"/>
          <w:bCs w:val="1"/>
          <w:color w:val="auto"/>
        </w:rPr>
        <w:t>—</w:t>
      </w:r>
      <w:r>
        <w:rPr>
          <w:rFonts w:ascii="Arial" w:cs="Arial" w:eastAsia="Arial" w:hAnsi="Arial"/>
          <w:sz w:val="12"/>
          <w:szCs w:val="12"/>
          <w:color w:val="auto"/>
        </w:rPr>
        <w:t xml:space="preserve"> Summary of Significant Accounting Policies, the Lease Agreements are bifurcated between operating leases and direct financing leases, resulting in land that is subject to operating lease treatment being recorded as a Real Estate Investments accounted for using the operating method on the Company's Balance Sheet and included in this Schedule III. Building assets that triggered direct financing lease treatment are recorded Investment in direct financing leases, net on the Company's Balance Sheet and are not included in this Schedule III.</w:t>
      </w:r>
    </w:p>
    <w:p>
      <w:pPr>
        <w:spacing w:after="0" w:line="100" w:lineRule="exact"/>
        <w:rPr>
          <w:rFonts w:ascii="Arial" w:cs="Arial" w:eastAsia="Arial" w:hAnsi="Arial"/>
          <w:sz w:val="12"/>
          <w:szCs w:val="12"/>
          <w:color w:val="auto"/>
        </w:rPr>
      </w:pPr>
    </w:p>
    <w:p>
      <w:pPr>
        <w:ind w:left="220" w:hanging="185"/>
        <w:spacing w:after="0"/>
        <w:tabs>
          <w:tab w:leader="none" w:pos="2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Octavius tower addition to the Land was acquired on July 11, 2018.</w:t>
      </w:r>
    </w:p>
    <w:p>
      <w:pPr>
        <w:spacing w:after="0" w:line="120" w:lineRule="exact"/>
        <w:rPr>
          <w:rFonts w:ascii="Arial" w:cs="Arial" w:eastAsia="Arial" w:hAnsi="Arial"/>
          <w:sz w:val="13"/>
          <w:szCs w:val="13"/>
          <w:color w:val="auto"/>
        </w:rPr>
      </w:pPr>
    </w:p>
    <w:p>
      <w:pPr>
        <w:ind w:left="200" w:hanging="165"/>
        <w:spacing w:after="0"/>
        <w:tabs>
          <w:tab w:leader="none" w:pos="2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Pledged to secure obligations under the Senior Secured Credit.</w:t>
      </w:r>
    </w:p>
    <w:p>
      <w:pPr>
        <w:spacing w:after="0" w:line="39" w:lineRule="exact"/>
        <w:rPr>
          <w:rFonts w:ascii="Arial" w:cs="Arial" w:eastAsia="Arial" w:hAnsi="Arial"/>
          <w:sz w:val="13"/>
          <w:szCs w:val="13"/>
          <w:color w:val="auto"/>
        </w:rPr>
      </w:pPr>
    </w:p>
    <w:p>
      <w:pPr>
        <w:ind w:left="40" w:right="580" w:hanging="5"/>
        <w:spacing w:after="0" w:line="273" w:lineRule="auto"/>
        <w:tabs>
          <w:tab w:leader="none" w:pos="231"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transaction to sell the Eastside Property to a subsidiary of Caesars closed on December 22, 2017. Due to a put/call option on the land parcels, it was determined that the transaction does not meet the requirements of a completed sale for accounting purposes. As a result, we reclassified $73.6 million from Real estate investments accounted for using the operating method to Land.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 summary of activity for real estate assets and accumulated depreciation for the period October 6, 2017 to December 31, 2019 is as follows: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Accumulated Depreciation</w:t>
            </w:r>
          </w:p>
        </w:tc>
      </w:tr>
      <w:tr>
        <w:trPr>
          <w:trHeight w:val="25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October 6, 2017</w:t>
            </w:r>
          </w:p>
        </w:tc>
        <w:tc>
          <w:tcPr>
            <w:tcW w:w="148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1,184,000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Pr>
          <w:p>
            <w:pPr>
              <w:ind w:left="480"/>
              <w:spacing w:after="0"/>
              <w:rPr>
                <w:sz w:val="20"/>
                <w:szCs w:val="20"/>
                <w:color w:val="auto"/>
              </w:rPr>
            </w:pPr>
            <w:r>
              <w:rPr>
                <w:rFonts w:ascii="Arial" w:cs="Arial" w:eastAsia="Arial" w:hAnsi="Arial"/>
                <w:sz w:val="14"/>
                <w:szCs w:val="14"/>
                <w:color w:val="auto"/>
              </w:rPr>
              <w:t>Additions</w:t>
            </w:r>
          </w:p>
        </w:tc>
        <w:tc>
          <w:tcPr>
            <w:tcW w:w="14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6"/>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Disposals</w:t>
            </w:r>
          </w:p>
        </w:tc>
        <w:tc>
          <w:tcPr>
            <w:tcW w:w="14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Depreciation expense</w:t>
            </w:r>
          </w:p>
        </w:tc>
        <w:tc>
          <w:tcPr>
            <w:tcW w:w="1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1480" w:type="dxa"/>
            <w:vAlign w:val="bottom"/>
            <w:tcBorders>
              <w:bottom w:val="single" w:sz="8" w:color="auto"/>
            </w:tcBorders>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1,184,000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5"/>
        </w:trPr>
        <w:tc>
          <w:tcPr>
            <w:tcW w:w="7180" w:type="dxa"/>
            <w:vAlign w:val="bottom"/>
          </w:tcPr>
          <w:p>
            <w:pPr>
              <w:ind w:left="480"/>
              <w:spacing w:after="0"/>
              <w:rPr>
                <w:sz w:val="20"/>
                <w:szCs w:val="20"/>
                <w:color w:val="auto"/>
              </w:rPr>
            </w:pPr>
            <w:r>
              <w:rPr>
                <w:rFonts w:ascii="Arial" w:cs="Arial" w:eastAsia="Arial" w:hAnsi="Arial"/>
                <w:sz w:val="14"/>
                <w:szCs w:val="14"/>
                <w:color w:val="auto"/>
              </w:rPr>
              <w:t>Additions</w:t>
            </w:r>
          </w:p>
        </w:tc>
        <w:tc>
          <w:tcPr>
            <w:tcW w:w="14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6"/>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Impairments</w:t>
            </w: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Pr>
          <w:p>
            <w:pPr>
              <w:ind w:left="480"/>
              <w:spacing w:after="0"/>
              <w:rPr>
                <w:sz w:val="20"/>
                <w:szCs w:val="20"/>
                <w:color w:val="auto"/>
              </w:rPr>
            </w:pPr>
            <w:r>
              <w:rPr>
                <w:rFonts w:ascii="Arial" w:cs="Arial" w:eastAsia="Arial" w:hAnsi="Arial"/>
                <w:sz w:val="14"/>
                <w:szCs w:val="14"/>
                <w:color w:val="auto"/>
              </w:rPr>
              <w:t>Disposals</w:t>
            </w:r>
          </w:p>
        </w:tc>
        <w:tc>
          <w:tcPr>
            <w:tcW w:w="14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0"/>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expense</w:t>
            </w:r>
          </w:p>
        </w:tc>
        <w:tc>
          <w:tcPr>
            <w:tcW w:w="1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31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as of December 31, 2018</w:t>
            </w:r>
          </w:p>
        </w:tc>
        <w:tc>
          <w:tcPr>
            <w:tcW w:w="148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1,182,447</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r>
      <w:tr>
        <w:trPr>
          <w:trHeight w:val="251"/>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Additions</w:t>
            </w:r>
          </w:p>
        </w:tc>
        <w:tc>
          <w:tcPr>
            <w:tcW w:w="14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Pr>
          <w:p>
            <w:pPr>
              <w:ind w:left="480"/>
              <w:spacing w:after="0"/>
              <w:rPr>
                <w:sz w:val="20"/>
                <w:szCs w:val="20"/>
                <w:color w:val="auto"/>
              </w:rPr>
            </w:pPr>
            <w:r>
              <w:rPr>
                <w:rFonts w:ascii="Arial" w:cs="Arial" w:eastAsia="Arial" w:hAnsi="Arial"/>
                <w:sz w:val="14"/>
                <w:szCs w:val="14"/>
                <w:color w:val="auto"/>
              </w:rPr>
              <w:t>Impairments</w:t>
            </w:r>
          </w:p>
        </w:tc>
        <w:tc>
          <w:tcPr>
            <w:tcW w:w="14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6"/>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Disposals</w:t>
            </w: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Depreciation expense</w:t>
            </w:r>
          </w:p>
        </w:tc>
        <w:tc>
          <w:tcPr>
            <w:tcW w:w="1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1480" w:type="dxa"/>
            <w:vAlign w:val="bottom"/>
            <w:tcBorders>
              <w:bottom w:val="single" w:sz="8" w:color="auto"/>
            </w:tcBorders>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1,181,369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- 6</w:t>
      </w:r>
    </w:p>
    <w:p>
      <w:pPr>
        <w:sectPr>
          <w:pgSz w:w="11900" w:h="16838" w:orient="portrait"/>
          <w:cols w:equalWidth="0" w:num="1">
            <w:col w:w="11420"/>
          </w:cols>
          <w:pgMar w:left="240" w:top="179"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2.7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PURCHASE AND SALE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color w:val="auto"/>
        </w:rPr>
        <w:t xml:space="preserve">THIS FIRST AMENDMENT TO PURCHASE AND SALE 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is made as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February 20, 2020, by and between </w:t>
      </w:r>
      <w:r>
        <w:rPr>
          <w:rFonts w:ascii="Arial" w:cs="Arial" w:eastAsia="Arial" w:hAnsi="Arial"/>
          <w:sz w:val="21"/>
          <w:szCs w:val="21"/>
          <w:b w:val="1"/>
          <w:bCs w:val="1"/>
          <w:color w:val="auto"/>
        </w:rPr>
        <w:t>ELDORADO RESORTS, INC.</w:t>
      </w:r>
      <w:r>
        <w:rPr>
          <w:rFonts w:ascii="Arial" w:cs="Arial" w:eastAsia="Arial" w:hAnsi="Arial"/>
          <w:sz w:val="21"/>
          <w:szCs w:val="21"/>
          <w:color w:val="auto"/>
        </w:rPr>
        <w:t>, a Nevada corporation (“</w:t>
      </w:r>
      <w:r>
        <w:rPr>
          <w:rFonts w:ascii="Arial" w:cs="Arial" w:eastAsia="Arial" w:hAnsi="Arial"/>
          <w:sz w:val="21"/>
          <w:szCs w:val="21"/>
          <w:u w:val="single" w:color="auto"/>
          <w:color w:val="auto"/>
        </w:rPr>
        <w:t>Eldorado</w:t>
      </w:r>
      <w:r>
        <w:rPr>
          <w:rFonts w:ascii="Arial" w:cs="Arial" w:eastAsia="Arial" w:hAnsi="Arial"/>
          <w:sz w:val="21"/>
          <w:szCs w:val="21"/>
          <w:color w:val="auto"/>
        </w:rPr>
        <w:t xml:space="preserve">”), having an office at 100 West Liberty Street, Suite 1150, Reno, Nevada 89501, and </w:t>
      </w:r>
      <w:r>
        <w:rPr>
          <w:rFonts w:ascii="Arial" w:cs="Arial" w:eastAsia="Arial" w:hAnsi="Arial"/>
          <w:sz w:val="21"/>
          <w:szCs w:val="21"/>
          <w:b w:val="1"/>
          <w:bCs w:val="1"/>
          <w:color w:val="auto"/>
        </w:rPr>
        <w:t>VICI PROPERTIES L.P.</w:t>
      </w:r>
      <w:r>
        <w:rPr>
          <w:rFonts w:ascii="Arial" w:cs="Arial" w:eastAsia="Arial" w:hAnsi="Arial"/>
          <w:sz w:val="21"/>
          <w:szCs w:val="21"/>
          <w:color w:val="auto"/>
        </w:rPr>
        <w:t>, a Delaware limited partnership (“</w:t>
      </w:r>
      <w:r>
        <w:rPr>
          <w:rFonts w:ascii="Arial" w:cs="Arial" w:eastAsia="Arial" w:hAnsi="Arial"/>
          <w:sz w:val="21"/>
          <w:szCs w:val="21"/>
          <w:u w:val="single" w:color="auto"/>
          <w:color w:val="auto"/>
        </w:rPr>
        <w:t>Buyer</w:t>
      </w:r>
      <w:r>
        <w:rPr>
          <w:rFonts w:ascii="Arial" w:cs="Arial" w:eastAsia="Arial" w:hAnsi="Arial"/>
          <w:sz w:val="21"/>
          <w:szCs w:val="21"/>
          <w:color w:val="auto"/>
        </w:rPr>
        <w:t>”), having an office at c/o VICI Properties Inc., 535 Madison Avenue, 20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New York, New York 10022.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r>
        <w:rPr>
          <w:rFonts w:ascii="Arial" w:cs="Arial" w:eastAsia="Arial" w:hAnsi="Arial"/>
          <w:sz w:val="22"/>
          <w:szCs w:val="22"/>
          <w:color w:val="auto"/>
        </w:rPr>
        <w:t>:</w:t>
      </w:r>
    </w:p>
    <w:p>
      <w:pPr>
        <w:spacing w:after="0" w:line="199" w:lineRule="exact"/>
        <w:rPr>
          <w:sz w:val="20"/>
          <w:szCs w:val="20"/>
          <w:color w:val="auto"/>
        </w:rPr>
      </w:pPr>
    </w:p>
    <w:p>
      <w:pPr>
        <w:jc w:val="both"/>
        <w:ind w:firstLine="656"/>
        <w:spacing w:after="0" w:line="229" w:lineRule="auto"/>
        <w:tabs>
          <w:tab w:leader="none" w:pos="1182" w:val="left"/>
        </w:tabs>
        <w:numPr>
          <w:ilvl w:val="0"/>
          <w:numId w:val="75"/>
        </w:numPr>
        <w:rPr>
          <w:rFonts w:ascii="Arial" w:cs="Arial" w:eastAsia="Arial" w:hAnsi="Arial"/>
          <w:sz w:val="21"/>
          <w:szCs w:val="21"/>
          <w:color w:val="auto"/>
        </w:rPr>
      </w:pPr>
      <w:r>
        <w:rPr>
          <w:rFonts w:ascii="Arial" w:cs="Arial" w:eastAsia="Arial" w:hAnsi="Arial"/>
          <w:sz w:val="21"/>
          <w:szCs w:val="21"/>
          <w:color w:val="auto"/>
        </w:rPr>
        <w:t>Pursuant to the Purchase and Sale Agreement dated as of September 26, 2019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Eldorado agreed to sell to Buyer and Buyer agreed to purchase from Eldorado certain Property as more particularly described in the Purchase Agreement. The Purchase Agreement and the Property are referred to in the Master Transaction Agreement as the “Subject Property PSA (New Orleans)” and the “HNO Property”, respectively.</w:t>
      </w:r>
    </w:p>
    <w:p>
      <w:pPr>
        <w:spacing w:after="0" w:line="158" w:lineRule="exact"/>
        <w:rPr>
          <w:rFonts w:ascii="Arial" w:cs="Arial" w:eastAsia="Arial" w:hAnsi="Arial"/>
          <w:sz w:val="21"/>
          <w:szCs w:val="21"/>
          <w:color w:val="auto"/>
        </w:rPr>
      </w:pPr>
    </w:p>
    <w:p>
      <w:pPr>
        <w:ind w:left="1180" w:hanging="524"/>
        <w:spacing w:after="0"/>
        <w:tabs>
          <w:tab w:leader="none" w:pos="11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Eldorado and Buyer each desire to amend the Purchase Agreement as more particularly set forth in this Amendment.</w:t>
      </w:r>
    </w:p>
    <w:p>
      <w:pPr>
        <w:spacing w:after="0" w:line="241"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NOW, THEREFORE, in consideration of the mutual promises, covenants and conditions hereinafter set forth and other consideration, the mutual receipt and legal sufficiency of which is hereby acknowledged, Eldorado and Buyer agree as follows:</w:t>
      </w:r>
    </w:p>
    <w:p>
      <w:pPr>
        <w:spacing w:after="0" w:line="118" w:lineRule="exact"/>
        <w:rPr>
          <w:sz w:val="20"/>
          <w:szCs w:val="20"/>
          <w:color w:val="auto"/>
        </w:rPr>
      </w:pPr>
    </w:p>
    <w:p>
      <w:pPr>
        <w:ind w:right="20" w:firstLine="656"/>
        <w:spacing w:after="0" w:line="232" w:lineRule="auto"/>
        <w:tabs>
          <w:tab w:leader="none" w:pos="145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but not defined in this Amendment have the meanings given those terms in the Purchase Agreement.</w:t>
      </w:r>
    </w:p>
    <w:p>
      <w:pPr>
        <w:spacing w:after="0" w:line="186" w:lineRule="exact"/>
        <w:rPr>
          <w:rFonts w:ascii="Arial" w:cs="Arial" w:eastAsia="Arial" w:hAnsi="Arial"/>
          <w:sz w:val="22"/>
          <w:szCs w:val="22"/>
          <w:color w:val="auto"/>
        </w:rPr>
      </w:pPr>
    </w:p>
    <w:p>
      <w:pPr>
        <w:ind w:firstLine="656"/>
        <w:spacing w:after="0" w:line="276" w:lineRule="auto"/>
        <w:tabs>
          <w:tab w:leader="none" w:pos="103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The second sentence of the first paragraph of Article 2 of the Purchase Agreement is hereby amended and restated in its entirety as follows:</w:t>
      </w:r>
    </w:p>
    <w:p>
      <w:pPr>
        <w:spacing w:after="0" w:line="161"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“In consideration therefor, Buyer shall pay to Eldorado an aggregate amount of Seven Hundred Eighty Nine Million Five Hundred Thousand and No/100 Dollars ($789,500,000.00) (the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97" w:lineRule="auto"/>
        <w:tabs>
          <w:tab w:leader="none" w:pos="112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parties hereto further agree that Section 11.1 (</w:t>
      </w:r>
      <w:r>
        <w:rPr>
          <w:rFonts w:ascii="Arial" w:cs="Arial" w:eastAsia="Arial" w:hAnsi="Arial"/>
          <w:sz w:val="19"/>
          <w:szCs w:val="19"/>
          <w:i w:val="1"/>
          <w:iCs w:val="1"/>
          <w:color w:val="auto"/>
        </w:rPr>
        <w:t>Buyer’s Assignment</w:t>
      </w:r>
      <w:r>
        <w:rPr>
          <w:rFonts w:ascii="Arial" w:cs="Arial" w:eastAsia="Arial" w:hAnsi="Arial"/>
          <w:sz w:val="19"/>
          <w:szCs w:val="19"/>
          <w:color w:val="auto"/>
        </w:rPr>
        <w:t>), Section 11.3 (</w:t>
      </w:r>
      <w:r>
        <w:rPr>
          <w:rFonts w:ascii="Arial" w:cs="Arial" w:eastAsia="Arial" w:hAnsi="Arial"/>
          <w:sz w:val="19"/>
          <w:szCs w:val="19"/>
          <w:i w:val="1"/>
          <w:iCs w:val="1"/>
          <w:color w:val="auto"/>
        </w:rPr>
        <w:t>Integration;</w:t>
      </w:r>
      <w:r>
        <w:rPr>
          <w:rFonts w:ascii="Arial" w:cs="Arial" w:eastAsia="Arial" w:hAnsi="Arial"/>
          <w:sz w:val="19"/>
          <w:szCs w:val="19"/>
          <w:color w:val="auto"/>
        </w:rPr>
        <w:t xml:space="preserve"> </w:t>
      </w:r>
      <w:r>
        <w:rPr>
          <w:rFonts w:ascii="Arial" w:cs="Arial" w:eastAsia="Arial" w:hAnsi="Arial"/>
          <w:sz w:val="19"/>
          <w:szCs w:val="19"/>
          <w:i w:val="1"/>
          <w:iCs w:val="1"/>
          <w:color w:val="auto"/>
        </w:rPr>
        <w:t>Waiver</w:t>
      </w:r>
      <w:r>
        <w:rPr>
          <w:rFonts w:ascii="Arial" w:cs="Arial" w:eastAsia="Arial" w:hAnsi="Arial"/>
          <w:sz w:val="19"/>
          <w:szCs w:val="19"/>
          <w:color w:val="auto"/>
        </w:rPr>
        <w:t>), Section 11.4 (</w:t>
      </w:r>
      <w:r>
        <w:rPr>
          <w:rFonts w:ascii="Arial" w:cs="Arial" w:eastAsia="Arial" w:hAnsi="Arial"/>
          <w:sz w:val="19"/>
          <w:szCs w:val="19"/>
          <w:i w:val="1"/>
          <w:iCs w:val="1"/>
          <w:color w:val="auto"/>
        </w:rPr>
        <w:t>Governing Law</w:t>
      </w:r>
      <w:r>
        <w:rPr>
          <w:rFonts w:ascii="Arial" w:cs="Arial" w:eastAsia="Arial" w:hAnsi="Arial"/>
          <w:sz w:val="19"/>
          <w:szCs w:val="19"/>
          <w:color w:val="auto"/>
        </w:rPr>
        <w:t>), Section 11.6 (</w:t>
      </w:r>
      <w:r>
        <w:rPr>
          <w:rFonts w:ascii="Arial" w:cs="Arial" w:eastAsia="Arial" w:hAnsi="Arial"/>
          <w:sz w:val="19"/>
          <w:szCs w:val="19"/>
          <w:i w:val="1"/>
          <w:iCs w:val="1"/>
          <w:color w:val="auto"/>
        </w:rPr>
        <w:t>Binding Effect</w:t>
      </w:r>
      <w:r>
        <w:rPr>
          <w:rFonts w:ascii="Arial" w:cs="Arial" w:eastAsia="Arial" w:hAnsi="Arial"/>
          <w:sz w:val="19"/>
          <w:szCs w:val="19"/>
          <w:color w:val="auto"/>
        </w:rPr>
        <w:t>), Section 11.7 (</w:t>
      </w:r>
      <w:r>
        <w:rPr>
          <w:rFonts w:ascii="Arial" w:cs="Arial" w:eastAsia="Arial" w:hAnsi="Arial"/>
          <w:sz w:val="19"/>
          <w:szCs w:val="19"/>
          <w:i w:val="1"/>
          <w:iCs w:val="1"/>
          <w:color w:val="auto"/>
        </w:rPr>
        <w:t>Severability</w:t>
      </w:r>
      <w:r>
        <w:rPr>
          <w:rFonts w:ascii="Arial" w:cs="Arial" w:eastAsia="Arial" w:hAnsi="Arial"/>
          <w:sz w:val="19"/>
          <w:szCs w:val="19"/>
          <w:color w:val="auto"/>
        </w:rPr>
        <w:t>), Section 11.8 (</w:t>
      </w:r>
      <w:r>
        <w:rPr>
          <w:rFonts w:ascii="Arial" w:cs="Arial" w:eastAsia="Arial" w:hAnsi="Arial"/>
          <w:sz w:val="19"/>
          <w:szCs w:val="19"/>
          <w:i w:val="1"/>
          <w:iCs w:val="1"/>
          <w:color w:val="auto"/>
        </w:rPr>
        <w:t>Notices</w:t>
      </w:r>
      <w:r>
        <w:rPr>
          <w:rFonts w:ascii="Arial" w:cs="Arial" w:eastAsia="Arial" w:hAnsi="Arial"/>
          <w:sz w:val="19"/>
          <w:szCs w:val="19"/>
          <w:color w:val="auto"/>
        </w:rPr>
        <w:t>),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11.9 (</w:t>
      </w:r>
      <w:r>
        <w:rPr>
          <w:rFonts w:ascii="Arial" w:cs="Arial" w:eastAsia="Arial" w:hAnsi="Arial"/>
          <w:sz w:val="19"/>
          <w:szCs w:val="19"/>
          <w:i w:val="1"/>
          <w:iCs w:val="1"/>
          <w:color w:val="auto"/>
        </w:rPr>
        <w:t>Counterparts; Electronic Signatures</w:t>
      </w:r>
      <w:r>
        <w:rPr>
          <w:rFonts w:ascii="Arial" w:cs="Arial" w:eastAsia="Arial" w:hAnsi="Arial"/>
          <w:sz w:val="19"/>
          <w:szCs w:val="19"/>
          <w:color w:val="auto"/>
        </w:rPr>
        <w:t>), Section 11.12 (</w:t>
      </w:r>
      <w:r>
        <w:rPr>
          <w:rFonts w:ascii="Arial" w:cs="Arial" w:eastAsia="Arial" w:hAnsi="Arial"/>
          <w:sz w:val="19"/>
          <w:szCs w:val="19"/>
          <w:i w:val="1"/>
          <w:iCs w:val="1"/>
          <w:color w:val="auto"/>
        </w:rPr>
        <w:t>Construction</w:t>
      </w:r>
      <w:r>
        <w:rPr>
          <w:rFonts w:ascii="Arial" w:cs="Arial" w:eastAsia="Arial" w:hAnsi="Arial"/>
          <w:sz w:val="19"/>
          <w:szCs w:val="19"/>
          <w:color w:val="auto"/>
        </w:rPr>
        <w:t>), Section 11.14 (</w:t>
      </w:r>
      <w:r>
        <w:rPr>
          <w:rFonts w:ascii="Arial" w:cs="Arial" w:eastAsia="Arial" w:hAnsi="Arial"/>
          <w:sz w:val="19"/>
          <w:szCs w:val="19"/>
          <w:i w:val="1"/>
          <w:iCs w:val="1"/>
          <w:color w:val="auto"/>
        </w:rPr>
        <w:t>Jurisdiction</w:t>
      </w:r>
      <w:r>
        <w:rPr>
          <w:rFonts w:ascii="Arial" w:cs="Arial" w:eastAsia="Arial" w:hAnsi="Arial"/>
          <w:sz w:val="19"/>
          <w:szCs w:val="19"/>
          <w:color w:val="auto"/>
        </w:rPr>
        <w:t>) and Section 11.15 (</w:t>
      </w:r>
      <w:r>
        <w:rPr>
          <w:rFonts w:ascii="Arial" w:cs="Arial" w:eastAsia="Arial" w:hAnsi="Arial"/>
          <w:sz w:val="19"/>
          <w:szCs w:val="19"/>
          <w:i w:val="1"/>
          <w:iCs w:val="1"/>
          <w:color w:val="auto"/>
        </w:rPr>
        <w:t>Waiver of</w:t>
      </w:r>
      <w:r>
        <w:rPr>
          <w:rFonts w:ascii="Arial" w:cs="Arial" w:eastAsia="Arial" w:hAnsi="Arial"/>
          <w:sz w:val="19"/>
          <w:szCs w:val="19"/>
          <w:color w:val="auto"/>
        </w:rPr>
        <w:t xml:space="preserve"> </w:t>
      </w:r>
      <w:r>
        <w:rPr>
          <w:rFonts w:ascii="Arial" w:cs="Arial" w:eastAsia="Arial" w:hAnsi="Arial"/>
          <w:sz w:val="19"/>
          <w:szCs w:val="19"/>
          <w:i w:val="1"/>
          <w:iCs w:val="1"/>
          <w:color w:val="auto"/>
        </w:rPr>
        <w:t>Jury Trial</w:t>
      </w:r>
      <w:r>
        <w:rPr>
          <w:rFonts w:ascii="Arial" w:cs="Arial" w:eastAsia="Arial" w:hAnsi="Arial"/>
          <w:sz w:val="19"/>
          <w:szCs w:val="19"/>
          <w:color w:val="auto"/>
        </w:rPr>
        <w:t>) of the Purchase Agreement are hereby incorporated into this Amendment,</w:t>
      </w:r>
      <w:r>
        <w:rPr>
          <w:rFonts w:ascii="Arial" w:cs="Arial" w:eastAsia="Arial" w:hAnsi="Arial"/>
          <w:sz w:val="19"/>
          <w:szCs w:val="19"/>
          <w:i w:val="1"/>
          <w:iCs w:val="1"/>
          <w:color w:val="auto"/>
        </w:rPr>
        <w:t xml:space="preserve"> mutatis mutandis</w:t>
      </w:r>
      <w:r>
        <w:rPr>
          <w:rFonts w:ascii="Arial" w:cs="Arial" w:eastAsia="Arial" w:hAnsi="Arial"/>
          <w:sz w:val="19"/>
          <w:szCs w:val="19"/>
          <w:color w:val="auto"/>
        </w:rPr>
        <w:t>, and except as expressly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herein, the Purchase Agreement is hereby ratified and affirmed and remains unmodified and in full force and effect. All future references to the Purchase Agreement shall mean the Purchase Agreement, as amended by this Amendment.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signatures on next page.]</w:t>
      </w:r>
    </w:p>
    <w:p>
      <w:pPr>
        <w:sectPr>
          <w:pgSz w:w="11900" w:h="16838" w:orient="portrait"/>
          <w:cols w:equalWidth="0" w:num="1">
            <w:col w:w="11420"/>
          </w:cols>
          <w:pgMar w:left="240" w:top="125" w:right="239" w:bottom="1440" w:gutter="0" w:footer="0" w:header="0"/>
        </w:sectPr>
      </w:pPr>
    </w:p>
    <w:bookmarkStart w:id="153" w:name="page154"/>
    <w:bookmarkEnd w:id="153"/>
    <w:p>
      <w:pPr>
        <w:ind w:firstLine="648"/>
        <w:spacing w:after="0" w:line="263" w:lineRule="auto"/>
        <w:rPr>
          <w:sz w:val="20"/>
          <w:szCs w:val="20"/>
          <w:color w:val="auto"/>
        </w:rPr>
      </w:pPr>
      <w:r>
        <w:rPr>
          <w:rFonts w:ascii="Arial" w:cs="Arial" w:eastAsia="Arial" w:hAnsi="Arial"/>
          <w:sz w:val="22"/>
          <w:szCs w:val="22"/>
          <w:b w:val="1"/>
          <w:bCs w:val="1"/>
          <w:i w:val="1"/>
          <w:iCs w:val="1"/>
          <w:color w:val="auto"/>
        </w:rPr>
        <w:t>IN WITNESS WHEREOF</w:t>
      </w:r>
      <w:r>
        <w:rPr>
          <w:rFonts w:ascii="Arial" w:cs="Arial" w:eastAsia="Arial" w:hAnsi="Arial"/>
          <w:sz w:val="22"/>
          <w:szCs w:val="22"/>
          <w:color w:val="auto"/>
        </w:rPr>
        <w:t>, each party hereto, intending to be legally bound, has caused this Amendment to be duly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to be effective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ELDORADO:</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ELDORADO RESORTS, INC.</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31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Brent Yunker</w:t>
      </w:r>
      <w:r>
        <w:rPr>
          <w:rFonts w:ascii="Arial" w:cs="Arial" w:eastAsia="Arial" w:hAnsi="Arial"/>
          <w:sz w:val="22"/>
          <w:szCs w:val="22"/>
          <w:color w:val="auto"/>
        </w:rPr>
        <w:t>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Brent Yunker, CFO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Amendment to Purchase and Sale Agreement (HNO)</w:t>
      </w:r>
      <w:r>
        <w:rPr>
          <w:rFonts w:ascii="Arial" w:cs="Arial" w:eastAsia="Arial" w:hAnsi="Arial"/>
          <w:sz w:val="18"/>
          <w:szCs w:val="18"/>
          <w:color w:val="auto"/>
        </w:rPr>
        <w:t>]</w:t>
      </w:r>
    </w:p>
    <w:p>
      <w:pPr>
        <w:sectPr>
          <w:pgSz w:w="11900" w:h="16838" w:orient="portrait"/>
          <w:cols w:equalWidth="0" w:num="1">
            <w:col w:w="11420"/>
          </w:cols>
          <w:pgMar w:left="240" w:top="348" w:right="239" w:bottom="1440" w:gutter="0" w:footer="0" w:header="0"/>
        </w:sectPr>
      </w:pPr>
    </w:p>
    <w:bookmarkStart w:id="154" w:name="page155"/>
    <w:bookmarkEnd w:id="154"/>
    <w:p>
      <w:pPr>
        <w:ind w:left="2700"/>
        <w:spacing w:after="0"/>
        <w:rPr>
          <w:sz w:val="20"/>
          <w:szCs w:val="20"/>
          <w:color w:val="auto"/>
        </w:rPr>
      </w:pPr>
      <w:r>
        <w:rPr>
          <w:rFonts w:ascii="Arial" w:cs="Arial" w:eastAsia="Arial" w:hAnsi="Arial"/>
          <w:sz w:val="22"/>
          <w:szCs w:val="22"/>
          <w:b w:val="1"/>
          <w:bCs w:val="1"/>
          <w:color w:val="auto"/>
        </w:rPr>
        <w:t>BUYER: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VICI PROPERTIES L.P.</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 Delaware limited partnership</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John Payne</w:t>
      </w:r>
      <w:r>
        <w:rPr>
          <w:rFonts w:ascii="Arial" w:cs="Arial" w:eastAsia="Arial" w:hAnsi="Arial"/>
          <w:sz w:val="19"/>
          <w:szCs w:val="19"/>
          <w:color w:val="auto"/>
        </w:rPr>
        <w:t>______________</w:t>
      </w:r>
    </w:p>
    <w:p>
      <w:pPr>
        <w:spacing w:after="0" w:line="22"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John Payne</w:t>
      </w:r>
    </w:p>
    <w:p>
      <w:pPr>
        <w:spacing w:after="0" w:line="4"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22"/>
          <w:szCs w:val="22"/>
          <w:color w:val="auto"/>
        </w:rPr>
        <w:t>Title:</w:t>
        <w:tab/>
        <w:t>President</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Amendment to Purchase and Sale Agreement (HNO)</w:t>
      </w:r>
      <w:r>
        <w:rPr>
          <w:rFonts w:ascii="Arial" w:cs="Arial" w:eastAsia="Arial" w:hAnsi="Arial"/>
          <w:sz w:val="16"/>
          <w:szCs w:val="16"/>
          <w:color w:val="auto"/>
        </w:rPr>
        <w:t>]</w:t>
      </w:r>
    </w:p>
    <w:p>
      <w:pPr>
        <w:sectPr>
          <w:pgSz w:w="11900" w:h="16838" w:orient="portrait"/>
          <w:cols w:equalWidth="0" w:num="1">
            <w:col w:w="9019"/>
          </w:cols>
          <w:pgMar w:left="1440" w:top="342"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4.5</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 NO. 4</w:t>
      </w:r>
    </w:p>
    <w:p>
      <w:pPr>
        <w:spacing w:after="0" w:line="260" w:lineRule="exact"/>
        <w:rPr>
          <w:sz w:val="20"/>
          <w:szCs w:val="20"/>
          <w:color w:val="auto"/>
        </w:rPr>
      </w:pPr>
    </w:p>
    <w:p>
      <w:pPr>
        <w:ind w:right="220" w:firstLine="1297"/>
        <w:spacing w:after="0" w:line="288" w:lineRule="auto"/>
        <w:rPr>
          <w:sz w:val="20"/>
          <w:szCs w:val="20"/>
          <w:color w:val="auto"/>
        </w:rPr>
      </w:pPr>
      <w:r>
        <w:rPr>
          <w:rFonts w:ascii="Arial" w:cs="Arial" w:eastAsia="Arial" w:hAnsi="Arial"/>
          <w:sz w:val="22"/>
          <w:szCs w:val="22"/>
          <w:color w:val="auto"/>
        </w:rPr>
        <w:t>SUPPLEMENTAL INDENTURE NO. 4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August 20, 2019, among Greektown Propco LLC (the “</w:t>
      </w:r>
      <w:r>
        <w:rPr>
          <w:rFonts w:ascii="Arial" w:cs="Arial" w:eastAsia="Arial" w:hAnsi="Arial"/>
          <w:sz w:val="22"/>
          <w:szCs w:val="22"/>
          <w:u w:val="single" w:color="auto"/>
          <w:color w:val="auto"/>
        </w:rPr>
        <w:t>New Guarantor</w:t>
      </w:r>
      <w:r>
        <w:rPr>
          <w:rFonts w:ascii="Arial" w:cs="Arial" w:eastAsia="Arial" w:hAnsi="Arial"/>
          <w:sz w:val="22"/>
          <w:szCs w:val="22"/>
          <w:color w:val="auto"/>
        </w:rPr>
        <w:t>”), a subsidiary of VICI Properties 1 LLC (or its successor), VICI Properties 1 LLC and VICI FC Inc. (collectively, the “</w:t>
      </w:r>
      <w:r>
        <w:rPr>
          <w:rFonts w:ascii="Arial" w:cs="Arial" w:eastAsia="Arial" w:hAnsi="Arial"/>
          <w:sz w:val="22"/>
          <w:szCs w:val="22"/>
          <w:u w:val="single" w:color="auto"/>
          <w:color w:val="auto"/>
        </w:rPr>
        <w:t>Issuers</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60" w:lineRule="exact"/>
        <w:rPr>
          <w:sz w:val="20"/>
          <w:szCs w:val="20"/>
          <w:color w:val="auto"/>
        </w:rPr>
      </w:pPr>
    </w:p>
    <w:p>
      <w:pPr>
        <w:ind w:right="440" w:firstLine="1297"/>
        <w:spacing w:after="0" w:line="288" w:lineRule="auto"/>
        <w:rPr>
          <w:sz w:val="20"/>
          <w:szCs w:val="20"/>
          <w:color w:val="auto"/>
        </w:rPr>
      </w:pPr>
      <w:r>
        <w:rPr>
          <w:rFonts w:ascii="Arial" w:cs="Arial" w:eastAsia="Arial" w:hAnsi="Arial"/>
          <w:sz w:val="22"/>
          <w:szCs w:val="22"/>
          <w:color w:val="auto"/>
        </w:rPr>
        <w:t>WHEREAS the Issuers and the Subsidiary Guarantors have heretofore executed and delivered to the Trustee an indenture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October 6, 2017, providing for the issuance of the Issuers’ 8.0% Second-Priority Senior Secured Notes due 2023 (the “</w:t>
      </w:r>
      <w:r>
        <w:rPr>
          <w:rFonts w:ascii="Arial" w:cs="Arial" w:eastAsia="Arial" w:hAnsi="Arial"/>
          <w:sz w:val="22"/>
          <w:szCs w:val="22"/>
          <w:u w:val="single" w:color="auto"/>
          <w:color w:val="auto"/>
        </w:rPr>
        <w:t>Notes</w:t>
      </w:r>
      <w:r>
        <w:rPr>
          <w:rFonts w:ascii="Arial" w:cs="Arial" w:eastAsia="Arial" w:hAnsi="Arial"/>
          <w:sz w:val="22"/>
          <w:szCs w:val="22"/>
          <w:color w:val="auto"/>
        </w:rPr>
        <w:t>”), initially in the aggregate principal amount of $766,891,864;</w:t>
      </w:r>
    </w:p>
    <w:p>
      <w:pPr>
        <w:spacing w:after="0" w:line="190" w:lineRule="exact"/>
        <w:rPr>
          <w:sz w:val="20"/>
          <w:szCs w:val="20"/>
          <w:color w:val="auto"/>
        </w:rPr>
      </w:pPr>
    </w:p>
    <w:p>
      <w:pPr>
        <w:ind w:right="40" w:firstLine="1297"/>
        <w:spacing w:after="0" w:line="288" w:lineRule="auto"/>
        <w:rPr>
          <w:sz w:val="20"/>
          <w:szCs w:val="20"/>
          <w:color w:val="auto"/>
        </w:rPr>
      </w:pPr>
      <w:r>
        <w:rPr>
          <w:rFonts w:ascii="Arial" w:cs="Arial" w:eastAsia="Arial" w:hAnsi="Arial"/>
          <w:sz w:val="22"/>
          <w:szCs w:val="22"/>
          <w:color w:val="auto"/>
        </w:rPr>
        <w:t>WHEREAS Section 4.11 of the Indenture provides that under certain circumstances the Issuers are required to cause the New Guarantor to execute and deliver to the Trustee a supplemental indenture pursuant to which the New Guarantor shall unconditionally guarantee all the Issuers’ Obligations under the Notes and the Indenture pursuant to a Note Guarantee on the terms and conditions set forth herein; and</w:t>
      </w:r>
    </w:p>
    <w:p>
      <w:pPr>
        <w:spacing w:after="0" w:line="190" w:lineRule="exact"/>
        <w:rPr>
          <w:sz w:val="20"/>
          <w:szCs w:val="20"/>
          <w:color w:val="auto"/>
        </w:rPr>
      </w:pPr>
    </w:p>
    <w:p>
      <w:pPr>
        <w:ind w:right="860" w:firstLine="1297"/>
        <w:spacing w:after="0" w:line="302" w:lineRule="auto"/>
        <w:rPr>
          <w:sz w:val="20"/>
          <w:szCs w:val="20"/>
          <w:color w:val="auto"/>
        </w:rPr>
      </w:pPr>
      <w:r>
        <w:rPr>
          <w:rFonts w:ascii="Arial" w:cs="Arial" w:eastAsia="Arial" w:hAnsi="Arial"/>
          <w:sz w:val="22"/>
          <w:szCs w:val="22"/>
          <w:color w:val="auto"/>
        </w:rPr>
        <w:t>WHEREAS pursuant to Section 9.01 of the Indenture, the Trustee, the Issuers and an additional Subsidiary Guarantor, if any, are authorized to execute and deliver this Supplemental Indenture;</w:t>
      </w:r>
    </w:p>
    <w:p>
      <w:pPr>
        <w:spacing w:after="0" w:line="174" w:lineRule="exact"/>
        <w:rPr>
          <w:sz w:val="20"/>
          <w:szCs w:val="20"/>
          <w:color w:val="auto"/>
        </w:rPr>
      </w:pPr>
    </w:p>
    <w:p>
      <w:pPr>
        <w:ind w:right="80" w:firstLine="1297"/>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157" w:lineRule="exact"/>
        <w:rPr>
          <w:sz w:val="20"/>
          <w:szCs w:val="20"/>
          <w:color w:val="auto"/>
        </w:rPr>
      </w:pPr>
    </w:p>
    <w:p>
      <w:pPr>
        <w:ind w:right="160" w:firstLine="1305"/>
        <w:spacing w:after="0" w:line="249" w:lineRule="auto"/>
        <w:tabs>
          <w:tab w:leader="none" w:pos="2107"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Supplemental Indenture, terms defined in the Indenture or in the preamble or recital hereto are used herein as therein defined, except that the term “</w:t>
      </w:r>
      <w:r>
        <w:rPr>
          <w:rFonts w:ascii="Arial" w:cs="Arial" w:eastAsia="Arial" w:hAnsi="Arial"/>
          <w:sz w:val="21"/>
          <w:szCs w:val="21"/>
          <w:u w:val="single" w:color="auto"/>
          <w:color w:val="auto"/>
        </w:rPr>
        <w:t>holders</w:t>
      </w:r>
      <w:r>
        <w:rPr>
          <w:rFonts w:ascii="Arial" w:cs="Arial" w:eastAsia="Arial" w:hAnsi="Arial"/>
          <w:sz w:val="21"/>
          <w:szCs w:val="21"/>
          <w:color w:val="auto"/>
        </w:rPr>
        <w:t>” in this Supplemental Indenture shall refer to the term “</w:t>
      </w:r>
      <w:r>
        <w:rPr>
          <w:rFonts w:ascii="Arial" w:cs="Arial" w:eastAsia="Arial" w:hAnsi="Arial"/>
          <w:sz w:val="21"/>
          <w:szCs w:val="21"/>
          <w:u w:val="single" w:color="auto"/>
          <w:color w:val="auto"/>
        </w:rPr>
        <w:t>holders</w:t>
      </w:r>
      <w:r>
        <w:rPr>
          <w:rFonts w:ascii="Arial" w:cs="Arial" w:eastAsia="Arial" w:hAnsi="Arial"/>
          <w:sz w:val="21"/>
          <w:szCs w:val="21"/>
          <w:color w:val="auto"/>
        </w:rPr>
        <w:t>” as defined in the Indenture and the Trustee acting on behalf of and for the benefit of such holders. The words “</w:t>
      </w:r>
      <w:r>
        <w:rPr>
          <w:rFonts w:ascii="Arial" w:cs="Arial" w:eastAsia="Arial" w:hAnsi="Arial"/>
          <w:sz w:val="21"/>
          <w:szCs w:val="21"/>
          <w:u w:val="single" w:color="auto"/>
          <w:color w:val="auto"/>
        </w:rPr>
        <w:t>herein,</w:t>
      </w:r>
      <w:r>
        <w:rPr>
          <w:rFonts w:ascii="Arial" w:cs="Arial" w:eastAsia="Arial" w:hAnsi="Arial"/>
          <w:sz w:val="21"/>
          <w:szCs w:val="21"/>
          <w:color w:val="auto"/>
        </w:rPr>
        <w:t>” “</w:t>
      </w:r>
      <w:r>
        <w:rPr>
          <w:rFonts w:ascii="Arial" w:cs="Arial" w:eastAsia="Arial" w:hAnsi="Arial"/>
          <w:sz w:val="21"/>
          <w:szCs w:val="21"/>
          <w:u w:val="single" w:color="auto"/>
          <w:color w:val="auto"/>
        </w:rPr>
        <w:t>hereof</w:t>
      </w:r>
      <w:r>
        <w:rPr>
          <w:rFonts w:ascii="Arial" w:cs="Arial" w:eastAsia="Arial" w:hAnsi="Arial"/>
          <w:sz w:val="21"/>
          <w:szCs w:val="21"/>
          <w:color w:val="auto"/>
        </w:rPr>
        <w:t>” and “</w:t>
      </w:r>
      <w:r>
        <w:rPr>
          <w:rFonts w:ascii="Arial" w:cs="Arial" w:eastAsia="Arial" w:hAnsi="Arial"/>
          <w:sz w:val="21"/>
          <w:szCs w:val="21"/>
          <w:u w:val="single" w:color="auto"/>
          <w:color w:val="auto"/>
        </w:rPr>
        <w:t>hereby</w:t>
      </w:r>
      <w:r>
        <w:rPr>
          <w:rFonts w:ascii="Arial" w:cs="Arial" w:eastAsia="Arial" w:hAnsi="Arial"/>
          <w:sz w:val="21"/>
          <w:szCs w:val="21"/>
          <w:color w:val="auto"/>
        </w:rPr>
        <w:t>” and other words of similar import used in this Supplemental Indenture refer to this Supplemental Indenture as a whole and not to any particular section hereof.</w:t>
      </w:r>
    </w:p>
    <w:p>
      <w:pPr>
        <w:spacing w:after="0" w:line="205" w:lineRule="exact"/>
        <w:rPr>
          <w:rFonts w:ascii="Arial" w:cs="Arial" w:eastAsia="Arial" w:hAnsi="Arial"/>
          <w:sz w:val="21"/>
          <w:szCs w:val="21"/>
          <w:color w:val="auto"/>
        </w:rPr>
      </w:pPr>
    </w:p>
    <w:p>
      <w:pPr>
        <w:ind w:right="20" w:firstLine="1305"/>
        <w:spacing w:after="0" w:line="315" w:lineRule="auto"/>
        <w:tabs>
          <w:tab w:leader="none" w:pos="163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New Guarantor hereby agrees, jointly and severally with all existing guarantors (if any), to unconditionally guarantee the Issuers’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56" w:name="page157"/>
    <w:bookmarkEnd w:id="156"/>
    <w:p>
      <w:pPr>
        <w:ind w:right="340"/>
        <w:spacing w:after="0" w:line="292" w:lineRule="auto"/>
        <w:rPr>
          <w:sz w:val="20"/>
          <w:szCs w:val="20"/>
          <w:color w:val="auto"/>
        </w:rPr>
      </w:pPr>
      <w:r>
        <w:rPr>
          <w:rFonts w:ascii="Arial" w:cs="Arial" w:eastAsia="Arial" w:hAnsi="Arial"/>
          <w:sz w:val="22"/>
          <w:szCs w:val="22"/>
          <w:color w:val="auto"/>
        </w:rPr>
        <w:t>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w:t>
      </w:r>
    </w:p>
    <w:p>
      <w:pPr>
        <w:spacing w:after="0" w:line="184" w:lineRule="exact"/>
        <w:rPr>
          <w:sz w:val="20"/>
          <w:szCs w:val="20"/>
          <w:color w:val="auto"/>
        </w:rPr>
      </w:pPr>
    </w:p>
    <w:p>
      <w:pPr>
        <w:ind w:left="1640" w:hanging="335"/>
        <w:spacing w:after="0"/>
        <w:tabs>
          <w:tab w:leader="none" w:pos="164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the New Guarantor shall be given as provided in Section 13.02</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Indenture.</w:t>
      </w:r>
    </w:p>
    <w:p>
      <w:pPr>
        <w:spacing w:after="0" w:line="260" w:lineRule="exact"/>
        <w:rPr>
          <w:rFonts w:ascii="Arial" w:cs="Arial" w:eastAsia="Arial" w:hAnsi="Arial"/>
          <w:sz w:val="19"/>
          <w:szCs w:val="19"/>
          <w:color w:val="auto"/>
        </w:rPr>
      </w:pPr>
    </w:p>
    <w:p>
      <w:pPr>
        <w:ind w:left="1640" w:hanging="335"/>
        <w:spacing w:after="0"/>
        <w:tabs>
          <w:tab w:leader="none" w:pos="164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ind w:right="120"/>
        <w:spacing w:after="0" w:line="292" w:lineRule="auto"/>
        <w:rPr>
          <w:rFonts w:ascii="Arial" w:cs="Arial" w:eastAsia="Arial" w:hAnsi="Arial"/>
          <w:sz w:val="19"/>
          <w:szCs w:val="19"/>
          <w:color w:val="auto"/>
        </w:rPr>
      </w:pPr>
      <w:r>
        <w:rPr>
          <w:rFonts w:ascii="Arial" w:cs="Arial" w:eastAsia="Arial" w:hAnsi="Arial"/>
          <w:sz w:val="22"/>
          <w:szCs w:val="22"/>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8" w:lineRule="exact"/>
        <w:rPr>
          <w:rFonts w:ascii="Arial" w:cs="Arial" w:eastAsia="Arial" w:hAnsi="Arial"/>
          <w:sz w:val="19"/>
          <w:szCs w:val="19"/>
          <w:color w:val="auto"/>
        </w:rPr>
      </w:pPr>
    </w:p>
    <w:p>
      <w:pPr>
        <w:ind w:left="1640" w:hanging="335"/>
        <w:spacing w:after="0"/>
        <w:tabs>
          <w:tab w:leader="none" w:pos="1640" w:val="left"/>
        </w:tabs>
        <w:numPr>
          <w:ilvl w:val="0"/>
          <w:numId w:val="79"/>
        </w:numPr>
        <w:rPr>
          <w:rFonts w:ascii="Arial" w:cs="Arial" w:eastAsia="Arial" w:hAnsi="Arial"/>
          <w:sz w:val="22"/>
          <w:szCs w:val="22"/>
          <w:b w:val="1"/>
          <w:bCs w:val="1"/>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SUPPLEMENTAL INDENTURE SHALL BE GOVERNED BY, AND</w:t>
      </w:r>
    </w:p>
    <w:p>
      <w:pPr>
        <w:spacing w:after="0" w:line="57"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CONSTRUED IN ACCORDANCE WITH, THE LAWS OF THE STATE OF NEW YORK.</w:t>
      </w:r>
    </w:p>
    <w:p>
      <w:pPr>
        <w:spacing w:after="0" w:line="266" w:lineRule="exact"/>
        <w:rPr>
          <w:rFonts w:ascii="Arial" w:cs="Arial" w:eastAsia="Arial" w:hAnsi="Arial"/>
          <w:sz w:val="22"/>
          <w:szCs w:val="22"/>
          <w:b w:val="1"/>
          <w:bCs w:val="1"/>
          <w:color w:val="auto"/>
        </w:rPr>
      </w:pPr>
    </w:p>
    <w:p>
      <w:pPr>
        <w:ind w:right="200" w:firstLine="1305"/>
        <w:spacing w:after="0" w:line="315" w:lineRule="auto"/>
        <w:tabs>
          <w:tab w:leader="none" w:pos="163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makes no representation as to the validity or sufficiency of this Supplemental Indenture.</w:t>
      </w:r>
    </w:p>
    <w:p>
      <w:pPr>
        <w:spacing w:after="0" w:line="159" w:lineRule="exact"/>
        <w:rPr>
          <w:rFonts w:ascii="Arial" w:cs="Arial" w:eastAsia="Arial" w:hAnsi="Arial"/>
          <w:sz w:val="22"/>
          <w:szCs w:val="22"/>
          <w:color w:val="auto"/>
        </w:rPr>
      </w:pPr>
    </w:p>
    <w:p>
      <w:pPr>
        <w:ind w:firstLine="1305"/>
        <w:spacing w:after="0" w:line="315" w:lineRule="auto"/>
        <w:tabs>
          <w:tab w:leader="none" w:pos="163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59" w:lineRule="exact"/>
        <w:rPr>
          <w:rFonts w:ascii="Arial" w:cs="Arial" w:eastAsia="Arial" w:hAnsi="Arial"/>
          <w:sz w:val="22"/>
          <w:szCs w:val="22"/>
          <w:color w:val="auto"/>
        </w:rPr>
      </w:pPr>
    </w:p>
    <w:p>
      <w:pPr>
        <w:ind w:left="1640" w:hanging="335"/>
        <w:spacing w:after="0"/>
        <w:tabs>
          <w:tab w:leader="none" w:pos="164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1" w:right="239" w:bottom="1440" w:gutter="0" w:footer="0" w:header="0"/>
        </w:sectPr>
      </w:pPr>
    </w:p>
    <w:bookmarkStart w:id="157" w:name="page158"/>
    <w:bookmarkEnd w:id="157"/>
    <w:p>
      <w:pPr>
        <w:ind w:firstLine="1297"/>
        <w:spacing w:after="0" w:line="30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GREEKTOWN PROPCO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192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VICI PROPERTIES 1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192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VICI FC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19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 Supplemental Indenture]</w:t>
      </w:r>
    </w:p>
    <w:p>
      <w:pPr>
        <w:sectPr>
          <w:pgSz w:w="11900" w:h="16838" w:orient="portrait"/>
          <w:cols w:equalWidth="0" w:num="1">
            <w:col w:w="11320"/>
          </w:cols>
          <w:pgMar w:left="240" w:top="834" w:right="339" w:bottom="1440" w:gutter="0" w:footer="0" w:header="0"/>
        </w:sectPr>
      </w:pPr>
    </w:p>
    <w:bookmarkStart w:id="158" w:name="page159"/>
    <w:bookmarkEnd w:id="158"/>
    <w:p>
      <w:pPr>
        <w:ind w:left="3260"/>
        <w:spacing w:after="0"/>
        <w:rPr>
          <w:sz w:val="20"/>
          <w:szCs w:val="20"/>
          <w:color w:val="auto"/>
        </w:rPr>
      </w:pPr>
      <w:r>
        <w:rPr>
          <w:rFonts w:ascii="Arial" w:cs="Arial" w:eastAsia="Arial" w:hAnsi="Arial"/>
          <w:sz w:val="21"/>
          <w:szCs w:val="21"/>
          <w:color w:val="auto"/>
        </w:rPr>
        <w:t>UMB BANK, NATIONAL ASSOCIATION,</w:t>
      </w:r>
    </w:p>
    <w:p>
      <w:pPr>
        <w:spacing w:after="0" w:line="5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7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/s/ Gavin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-17780</wp:posOffset>
            </wp:positionV>
            <wp:extent cx="1236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spacing w:after="0" w:line="20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Gavin Wilkinson</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 Supplemental Indenture]</w:t>
      </w:r>
    </w:p>
    <w:p>
      <w:pPr>
        <w:sectPr>
          <w:pgSz w:w="11900" w:h="16838" w:orient="portrait"/>
          <w:cols w:equalWidth="0" w:num="1">
            <w:col w:w="9019"/>
          </w:cols>
          <w:pgMar w:left="1440" w:top="834"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4.6</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 NO. 5</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SUPPLEMENTAL INDENTURE NO. 5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December 16, 2019, among Cincinnati Propco LLC (the “</w:t>
      </w:r>
      <w:r>
        <w:rPr>
          <w:rFonts w:ascii="Arial" w:cs="Arial" w:eastAsia="Arial" w:hAnsi="Arial"/>
          <w:sz w:val="22"/>
          <w:szCs w:val="22"/>
          <w:u w:val="single" w:color="auto"/>
          <w:color w:val="auto"/>
        </w:rPr>
        <w:t>New Guarantor</w:t>
      </w:r>
      <w:r>
        <w:rPr>
          <w:rFonts w:ascii="Arial" w:cs="Arial" w:eastAsia="Arial" w:hAnsi="Arial"/>
          <w:sz w:val="22"/>
          <w:szCs w:val="22"/>
          <w:color w:val="auto"/>
        </w:rPr>
        <w:t>”), a subsidiary of VICI Properties 1 LLC (or its successor), VICI Properties 1 LLC and VICI FC Inc. (collectively, the “</w:t>
      </w:r>
      <w:r>
        <w:rPr>
          <w:rFonts w:ascii="Arial" w:cs="Arial" w:eastAsia="Arial" w:hAnsi="Arial"/>
          <w:sz w:val="22"/>
          <w:szCs w:val="22"/>
          <w:u w:val="single" w:color="auto"/>
          <w:color w:val="auto"/>
        </w:rPr>
        <w:t>Issuers</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WHEREAS the Issuers and the Subsidiary Guarantors have heretofore executed and delivered to the Trustee an indenture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October 6, 2017, providing for the issuance of the Issuers’ 8.0% Second-Priority Senior Secured Notes due 2023 (the “</w:t>
      </w:r>
      <w:r>
        <w:rPr>
          <w:rFonts w:ascii="Arial" w:cs="Arial" w:eastAsia="Arial" w:hAnsi="Arial"/>
          <w:sz w:val="22"/>
          <w:szCs w:val="22"/>
          <w:u w:val="single" w:color="auto"/>
          <w:color w:val="auto"/>
        </w:rPr>
        <w:t>Notes</w:t>
      </w:r>
      <w:r>
        <w:rPr>
          <w:rFonts w:ascii="Arial" w:cs="Arial" w:eastAsia="Arial" w:hAnsi="Arial"/>
          <w:sz w:val="22"/>
          <w:szCs w:val="22"/>
          <w:color w:val="auto"/>
        </w:rPr>
        <w:t>”), initially in the aggregate principal amount of $766,891,864;</w:t>
      </w:r>
    </w:p>
    <w:p>
      <w:pPr>
        <w:spacing w:after="0" w:line="19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WHEREAS Section 4.11 of the Indenture provides that under certain circumstances the Issuers are required to cause the New Guarantor to execute and deliver to the Trustee a supplemental indenture pursuant to which the New Guarantor shall unconditionally guarantee all the Issuers’ Obligations under the Notes and the Indenture pursuant to a Note Guarantee on the terms and conditions set forth herein; and</w:t>
      </w:r>
    </w:p>
    <w:p>
      <w:pPr>
        <w:spacing w:after="0" w:line="19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WHEREAS pursuant to Section 9.01 of the Indenture, the Trustee, the Issuers and an additional Subsidiary Guarantor, if any, are authorized to execute and deliver this Supplemental Indenture;</w:t>
      </w:r>
    </w:p>
    <w:p>
      <w:pPr>
        <w:spacing w:after="0" w:line="17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157" w:lineRule="exact"/>
        <w:rPr>
          <w:sz w:val="20"/>
          <w:szCs w:val="20"/>
          <w:color w:val="auto"/>
        </w:rPr>
      </w:pPr>
    </w:p>
    <w:p>
      <w:pPr>
        <w:jc w:val="both"/>
        <w:ind w:firstLine="1305"/>
        <w:spacing w:after="0" w:line="236" w:lineRule="auto"/>
        <w:tabs>
          <w:tab w:leader="none" w:pos="210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Supplemental Indenture, terms defined in the Indenture or in the preamble or recital hereto are used herein as therein defined, except that the term “</w:t>
      </w:r>
      <w:r>
        <w:rPr>
          <w:rFonts w:ascii="Arial" w:cs="Arial" w:eastAsia="Arial" w:hAnsi="Arial"/>
          <w:sz w:val="22"/>
          <w:szCs w:val="22"/>
          <w:u w:val="single" w:color="auto"/>
          <w:color w:val="auto"/>
        </w:rPr>
        <w:t>holders</w:t>
      </w:r>
      <w:r>
        <w:rPr>
          <w:rFonts w:ascii="Arial" w:cs="Arial" w:eastAsia="Arial" w:hAnsi="Arial"/>
          <w:sz w:val="22"/>
          <w:szCs w:val="22"/>
          <w:color w:val="auto"/>
        </w:rPr>
        <w:t>” in this Supplemental Indenture shall refer to the term “</w:t>
      </w:r>
      <w:r>
        <w:rPr>
          <w:rFonts w:ascii="Arial" w:cs="Arial" w:eastAsia="Arial" w:hAnsi="Arial"/>
          <w:sz w:val="22"/>
          <w:szCs w:val="22"/>
          <w:u w:val="single" w:color="auto"/>
          <w:color w:val="auto"/>
        </w:rPr>
        <w:t>holders</w:t>
      </w:r>
      <w:r>
        <w:rPr>
          <w:rFonts w:ascii="Arial" w:cs="Arial" w:eastAsia="Arial" w:hAnsi="Arial"/>
          <w:sz w:val="22"/>
          <w:szCs w:val="22"/>
          <w:color w:val="auto"/>
        </w:rPr>
        <w:t>” as defined in the Indenture and the Trustee acting on behalf of and for the benefit of such holders. The words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hereby</w:t>
      </w:r>
      <w:r>
        <w:rPr>
          <w:rFonts w:ascii="Arial" w:cs="Arial" w:eastAsia="Arial" w:hAnsi="Arial"/>
          <w:sz w:val="22"/>
          <w:szCs w:val="22"/>
          <w:color w:val="auto"/>
        </w:rPr>
        <w:t>” and other words of similar import used in this Supplemental Indenture refer to this Supplemental Indenture as a whole and not to any particular section hereof.</w:t>
      </w:r>
    </w:p>
    <w:p>
      <w:pPr>
        <w:spacing w:after="0" w:line="214" w:lineRule="exact"/>
        <w:rPr>
          <w:rFonts w:ascii="Arial" w:cs="Arial" w:eastAsia="Arial" w:hAnsi="Arial"/>
          <w:sz w:val="22"/>
          <w:szCs w:val="22"/>
          <w:color w:val="auto"/>
        </w:rPr>
      </w:pPr>
    </w:p>
    <w:p>
      <w:pPr>
        <w:ind w:left="1640" w:hanging="335"/>
        <w:spacing w:after="0"/>
        <w:tabs>
          <w:tab w:leader="none" w:pos="164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The New Guarantor hereby agrees, jointly and severally with all existing guarantors (if</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any), to unconditionally guarantee the Issuers’ Obligations under the Notes and the Indenture on the terms and subject to the conditions set forth in Article XII</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60" w:name="page161"/>
    <w:bookmarkEnd w:id="160"/>
    <w:p>
      <w:pPr>
        <w:ind w:right="20"/>
        <w:spacing w:after="0" w:line="302" w:lineRule="auto"/>
        <w:rPr>
          <w:sz w:val="20"/>
          <w:szCs w:val="20"/>
          <w:color w:val="auto"/>
        </w:rPr>
      </w:pPr>
      <w:r>
        <w:rPr>
          <w:rFonts w:ascii="Arial" w:cs="Arial" w:eastAsia="Arial" w:hAnsi="Arial"/>
          <w:sz w:val="22"/>
          <w:szCs w:val="22"/>
          <w:color w:val="auto"/>
        </w:rPr>
        <w:t>of the Indenture and to be bound by all other applicable provisions of the Indenture and the Notes and to perform all of the obligations and agreements of a guarantor under the Indenture.</w:t>
      </w:r>
    </w:p>
    <w:p>
      <w:pPr>
        <w:spacing w:after="0" w:line="174" w:lineRule="exact"/>
        <w:rPr>
          <w:sz w:val="20"/>
          <w:szCs w:val="20"/>
          <w:color w:val="auto"/>
        </w:rPr>
      </w:pPr>
    </w:p>
    <w:p>
      <w:pPr>
        <w:ind w:left="1680" w:hanging="375"/>
        <w:spacing w:after="0"/>
        <w:tabs>
          <w:tab w:leader="none" w:pos="16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the New Guarantor shall be given as provided in Section 13.02</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Indenture.</w:t>
      </w:r>
    </w:p>
    <w:p>
      <w:pPr>
        <w:spacing w:after="0" w:line="260" w:lineRule="exact"/>
        <w:rPr>
          <w:rFonts w:ascii="Arial" w:cs="Arial" w:eastAsia="Arial" w:hAnsi="Arial"/>
          <w:sz w:val="19"/>
          <w:szCs w:val="19"/>
          <w:color w:val="auto"/>
        </w:rPr>
      </w:pPr>
    </w:p>
    <w:p>
      <w:pPr>
        <w:ind w:left="1680" w:hanging="375"/>
        <w:spacing w:after="0"/>
        <w:tabs>
          <w:tab w:leader="none" w:pos="16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jc w:val="both"/>
        <w:ind w:right="20"/>
        <w:spacing w:after="0" w:line="292" w:lineRule="auto"/>
        <w:rPr>
          <w:rFonts w:ascii="Arial" w:cs="Arial" w:eastAsia="Arial" w:hAnsi="Arial"/>
          <w:sz w:val="19"/>
          <w:szCs w:val="19"/>
          <w:color w:val="auto"/>
        </w:rPr>
      </w:pPr>
      <w:r>
        <w:rPr>
          <w:rFonts w:ascii="Arial" w:cs="Arial" w:eastAsia="Arial" w:hAnsi="Arial"/>
          <w:sz w:val="22"/>
          <w:szCs w:val="22"/>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8" w:lineRule="exact"/>
        <w:rPr>
          <w:rFonts w:ascii="Arial" w:cs="Arial" w:eastAsia="Arial" w:hAnsi="Arial"/>
          <w:sz w:val="19"/>
          <w:szCs w:val="19"/>
          <w:color w:val="auto"/>
        </w:rPr>
      </w:pPr>
    </w:p>
    <w:p>
      <w:pPr>
        <w:ind w:left="2040" w:hanging="735"/>
        <w:spacing w:after="0"/>
        <w:tabs>
          <w:tab w:leader="none" w:pos="2040" w:val="left"/>
        </w:tabs>
        <w:numPr>
          <w:ilvl w:val="0"/>
          <w:numId w:val="81"/>
        </w:numPr>
        <w:rPr>
          <w:rFonts w:ascii="Arial" w:cs="Arial" w:eastAsia="Arial" w:hAnsi="Arial"/>
          <w:sz w:val="22"/>
          <w:szCs w:val="22"/>
          <w:b w:val="1"/>
          <w:bCs w:val="1"/>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SUPPLEMENTAL  INDENTURE  SHALL  BE  GOVERNED  BY,  AND</w:t>
      </w:r>
    </w:p>
    <w:p>
      <w:pPr>
        <w:spacing w:after="0" w:line="57"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CONSTRUED IN ACCORDANCE WITH, THE LAWS OF THE STATE OF NEW YORK.</w:t>
      </w:r>
    </w:p>
    <w:p>
      <w:pPr>
        <w:spacing w:after="0" w:line="266" w:lineRule="exact"/>
        <w:rPr>
          <w:rFonts w:ascii="Arial" w:cs="Arial" w:eastAsia="Arial" w:hAnsi="Arial"/>
          <w:sz w:val="22"/>
          <w:szCs w:val="22"/>
          <w:b w:val="1"/>
          <w:bCs w:val="1"/>
          <w:color w:val="auto"/>
        </w:rPr>
      </w:pPr>
    </w:p>
    <w:p>
      <w:pPr>
        <w:ind w:firstLine="1305"/>
        <w:spacing w:after="0" w:line="315" w:lineRule="auto"/>
        <w:tabs>
          <w:tab w:leader="none" w:pos="167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makes no representation as to the validity or sufficiency of this Supplemental Indenture.</w:t>
      </w:r>
    </w:p>
    <w:p>
      <w:pPr>
        <w:spacing w:after="0" w:line="159" w:lineRule="exact"/>
        <w:rPr>
          <w:rFonts w:ascii="Arial" w:cs="Arial" w:eastAsia="Arial" w:hAnsi="Arial"/>
          <w:sz w:val="22"/>
          <w:szCs w:val="22"/>
          <w:color w:val="auto"/>
        </w:rPr>
      </w:pPr>
    </w:p>
    <w:p>
      <w:pPr>
        <w:ind w:firstLine="1305"/>
        <w:spacing w:after="0" w:line="315" w:lineRule="auto"/>
        <w:tabs>
          <w:tab w:leader="none" w:pos="163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59" w:lineRule="exact"/>
        <w:rPr>
          <w:rFonts w:ascii="Arial" w:cs="Arial" w:eastAsia="Arial" w:hAnsi="Arial"/>
          <w:sz w:val="22"/>
          <w:szCs w:val="22"/>
          <w:color w:val="auto"/>
        </w:rPr>
      </w:pPr>
    </w:p>
    <w:p>
      <w:pPr>
        <w:ind w:left="1680" w:hanging="375"/>
        <w:spacing w:after="0"/>
        <w:tabs>
          <w:tab w:leader="none" w:pos="16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1" w:right="239" w:bottom="1440" w:gutter="0" w:footer="0" w:header="0"/>
        </w:sectPr>
      </w:pPr>
    </w:p>
    <w:bookmarkStart w:id="161" w:name="page162"/>
    <w:bookmarkEnd w:id="161"/>
    <w:p>
      <w:pPr>
        <w:ind w:firstLine="1297"/>
        <w:spacing w:after="0" w:line="30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CINCINNATI PROPCO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54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VICI PROPERTIES 1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192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VICI FC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192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1320"/>
          </w:cols>
          <w:pgMar w:left="240" w:top="834" w:right="339" w:bottom="1440" w:gutter="0" w:footer="0" w:header="0"/>
        </w:sectPr>
      </w:pPr>
    </w:p>
    <w:bookmarkStart w:id="162" w:name="page163"/>
    <w:bookmarkEnd w:id="162"/>
    <w:p>
      <w:pPr>
        <w:ind w:left="3260"/>
        <w:spacing w:after="0"/>
        <w:rPr>
          <w:sz w:val="20"/>
          <w:szCs w:val="20"/>
          <w:color w:val="auto"/>
        </w:rPr>
      </w:pPr>
      <w:r>
        <w:rPr>
          <w:rFonts w:ascii="Arial" w:cs="Arial" w:eastAsia="Arial" w:hAnsi="Arial"/>
          <w:sz w:val="21"/>
          <w:szCs w:val="21"/>
          <w:color w:val="auto"/>
        </w:rPr>
        <w:t>UMB BANK, NATIONAL ASSOCIATION,</w:t>
      </w:r>
    </w:p>
    <w:p>
      <w:pPr>
        <w:spacing w:after="0" w:line="5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7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Gavin Wilkinson</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Gavin Wilkinson</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Supplemental Indenture]</w:t>
      </w:r>
    </w:p>
    <w:p>
      <w:pPr>
        <w:sectPr>
          <w:pgSz w:w="11900" w:h="16838" w:orient="portrait"/>
          <w:cols w:equalWidth="0" w:num="1">
            <w:col w:w="9019"/>
          </w:cols>
          <w:pgMar w:left="1440" w:top="834"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Exhibit 4.7</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 NO. 6</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SUPPLEMENTAL INDENTURE NO. 6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December 19, 2019, among CPLV Property Owner LLC (the “</w:t>
      </w:r>
      <w:r>
        <w:rPr>
          <w:rFonts w:ascii="Arial" w:cs="Arial" w:eastAsia="Arial" w:hAnsi="Arial"/>
          <w:sz w:val="22"/>
          <w:szCs w:val="22"/>
          <w:u w:val="single" w:color="auto"/>
          <w:color w:val="auto"/>
        </w:rPr>
        <w:t>New Guarantor</w:t>
      </w:r>
      <w:r>
        <w:rPr>
          <w:rFonts w:ascii="Arial" w:cs="Arial" w:eastAsia="Arial" w:hAnsi="Arial"/>
          <w:sz w:val="22"/>
          <w:szCs w:val="22"/>
          <w:color w:val="auto"/>
        </w:rPr>
        <w:t>”), a subsidiary of VICI Properties 1 LLC (or its successor), VICI Properties 1 LLC and VICI FC Inc. (collectively, the “</w:t>
      </w:r>
      <w:r>
        <w:rPr>
          <w:rFonts w:ascii="Arial" w:cs="Arial" w:eastAsia="Arial" w:hAnsi="Arial"/>
          <w:sz w:val="22"/>
          <w:szCs w:val="22"/>
          <w:u w:val="single" w:color="auto"/>
          <w:color w:val="auto"/>
        </w:rPr>
        <w:t>Issuers</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WHEREAS the Issuers and the Subsidiary Guarantors have heretofore executed and delivered to the Trustee an indenture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October 6, 2017, providing for the issuance of the Issuers’ 8.0% Second-Priority Senior Secured Notes due 2023 (the “</w:t>
      </w:r>
      <w:r>
        <w:rPr>
          <w:rFonts w:ascii="Arial" w:cs="Arial" w:eastAsia="Arial" w:hAnsi="Arial"/>
          <w:sz w:val="22"/>
          <w:szCs w:val="22"/>
          <w:u w:val="single" w:color="auto"/>
          <w:color w:val="auto"/>
        </w:rPr>
        <w:t>Notes</w:t>
      </w:r>
      <w:r>
        <w:rPr>
          <w:rFonts w:ascii="Arial" w:cs="Arial" w:eastAsia="Arial" w:hAnsi="Arial"/>
          <w:sz w:val="22"/>
          <w:szCs w:val="22"/>
          <w:color w:val="auto"/>
        </w:rPr>
        <w:t>”), initially in the aggregate principal amount of $766,891,864;</w:t>
      </w:r>
    </w:p>
    <w:p>
      <w:pPr>
        <w:spacing w:after="0" w:line="19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WHEREAS Section 4.11 of the Indenture provides that under certain circumstances the Issuers are required to cause the New Guarantor to execute and deliver to the Trustee a supplemental indenture pursuant to which the New Guarantor shall unconditionally guarantee all the Issuers’ Obligations under the Notes and the Indenture pursuant to a Note Guarantee on the terms and conditions set forth herein; and</w:t>
      </w:r>
    </w:p>
    <w:p>
      <w:pPr>
        <w:spacing w:after="0" w:line="19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WHEREAS pursuant to Section 9.01 of the Indenture, the Trustee, the Issuers and an additional Subsidiary Guarantor, if any, are authorized to execute and deliver this Supplemental Indenture;</w:t>
      </w:r>
    </w:p>
    <w:p>
      <w:pPr>
        <w:spacing w:after="0" w:line="17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Issuers and the Trustee mutually covenant and agree for the equal and ratable benefit of the holders of the Notes as follows:</w:t>
      </w:r>
    </w:p>
    <w:p>
      <w:pPr>
        <w:spacing w:after="0" w:line="157" w:lineRule="exact"/>
        <w:rPr>
          <w:sz w:val="20"/>
          <w:szCs w:val="20"/>
          <w:color w:val="auto"/>
        </w:rPr>
      </w:pPr>
    </w:p>
    <w:p>
      <w:pPr>
        <w:jc w:val="both"/>
        <w:ind w:firstLine="1305"/>
        <w:spacing w:after="0" w:line="236" w:lineRule="auto"/>
        <w:tabs>
          <w:tab w:leader="none" w:pos="2107"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Supplemental Indenture, terms defined in the Indenture or in the preamble or recital hereto are used herein as therein defined, except that the term “</w:t>
      </w:r>
      <w:r>
        <w:rPr>
          <w:rFonts w:ascii="Arial" w:cs="Arial" w:eastAsia="Arial" w:hAnsi="Arial"/>
          <w:sz w:val="22"/>
          <w:szCs w:val="22"/>
          <w:u w:val="single" w:color="auto"/>
          <w:color w:val="auto"/>
        </w:rPr>
        <w:t>holders</w:t>
      </w:r>
      <w:r>
        <w:rPr>
          <w:rFonts w:ascii="Arial" w:cs="Arial" w:eastAsia="Arial" w:hAnsi="Arial"/>
          <w:sz w:val="22"/>
          <w:szCs w:val="22"/>
          <w:color w:val="auto"/>
        </w:rPr>
        <w:t>” in this Supplemental Indenture shall refer to the term “</w:t>
      </w:r>
      <w:r>
        <w:rPr>
          <w:rFonts w:ascii="Arial" w:cs="Arial" w:eastAsia="Arial" w:hAnsi="Arial"/>
          <w:sz w:val="22"/>
          <w:szCs w:val="22"/>
          <w:u w:val="single" w:color="auto"/>
          <w:color w:val="auto"/>
        </w:rPr>
        <w:t>holders</w:t>
      </w:r>
      <w:r>
        <w:rPr>
          <w:rFonts w:ascii="Arial" w:cs="Arial" w:eastAsia="Arial" w:hAnsi="Arial"/>
          <w:sz w:val="22"/>
          <w:szCs w:val="22"/>
          <w:color w:val="auto"/>
        </w:rPr>
        <w:t>” as defined in the Indenture and the Trustee acting on behalf of and for the benefit of such holders. The words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hereby</w:t>
      </w:r>
      <w:r>
        <w:rPr>
          <w:rFonts w:ascii="Arial" w:cs="Arial" w:eastAsia="Arial" w:hAnsi="Arial"/>
          <w:sz w:val="22"/>
          <w:szCs w:val="22"/>
          <w:color w:val="auto"/>
        </w:rPr>
        <w:t>” and other words of similar import used in this Supplemental Indenture refer to this Supplemental Indenture as a whole and not to any particular section hereof.</w:t>
      </w:r>
    </w:p>
    <w:p>
      <w:pPr>
        <w:spacing w:after="0" w:line="214" w:lineRule="exact"/>
        <w:rPr>
          <w:rFonts w:ascii="Arial" w:cs="Arial" w:eastAsia="Arial" w:hAnsi="Arial"/>
          <w:sz w:val="22"/>
          <w:szCs w:val="22"/>
          <w:color w:val="auto"/>
        </w:rPr>
      </w:pPr>
    </w:p>
    <w:p>
      <w:pPr>
        <w:ind w:left="1640" w:hanging="335"/>
        <w:spacing w:after="0"/>
        <w:tabs>
          <w:tab w:leader="none" w:pos="164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The New Guarantor hereby agrees, jointly and severally with all existing guarantors (if</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any), to unconditionally guarantee the Issuers’ Obligations under the Notes and the Indenture on the terms and subject to the conditions set forth in Article XII</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64" w:name="page165"/>
    <w:bookmarkEnd w:id="164"/>
    <w:p>
      <w:pPr>
        <w:ind w:right="20"/>
        <w:spacing w:after="0" w:line="302" w:lineRule="auto"/>
        <w:rPr>
          <w:sz w:val="20"/>
          <w:szCs w:val="20"/>
          <w:color w:val="auto"/>
        </w:rPr>
      </w:pPr>
      <w:r>
        <w:rPr>
          <w:rFonts w:ascii="Arial" w:cs="Arial" w:eastAsia="Arial" w:hAnsi="Arial"/>
          <w:sz w:val="22"/>
          <w:szCs w:val="22"/>
          <w:color w:val="auto"/>
        </w:rPr>
        <w:t>of the Indenture and to be bound by all other applicable provisions of the Indenture and the Notes and to perform all of the obligations and agreements of a guarantor under the Indenture.</w:t>
      </w:r>
    </w:p>
    <w:p>
      <w:pPr>
        <w:spacing w:after="0" w:line="174" w:lineRule="exact"/>
        <w:rPr>
          <w:sz w:val="20"/>
          <w:szCs w:val="20"/>
          <w:color w:val="auto"/>
        </w:rPr>
      </w:pPr>
    </w:p>
    <w:p>
      <w:pPr>
        <w:ind w:left="1680" w:hanging="375"/>
        <w:spacing w:after="0"/>
        <w:tabs>
          <w:tab w:leader="none" w:pos="168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the New Guarantor shall be given as provided in Section 13.02</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Indenture.</w:t>
      </w:r>
    </w:p>
    <w:p>
      <w:pPr>
        <w:spacing w:after="0" w:line="260" w:lineRule="exact"/>
        <w:rPr>
          <w:rFonts w:ascii="Arial" w:cs="Arial" w:eastAsia="Arial" w:hAnsi="Arial"/>
          <w:sz w:val="19"/>
          <w:szCs w:val="19"/>
          <w:color w:val="auto"/>
        </w:rPr>
      </w:pPr>
    </w:p>
    <w:p>
      <w:pPr>
        <w:ind w:left="1680" w:hanging="375"/>
        <w:spacing w:after="0"/>
        <w:tabs>
          <w:tab w:leader="none" w:pos="168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jc w:val="both"/>
        <w:ind w:right="20"/>
        <w:spacing w:after="0" w:line="292" w:lineRule="auto"/>
        <w:rPr>
          <w:rFonts w:ascii="Arial" w:cs="Arial" w:eastAsia="Arial" w:hAnsi="Arial"/>
          <w:sz w:val="19"/>
          <w:szCs w:val="19"/>
          <w:color w:val="auto"/>
        </w:rPr>
      </w:pPr>
      <w:r>
        <w:rPr>
          <w:rFonts w:ascii="Arial" w:cs="Arial" w:eastAsia="Arial" w:hAnsi="Arial"/>
          <w:sz w:val="22"/>
          <w:szCs w:val="22"/>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8" w:lineRule="exact"/>
        <w:rPr>
          <w:rFonts w:ascii="Arial" w:cs="Arial" w:eastAsia="Arial" w:hAnsi="Arial"/>
          <w:sz w:val="19"/>
          <w:szCs w:val="19"/>
          <w:color w:val="auto"/>
        </w:rPr>
      </w:pPr>
    </w:p>
    <w:p>
      <w:pPr>
        <w:ind w:left="2040" w:hanging="735"/>
        <w:spacing w:after="0"/>
        <w:tabs>
          <w:tab w:leader="none" w:pos="2040" w:val="left"/>
        </w:tabs>
        <w:numPr>
          <w:ilvl w:val="0"/>
          <w:numId w:val="83"/>
        </w:numPr>
        <w:rPr>
          <w:rFonts w:ascii="Arial" w:cs="Arial" w:eastAsia="Arial" w:hAnsi="Arial"/>
          <w:sz w:val="22"/>
          <w:szCs w:val="22"/>
          <w:b w:val="1"/>
          <w:bCs w:val="1"/>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SUPPLEMENTAL  INDENTURE  SHALL  BE  GOVERNED  BY,  AND</w:t>
      </w:r>
    </w:p>
    <w:p>
      <w:pPr>
        <w:spacing w:after="0" w:line="57"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CONSTRUED IN ACCORDANCE WITH, THE LAWS OF THE STATE OF NEW YORK.</w:t>
      </w:r>
    </w:p>
    <w:p>
      <w:pPr>
        <w:spacing w:after="0" w:line="266" w:lineRule="exact"/>
        <w:rPr>
          <w:rFonts w:ascii="Arial" w:cs="Arial" w:eastAsia="Arial" w:hAnsi="Arial"/>
          <w:sz w:val="22"/>
          <w:szCs w:val="22"/>
          <w:b w:val="1"/>
          <w:bCs w:val="1"/>
          <w:color w:val="auto"/>
        </w:rPr>
      </w:pPr>
    </w:p>
    <w:p>
      <w:pPr>
        <w:ind w:firstLine="1305"/>
        <w:spacing w:after="0" w:line="315" w:lineRule="auto"/>
        <w:tabs>
          <w:tab w:leader="none" w:pos="167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makes no representation as to the validity or sufficiency of this Supplemental Indenture.</w:t>
      </w:r>
    </w:p>
    <w:p>
      <w:pPr>
        <w:spacing w:after="0" w:line="159" w:lineRule="exact"/>
        <w:rPr>
          <w:rFonts w:ascii="Arial" w:cs="Arial" w:eastAsia="Arial" w:hAnsi="Arial"/>
          <w:sz w:val="22"/>
          <w:szCs w:val="22"/>
          <w:color w:val="auto"/>
        </w:rPr>
      </w:pPr>
    </w:p>
    <w:p>
      <w:pPr>
        <w:ind w:firstLine="1305"/>
        <w:spacing w:after="0" w:line="315" w:lineRule="auto"/>
        <w:tabs>
          <w:tab w:leader="none" w:pos="163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59" w:lineRule="exact"/>
        <w:rPr>
          <w:rFonts w:ascii="Arial" w:cs="Arial" w:eastAsia="Arial" w:hAnsi="Arial"/>
          <w:sz w:val="22"/>
          <w:szCs w:val="22"/>
          <w:color w:val="auto"/>
        </w:rPr>
      </w:pPr>
    </w:p>
    <w:p>
      <w:pPr>
        <w:ind w:left="1680" w:hanging="375"/>
        <w:spacing w:after="0"/>
        <w:tabs>
          <w:tab w:leader="none" w:pos="168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34" w:right="239" w:bottom="1440" w:gutter="0" w:footer="0" w:header="0"/>
        </w:sectPr>
      </w:pPr>
    </w:p>
    <w:bookmarkStart w:id="165" w:name="page166"/>
    <w:bookmarkEnd w:id="165"/>
    <w:p>
      <w:pPr>
        <w:ind w:firstLine="1297"/>
        <w:spacing w:after="0" w:line="30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CPLV PROPERTY OWNER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54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VICI PROPERTIES 1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54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VICI FC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54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David A. Kieske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1320"/>
          </w:cols>
          <w:pgMar w:left="240" w:top="361" w:right="339" w:bottom="1440" w:gutter="0" w:footer="0" w:header="0"/>
        </w:sectPr>
      </w:pPr>
    </w:p>
    <w:bookmarkStart w:id="166" w:name="page167"/>
    <w:bookmarkEnd w:id="166"/>
    <w:p>
      <w:pPr>
        <w:ind w:left="3260"/>
        <w:spacing w:after="0"/>
        <w:rPr>
          <w:sz w:val="20"/>
          <w:szCs w:val="20"/>
          <w:color w:val="auto"/>
        </w:rPr>
      </w:pPr>
      <w:r>
        <w:rPr>
          <w:rFonts w:ascii="Arial" w:cs="Arial" w:eastAsia="Arial" w:hAnsi="Arial"/>
          <w:sz w:val="21"/>
          <w:szCs w:val="21"/>
          <w:color w:val="auto"/>
        </w:rPr>
        <w:t>UMB BANK, NATIONAL ASSOCIATION,</w:t>
      </w:r>
    </w:p>
    <w:p>
      <w:pPr>
        <w:spacing w:after="0" w:line="5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7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/s/ Gavin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-17780</wp:posOffset>
            </wp:positionV>
            <wp:extent cx="1271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spacing w:after="0" w:line="20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Gavin Wilkinson</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Supplemental Indenture]</w:t>
      </w:r>
    </w:p>
    <w:p>
      <w:pPr>
        <w:sectPr>
          <w:pgSz w:w="11900" w:h="16838" w:orient="portrait"/>
          <w:cols w:equalWidth="0" w:num="1">
            <w:col w:w="9019"/>
          </w:cols>
          <w:pgMar w:left="1440" w:top="834" w:right="1440" w:bottom="1440" w:gutter="0" w:footer="0" w:header="0"/>
        </w:sectPr>
      </w:pPr>
    </w:p>
    <w:bookmarkStart w:id="167" w:name="page168"/>
    <w:bookmarkEnd w:id="167"/>
    <w:p>
      <w:pPr>
        <w:ind w:left="10300"/>
        <w:spacing w:after="0"/>
        <w:rPr>
          <w:sz w:val="20"/>
          <w:szCs w:val="20"/>
          <w:color w:val="auto"/>
        </w:rPr>
      </w:pPr>
      <w:r>
        <w:rPr>
          <w:rFonts w:ascii="Arial" w:cs="Arial" w:eastAsia="Arial" w:hAnsi="Arial"/>
          <w:sz w:val="19"/>
          <w:szCs w:val="19"/>
          <w:b w:val="1"/>
          <w:bCs w:val="1"/>
          <w:color w:val="auto"/>
        </w:rPr>
        <w:t>Exhibit 4.10</w:t>
      </w:r>
    </w:p>
    <w:p>
      <w:pPr>
        <w:spacing w:after="0" w:line="260"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SUPPLEMENTAL INDENTURE (this “</w:t>
      </w:r>
      <w:r>
        <w:rPr>
          <w:rFonts w:ascii="Arial" w:cs="Arial" w:eastAsia="Arial" w:hAnsi="Arial"/>
          <w:sz w:val="22"/>
          <w:szCs w:val="22"/>
          <w:i w:val="1"/>
          <w:iCs w:val="1"/>
          <w:color w:val="auto"/>
        </w:rPr>
        <w:t>Supplemental Indenture</w:t>
      </w:r>
      <w:r>
        <w:rPr>
          <w:rFonts w:ascii="Arial" w:cs="Arial" w:eastAsia="Arial" w:hAnsi="Arial"/>
          <w:sz w:val="22"/>
          <w:szCs w:val="22"/>
          <w:color w:val="auto"/>
        </w:rPr>
        <w:t>”), dated as of December 20, 2019, among CPLV Property Owner LLC, a Delaware limited liability company (the “</w:t>
      </w:r>
      <w:r>
        <w:rPr>
          <w:rFonts w:ascii="Arial" w:cs="Arial" w:eastAsia="Arial" w:hAnsi="Arial"/>
          <w:sz w:val="22"/>
          <w:szCs w:val="22"/>
          <w:i w:val="1"/>
          <w:iCs w:val="1"/>
          <w:color w:val="auto"/>
        </w:rPr>
        <w:t>Guaranteeing Entity</w:t>
      </w:r>
      <w:r>
        <w:rPr>
          <w:rFonts w:ascii="Arial" w:cs="Arial" w:eastAsia="Arial" w:hAnsi="Arial"/>
          <w:sz w:val="22"/>
          <w:szCs w:val="22"/>
          <w:color w:val="auto"/>
        </w:rPr>
        <w:t>”), VICI Properties L.P., a Delaware limited liability company (the “</w:t>
      </w:r>
      <w:r>
        <w:rPr>
          <w:rFonts w:ascii="Arial" w:cs="Arial" w:eastAsia="Arial" w:hAnsi="Arial"/>
          <w:sz w:val="22"/>
          <w:szCs w:val="22"/>
          <w:i w:val="1"/>
          <w:iCs w:val="1"/>
          <w:color w:val="auto"/>
        </w:rPr>
        <w:t>Company</w:t>
      </w:r>
      <w:r>
        <w:rPr>
          <w:rFonts w:ascii="Arial" w:cs="Arial" w:eastAsia="Arial" w:hAnsi="Arial"/>
          <w:sz w:val="22"/>
          <w:szCs w:val="22"/>
          <w:color w:val="auto"/>
        </w:rPr>
        <w:t>”), VICI Note Co. Inc., a Delaware corporation (the “</w:t>
      </w:r>
      <w:r>
        <w:rPr>
          <w:rFonts w:ascii="Arial" w:cs="Arial" w:eastAsia="Arial" w:hAnsi="Arial"/>
          <w:sz w:val="22"/>
          <w:szCs w:val="22"/>
          <w:i w:val="1"/>
          <w:iCs w:val="1"/>
          <w:color w:val="auto"/>
        </w:rPr>
        <w:t>Co-Issuer</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i w:val="1"/>
          <w:iCs w:val="1"/>
          <w:color w:val="auto"/>
        </w:rPr>
        <w:t>Trustee</w:t>
      </w:r>
      <w:r>
        <w:rPr>
          <w:rFonts w:ascii="Arial" w:cs="Arial" w:eastAsia="Arial" w:hAnsi="Arial"/>
          <w:sz w:val="22"/>
          <w:szCs w:val="22"/>
          <w:color w:val="auto"/>
        </w:rPr>
        <w:t>”), as ratified by the other Subsidiary Guarantors (as defined in the Indenture referred to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ind w:right="300" w:firstLine="648"/>
        <w:spacing w:after="0" w:line="287" w:lineRule="auto"/>
        <w:rPr>
          <w:sz w:val="20"/>
          <w:szCs w:val="20"/>
          <w:color w:val="auto"/>
        </w:rPr>
      </w:pPr>
      <w:r>
        <w:rPr>
          <w:rFonts w:ascii="Arial" w:cs="Arial" w:eastAsia="Arial" w:hAnsi="Arial"/>
          <w:sz w:val="21"/>
          <w:szCs w:val="21"/>
          <w:color w:val="auto"/>
        </w:rPr>
        <w:t>WHEREAS, the Issuers have heretofore executed and delivered to the Trustee an indenture (the “</w:t>
      </w:r>
      <w:r>
        <w:rPr>
          <w:rFonts w:ascii="Arial" w:cs="Arial" w:eastAsia="Arial" w:hAnsi="Arial"/>
          <w:sz w:val="21"/>
          <w:szCs w:val="21"/>
          <w:i w:val="1"/>
          <w:iCs w:val="1"/>
          <w:color w:val="auto"/>
        </w:rPr>
        <w:t>Indenture</w:t>
      </w:r>
      <w:r>
        <w:rPr>
          <w:rFonts w:ascii="Arial" w:cs="Arial" w:eastAsia="Arial" w:hAnsi="Arial"/>
          <w:sz w:val="21"/>
          <w:szCs w:val="21"/>
          <w:color w:val="auto"/>
        </w:rPr>
        <w:t>”), dated as of November 26, 2019 providing for the issuance of 4.250% Senior Notes due 2026 (the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152"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spacing w:after="0" w:line="186" w:lineRule="exact"/>
        <w:rPr>
          <w:sz w:val="20"/>
          <w:szCs w:val="20"/>
          <w:color w:val="auto"/>
        </w:rPr>
      </w:pPr>
    </w:p>
    <w:p>
      <w:pPr>
        <w:ind w:right="100" w:firstLine="656"/>
        <w:spacing w:after="0" w:line="263" w:lineRule="auto"/>
        <w:tabs>
          <w:tab w:leader="none" w:pos="1026" w:val="left"/>
        </w:tabs>
        <w:numPr>
          <w:ilvl w:val="0"/>
          <w:numId w:val="84"/>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74" w:lineRule="exact"/>
        <w:rPr>
          <w:rFonts w:ascii="Arial" w:cs="Arial" w:eastAsia="Arial" w:hAnsi="Arial"/>
          <w:sz w:val="22"/>
          <w:szCs w:val="22"/>
          <w:color w:val="auto"/>
        </w:rPr>
      </w:pPr>
    </w:p>
    <w:p>
      <w:pPr>
        <w:jc w:val="both"/>
        <w:ind w:right="220" w:firstLine="656"/>
        <w:spacing w:after="0" w:line="253" w:lineRule="auto"/>
        <w:tabs>
          <w:tab w:leader="none" w:pos="1015" w:val="left"/>
        </w:tabs>
        <w:numPr>
          <w:ilvl w:val="0"/>
          <w:numId w:val="84"/>
        </w:numPr>
        <w:rPr>
          <w:rFonts w:ascii="Arial" w:cs="Arial" w:eastAsia="Arial" w:hAnsi="Arial"/>
          <w:sz w:val="22"/>
          <w:szCs w:val="22"/>
          <w:color w:val="auto"/>
        </w:rPr>
      </w:pPr>
      <w:r>
        <w:rPr>
          <w:rFonts w:ascii="Arial" w:cs="Arial" w:eastAsia="Arial" w:hAnsi="Arial"/>
          <w:sz w:val="22"/>
          <w:szCs w:val="22"/>
          <w:color w:val="auto"/>
        </w:rPr>
        <w:t>AGREEMENT TO GUARANTEE. The Guaranteeing Entity hereby agrees to provide an unconditional Guarantee on the terms and subject to the conditions set forth in the Note Guarantee and in the Indenture including but not limited to Article 10 thereof.</w:t>
      </w:r>
    </w:p>
    <w:p>
      <w:pPr>
        <w:spacing w:after="0" w:line="185" w:lineRule="exact"/>
        <w:rPr>
          <w:rFonts w:ascii="Arial" w:cs="Arial" w:eastAsia="Arial" w:hAnsi="Arial"/>
          <w:sz w:val="22"/>
          <w:szCs w:val="22"/>
          <w:color w:val="auto"/>
        </w:rPr>
      </w:pPr>
    </w:p>
    <w:p>
      <w:pPr>
        <w:ind w:right="80" w:firstLine="656"/>
        <w:spacing w:after="0" w:line="259" w:lineRule="auto"/>
        <w:tabs>
          <w:tab w:leader="none" w:pos="1026" w:val="left"/>
        </w:tabs>
        <w:numPr>
          <w:ilvl w:val="0"/>
          <w:numId w:val="84"/>
        </w:numPr>
        <w:rPr>
          <w:rFonts w:ascii="Arial" w:cs="Arial" w:eastAsia="Arial" w:hAnsi="Arial"/>
          <w:sz w:val="21"/>
          <w:szCs w:val="21"/>
          <w:color w:val="auto"/>
        </w:rPr>
      </w:pPr>
      <w:r>
        <w:rPr>
          <w:rFonts w:ascii="Arial" w:cs="Arial" w:eastAsia="Arial" w:hAnsi="Arial"/>
          <w:sz w:val="21"/>
          <w:szCs w:val="21"/>
          <w:color w:val="auto"/>
        </w:rPr>
        <w:t>NO RECOURSE AGAINST OTHERS. No recourse for the payment of the principal of, premium, if any, or interest on any of the Notes or for any claim based thereon or otherwise in respect thereof, and no recourse under or upon any obligation, covenant or agreement of the Issuers or any of the Subsidiary Guarantors in the Indenture, or in any of the Notes or Note Guarantees or because of the creation of any Indebtedness represented thereby, shall be had against any past, present or future incorporator, partner, stockholder, officer, director, employee or controlling person in their capacity as such of the Issuers, the Subsidiary Guarantors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spacing w:after="0" w:line="184" w:lineRule="exact"/>
        <w:rPr>
          <w:rFonts w:ascii="Arial" w:cs="Arial" w:eastAsia="Arial" w:hAnsi="Arial"/>
          <w:sz w:val="21"/>
          <w:szCs w:val="21"/>
          <w:color w:val="auto"/>
        </w:rPr>
      </w:pPr>
    </w:p>
    <w:p>
      <w:pPr>
        <w:ind w:right="480" w:firstLine="656"/>
        <w:spacing w:after="0" w:line="263" w:lineRule="auto"/>
        <w:tabs>
          <w:tab w:leader="none" w:pos="1026" w:val="left"/>
        </w:tabs>
        <w:numPr>
          <w:ilvl w:val="0"/>
          <w:numId w:val="84"/>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w:t>
      </w:r>
    </w:p>
    <w:p>
      <w:pPr>
        <w:sectPr>
          <w:pgSz w:w="11900" w:h="16838" w:orient="portrait"/>
          <w:cols w:equalWidth="0" w:num="1">
            <w:col w:w="11420"/>
          </w:cols>
          <w:pgMar w:left="240" w:top="126" w:right="239" w:bottom="1440" w:gutter="0" w:footer="0" w:header="0"/>
        </w:sectPr>
      </w:pPr>
    </w:p>
    <w:bookmarkStart w:id="168" w:name="page169"/>
    <w:bookmarkEnd w:id="168"/>
    <w:p>
      <w:pPr>
        <w:ind w:right="280"/>
        <w:spacing w:after="0" w:line="343" w:lineRule="auto"/>
        <w:rPr>
          <w:sz w:val="20"/>
          <w:szCs w:val="20"/>
          <w:color w:val="auto"/>
        </w:rPr>
      </w:pPr>
      <w:r>
        <w:rPr>
          <w:rFonts w:ascii="Arial" w:cs="Arial" w:eastAsia="Arial" w:hAnsi="Arial"/>
          <w:sz w:val="19"/>
          <w:szCs w:val="19"/>
          <w:color w:val="auto"/>
        </w:rPr>
        <w:t>INDENTURE WITHOUT GIVING EFFECT TO APPLICABLE PRINCIPLES OF CONFLICTS OF LAW TO THE EXTENT THAT THE APPLICATION OF THE LAWS OF ANOTHER JURISDICTION WOULD BE REQUIRED THEREBY.</w:t>
      </w:r>
    </w:p>
    <w:p>
      <w:pPr>
        <w:spacing w:after="0" w:line="105" w:lineRule="exact"/>
        <w:rPr>
          <w:sz w:val="20"/>
          <w:szCs w:val="20"/>
          <w:color w:val="auto"/>
        </w:rPr>
      </w:pPr>
    </w:p>
    <w:p>
      <w:pPr>
        <w:ind w:firstLine="656"/>
        <w:spacing w:after="0" w:line="263" w:lineRule="auto"/>
        <w:tabs>
          <w:tab w:leader="none" w:pos="1026" w:val="left"/>
        </w:tabs>
        <w:numPr>
          <w:ilvl w:val="0"/>
          <w:numId w:val="85"/>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ind w:right="40" w:firstLine="656"/>
        <w:spacing w:after="0" w:line="253" w:lineRule="auto"/>
        <w:tabs>
          <w:tab w:leader="none" w:pos="102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Entity and the Company.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348" w:right="319" w:bottom="1440" w:gutter="0" w:footer="0" w:header="0"/>
        </w:sectPr>
      </w:pPr>
    </w:p>
    <w:bookmarkStart w:id="169" w:name="page170"/>
    <w:bookmarkEnd w:id="169"/>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CPLV PROPERTY OWNER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4280"/>
        <w:spacing w:after="0"/>
        <w:tabs>
          <w:tab w:leader="none" w:pos="50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A. Kieske</w:t>
      </w:r>
    </w:p>
    <w:p>
      <w:pPr>
        <w:spacing w:after="0" w:line="17" w:lineRule="exact"/>
        <w:rPr>
          <w:sz w:val="20"/>
          <w:szCs w:val="20"/>
          <w:color w:val="auto"/>
        </w:rPr>
      </w:pPr>
    </w:p>
    <w:p>
      <w:pPr>
        <w:ind w:left="428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Supplemental Indenture (2026 Notes) – CPLV Guarantee]</w:t>
      </w:r>
    </w:p>
    <w:p>
      <w:pPr>
        <w:sectPr>
          <w:pgSz w:w="11900" w:h="16838" w:orient="portrait"/>
          <w:cols w:equalWidth="0" w:num="1">
            <w:col w:w="11300"/>
          </w:cols>
          <w:pgMar w:left="240" w:top="348" w:right="359" w:bottom="1440" w:gutter="0" w:footer="0" w:header="0"/>
        </w:sectPr>
      </w:pPr>
    </w:p>
    <w:bookmarkStart w:id="170" w:name="page171"/>
    <w:bookmarkEnd w:id="170"/>
    <w:p>
      <w:pPr>
        <w:ind w:left="2700"/>
        <w:spacing w:after="0"/>
        <w:rPr>
          <w:sz w:val="20"/>
          <w:szCs w:val="20"/>
          <w:color w:val="auto"/>
        </w:rPr>
      </w:pPr>
      <w:r>
        <w:rPr>
          <w:rFonts w:ascii="Arial" w:cs="Arial" w:eastAsia="Arial" w:hAnsi="Arial"/>
          <w:sz w:val="22"/>
          <w:szCs w:val="22"/>
          <w:b w:val="1"/>
          <w:bCs w:val="1"/>
          <w:color w:val="auto"/>
        </w:rPr>
        <w:t>VICI PROPERTIES L.P.</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VICI PROPERTIES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A. Kieske</w:t>
      </w:r>
    </w:p>
    <w:p>
      <w:pPr>
        <w:spacing w:after="0" w:line="17"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19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VICI NOTE CO.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Name: David A. Kieske</w:t>
      </w:r>
    </w:p>
    <w:p>
      <w:pPr>
        <w:spacing w:after="0" w:line="17"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 (2026 Notes) – CPLV Guarantee]</w:t>
      </w:r>
    </w:p>
    <w:p>
      <w:pPr>
        <w:sectPr>
          <w:pgSz w:w="11900" w:h="16838" w:orient="portrait"/>
          <w:cols w:equalWidth="0" w:num="1">
            <w:col w:w="9019"/>
          </w:cols>
          <w:pgMar w:left="1440" w:top="814" w:right="1440" w:bottom="1440" w:gutter="0" w:footer="0" w:header="0"/>
        </w:sectPr>
      </w:pPr>
    </w:p>
    <w:bookmarkStart w:id="171" w:name="page172"/>
    <w:bookmarkEnd w:id="171"/>
    <w:p>
      <w:pPr>
        <w:ind w:left="2700"/>
        <w:spacing w:after="0"/>
        <w:rPr>
          <w:sz w:val="20"/>
          <w:szCs w:val="20"/>
          <w:color w:val="auto"/>
        </w:rPr>
      </w:pPr>
      <w:r>
        <w:rPr>
          <w:rFonts w:ascii="Arial" w:cs="Arial" w:eastAsia="Arial" w:hAnsi="Arial"/>
          <w:sz w:val="22"/>
          <w:szCs w:val="22"/>
          <w:color w:val="auto"/>
        </w:rPr>
        <w:t>Ratified and Acknowledged:</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VICI PROPERTIES 1 LLC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CINCINNATI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GREEKTOWN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PHILADELPHIA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CLAUDINE PROPERTY OWNER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CLAUDINE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BALLY’S ATLANTIC CITY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BLUEGRASS DOWNS PROPERTY OWNER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CAESARS ATLANTIC CITY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GRAND BILOXI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BOSSIER CITY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COUNCIL BLUFFS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LAKE TAHOE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METROPOLIS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RENO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HARVEY’S LAKE TAHOE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BOSSIER CITY PROP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COUNCIL BLUFFS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TUNICA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MISCELLANEOUS LAND LLC</w:t>
      </w:r>
    </w:p>
    <w:p>
      <w:pPr>
        <w:spacing w:after="0" w:line="4" w:lineRule="exact"/>
        <w:rPr>
          <w:sz w:val="20"/>
          <w:szCs w:val="20"/>
          <w:color w:val="auto"/>
        </w:rPr>
      </w:pPr>
    </w:p>
    <w:p>
      <w:pPr>
        <w:ind w:left="2700" w:right="1739"/>
        <w:spacing w:after="0" w:line="243" w:lineRule="auto"/>
        <w:rPr>
          <w:sz w:val="20"/>
          <w:szCs w:val="20"/>
          <w:color w:val="auto"/>
        </w:rPr>
      </w:pPr>
      <w:r>
        <w:rPr>
          <w:rFonts w:ascii="Arial" w:cs="Arial" w:eastAsia="Arial" w:hAnsi="Arial"/>
          <w:sz w:val="22"/>
          <w:szCs w:val="22"/>
          <w:b w:val="1"/>
          <w:bCs w:val="1"/>
          <w:color w:val="auto"/>
        </w:rPr>
        <w:t>NEW HARRAH’S NORTH KANSAS CITY LLC NEW HORSESHOE HAMMOND LLC BILOXI HAMMOND LLC</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NEW TUNICA ROADHOUSE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PROPCO GULFPORT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VEGAS DEVELOPMENT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VEGAS OPERATING PROPERTY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SOUTHERN INDIANA LLC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A. Kieske</w:t>
      </w:r>
    </w:p>
    <w:p>
      <w:pPr>
        <w:spacing w:after="0" w:line="17"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 (2026 Notes) – CPLV Guarantee]</w:t>
      </w:r>
    </w:p>
    <w:p>
      <w:pPr>
        <w:sectPr>
          <w:pgSz w:w="11900" w:h="16838" w:orient="portrait"/>
          <w:cols w:equalWidth="0" w:num="1">
            <w:col w:w="9019"/>
          </w:cols>
          <w:pgMar w:left="1440" w:top="820" w:right="1440" w:bottom="1440" w:gutter="0" w:footer="0" w:header="0"/>
        </w:sectPr>
      </w:pPr>
    </w:p>
    <w:bookmarkStart w:id="172" w:name="page173"/>
    <w:bookmarkEnd w:id="172"/>
    <w:p>
      <w:pPr>
        <w:ind w:left="2700"/>
        <w:spacing w:after="0"/>
        <w:rPr>
          <w:sz w:val="20"/>
          <w:szCs w:val="20"/>
          <w:color w:val="auto"/>
        </w:rPr>
      </w:pPr>
      <w:r>
        <w:rPr>
          <w:rFonts w:ascii="Arial" w:cs="Arial" w:eastAsia="Arial" w:hAnsi="Arial"/>
          <w:sz w:val="22"/>
          <w:szCs w:val="22"/>
          <w:b w:val="1"/>
          <w:bCs w:val="1"/>
          <w:color w:val="auto"/>
        </w:rPr>
        <w:t>UMB BANK, NATIONAL ASSOCIATION</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Gavin Wilkinson</w:t>
      </w:r>
    </w:p>
    <w:p>
      <w:pPr>
        <w:spacing w:after="0" w:line="2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 (2026 Notes) – CPLV Guarantee]</w:t>
      </w:r>
    </w:p>
    <w:p>
      <w:pPr>
        <w:sectPr>
          <w:pgSz w:w="11900" w:h="16838" w:orient="portrait"/>
          <w:cols w:equalWidth="0" w:num="1">
            <w:col w:w="9019"/>
          </w:cols>
          <w:pgMar w:left="1440" w:top="815"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Exhibit 4.11</w:t>
      </w:r>
    </w:p>
    <w:p>
      <w:pPr>
        <w:spacing w:after="0" w:line="200" w:lineRule="exact"/>
        <w:rPr>
          <w:sz w:val="20"/>
          <w:szCs w:val="20"/>
          <w:color w:val="auto"/>
        </w:rPr>
      </w:pPr>
    </w:p>
    <w:p>
      <w:pPr>
        <w:spacing w:after="0" w:line="228"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SUPPLEMENTAL INDENTURE (this “</w:t>
      </w:r>
      <w:r>
        <w:rPr>
          <w:rFonts w:ascii="Arial" w:cs="Arial" w:eastAsia="Arial" w:hAnsi="Arial"/>
          <w:sz w:val="22"/>
          <w:szCs w:val="22"/>
          <w:i w:val="1"/>
          <w:iCs w:val="1"/>
          <w:color w:val="auto"/>
        </w:rPr>
        <w:t>Supplemental Indenture</w:t>
      </w:r>
      <w:r>
        <w:rPr>
          <w:rFonts w:ascii="Arial" w:cs="Arial" w:eastAsia="Arial" w:hAnsi="Arial"/>
          <w:sz w:val="22"/>
          <w:szCs w:val="22"/>
          <w:color w:val="auto"/>
        </w:rPr>
        <w:t>”), dated as of December 20, 2019, among CPLV Property Owner LLC, a Delaware limited liability company (the “</w:t>
      </w:r>
      <w:r>
        <w:rPr>
          <w:rFonts w:ascii="Arial" w:cs="Arial" w:eastAsia="Arial" w:hAnsi="Arial"/>
          <w:sz w:val="22"/>
          <w:szCs w:val="22"/>
          <w:i w:val="1"/>
          <w:iCs w:val="1"/>
          <w:color w:val="auto"/>
        </w:rPr>
        <w:t>Guaranteeing Entity</w:t>
      </w:r>
      <w:r>
        <w:rPr>
          <w:rFonts w:ascii="Arial" w:cs="Arial" w:eastAsia="Arial" w:hAnsi="Arial"/>
          <w:sz w:val="22"/>
          <w:szCs w:val="22"/>
          <w:color w:val="auto"/>
        </w:rPr>
        <w:t>”), VICI Properties L.P., a Delaware limited liability company (the “</w:t>
      </w:r>
      <w:r>
        <w:rPr>
          <w:rFonts w:ascii="Arial" w:cs="Arial" w:eastAsia="Arial" w:hAnsi="Arial"/>
          <w:sz w:val="22"/>
          <w:szCs w:val="22"/>
          <w:i w:val="1"/>
          <w:iCs w:val="1"/>
          <w:color w:val="auto"/>
        </w:rPr>
        <w:t>Company</w:t>
      </w:r>
      <w:r>
        <w:rPr>
          <w:rFonts w:ascii="Arial" w:cs="Arial" w:eastAsia="Arial" w:hAnsi="Arial"/>
          <w:sz w:val="22"/>
          <w:szCs w:val="22"/>
          <w:color w:val="auto"/>
        </w:rPr>
        <w:t>”), VICI Note Co. Inc., a Delaware corporation (the “</w:t>
      </w:r>
      <w:r>
        <w:rPr>
          <w:rFonts w:ascii="Arial" w:cs="Arial" w:eastAsia="Arial" w:hAnsi="Arial"/>
          <w:sz w:val="22"/>
          <w:szCs w:val="22"/>
          <w:i w:val="1"/>
          <w:iCs w:val="1"/>
          <w:color w:val="auto"/>
        </w:rPr>
        <w:t>Co-Issuer</w:t>
      </w:r>
      <w:r>
        <w:rPr>
          <w:rFonts w:ascii="Arial" w:cs="Arial" w:eastAsia="Arial" w:hAnsi="Arial"/>
          <w:sz w:val="22"/>
          <w:szCs w:val="22"/>
          <w:color w:val="auto"/>
        </w:rPr>
        <w:t>”), and UMB Bank, National Association, as Trustee under the Indenture referred to below (the “</w:t>
      </w:r>
      <w:r>
        <w:rPr>
          <w:rFonts w:ascii="Arial" w:cs="Arial" w:eastAsia="Arial" w:hAnsi="Arial"/>
          <w:sz w:val="22"/>
          <w:szCs w:val="22"/>
          <w:i w:val="1"/>
          <w:iCs w:val="1"/>
          <w:color w:val="auto"/>
        </w:rPr>
        <w:t>Trustee</w:t>
      </w:r>
      <w:r>
        <w:rPr>
          <w:rFonts w:ascii="Arial" w:cs="Arial" w:eastAsia="Arial" w:hAnsi="Arial"/>
          <w:sz w:val="22"/>
          <w:szCs w:val="22"/>
          <w:color w:val="auto"/>
        </w:rPr>
        <w:t>”), as ratified by the other Subsidiary Guarantors (as defined in the Indenture referred to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ind w:right="300" w:firstLine="648"/>
        <w:spacing w:after="0" w:line="287" w:lineRule="auto"/>
        <w:rPr>
          <w:sz w:val="20"/>
          <w:szCs w:val="20"/>
          <w:color w:val="auto"/>
        </w:rPr>
      </w:pPr>
      <w:r>
        <w:rPr>
          <w:rFonts w:ascii="Arial" w:cs="Arial" w:eastAsia="Arial" w:hAnsi="Arial"/>
          <w:sz w:val="21"/>
          <w:szCs w:val="21"/>
          <w:color w:val="auto"/>
        </w:rPr>
        <w:t>WHEREAS, the Issuers have heretofore executed and delivered to the Trustee an indenture (the “</w:t>
      </w:r>
      <w:r>
        <w:rPr>
          <w:rFonts w:ascii="Arial" w:cs="Arial" w:eastAsia="Arial" w:hAnsi="Arial"/>
          <w:sz w:val="21"/>
          <w:szCs w:val="21"/>
          <w:i w:val="1"/>
          <w:iCs w:val="1"/>
          <w:color w:val="auto"/>
        </w:rPr>
        <w:t>Indenture</w:t>
      </w:r>
      <w:r>
        <w:rPr>
          <w:rFonts w:ascii="Arial" w:cs="Arial" w:eastAsia="Arial" w:hAnsi="Arial"/>
          <w:sz w:val="21"/>
          <w:szCs w:val="21"/>
          <w:color w:val="auto"/>
        </w:rPr>
        <w:t>”), dated as of November 26, 2019 providing for the issuance of 4.625% Senior Notes due 2029 (the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152"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spacing w:after="0" w:line="186" w:lineRule="exact"/>
        <w:rPr>
          <w:sz w:val="20"/>
          <w:szCs w:val="20"/>
          <w:color w:val="auto"/>
        </w:rPr>
      </w:pPr>
    </w:p>
    <w:p>
      <w:pPr>
        <w:ind w:right="100" w:firstLine="656"/>
        <w:spacing w:after="0" w:line="263" w:lineRule="auto"/>
        <w:tabs>
          <w:tab w:leader="none" w:pos="1026" w:val="left"/>
        </w:tabs>
        <w:numPr>
          <w:ilvl w:val="0"/>
          <w:numId w:val="86"/>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74" w:lineRule="exact"/>
        <w:rPr>
          <w:rFonts w:ascii="Arial" w:cs="Arial" w:eastAsia="Arial" w:hAnsi="Arial"/>
          <w:sz w:val="22"/>
          <w:szCs w:val="22"/>
          <w:color w:val="auto"/>
        </w:rPr>
      </w:pPr>
    </w:p>
    <w:p>
      <w:pPr>
        <w:jc w:val="both"/>
        <w:ind w:right="220" w:firstLine="656"/>
        <w:spacing w:after="0" w:line="253" w:lineRule="auto"/>
        <w:tabs>
          <w:tab w:leader="none" w:pos="1015" w:val="left"/>
        </w:tabs>
        <w:numPr>
          <w:ilvl w:val="0"/>
          <w:numId w:val="86"/>
        </w:numPr>
        <w:rPr>
          <w:rFonts w:ascii="Arial" w:cs="Arial" w:eastAsia="Arial" w:hAnsi="Arial"/>
          <w:sz w:val="22"/>
          <w:szCs w:val="22"/>
          <w:color w:val="auto"/>
        </w:rPr>
      </w:pPr>
      <w:r>
        <w:rPr>
          <w:rFonts w:ascii="Arial" w:cs="Arial" w:eastAsia="Arial" w:hAnsi="Arial"/>
          <w:sz w:val="22"/>
          <w:szCs w:val="22"/>
          <w:color w:val="auto"/>
        </w:rPr>
        <w:t>AGREEMENT TO GUARANTEE. The Guaranteeing Entity hereby agrees to provide an unconditional Guarantee on the terms and subject to the conditions set forth in the Note Guarantee and in the Indenture including but not limited to Article 10 thereof.</w:t>
      </w:r>
    </w:p>
    <w:p>
      <w:pPr>
        <w:spacing w:after="0" w:line="185" w:lineRule="exact"/>
        <w:rPr>
          <w:rFonts w:ascii="Arial" w:cs="Arial" w:eastAsia="Arial" w:hAnsi="Arial"/>
          <w:sz w:val="22"/>
          <w:szCs w:val="22"/>
          <w:color w:val="auto"/>
        </w:rPr>
      </w:pPr>
    </w:p>
    <w:p>
      <w:pPr>
        <w:ind w:right="80" w:firstLine="656"/>
        <w:spacing w:after="0" w:line="259" w:lineRule="auto"/>
        <w:tabs>
          <w:tab w:leader="none" w:pos="1026" w:val="left"/>
        </w:tabs>
        <w:numPr>
          <w:ilvl w:val="0"/>
          <w:numId w:val="86"/>
        </w:numPr>
        <w:rPr>
          <w:rFonts w:ascii="Arial" w:cs="Arial" w:eastAsia="Arial" w:hAnsi="Arial"/>
          <w:sz w:val="21"/>
          <w:szCs w:val="21"/>
          <w:color w:val="auto"/>
        </w:rPr>
      </w:pPr>
      <w:r>
        <w:rPr>
          <w:rFonts w:ascii="Arial" w:cs="Arial" w:eastAsia="Arial" w:hAnsi="Arial"/>
          <w:sz w:val="21"/>
          <w:szCs w:val="21"/>
          <w:color w:val="auto"/>
        </w:rPr>
        <w:t>NO RECOURSE AGAINST OTHERS. No recourse for the payment of the principal of, premium, if any, or interest on any of the Notes or for any claim based thereon or otherwise in respect thereof, and no recourse under or upon any obligation, covenant or agreement of the Issuers or any of the Subsidiary Guarantors in the Indenture, or in any of the Notes or Note Guarantees or because of the creation of any Indebtedness represented thereby, shall be had against any past, present or future incorporator, partner, stockholder, officer, director, employee or controlling person in their capacity as such of the Issuers, the Subsidiary Guarantors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spacing w:after="0" w:line="184" w:lineRule="exact"/>
        <w:rPr>
          <w:rFonts w:ascii="Arial" w:cs="Arial" w:eastAsia="Arial" w:hAnsi="Arial"/>
          <w:sz w:val="21"/>
          <w:szCs w:val="21"/>
          <w:color w:val="auto"/>
        </w:rPr>
      </w:pPr>
    </w:p>
    <w:p>
      <w:pPr>
        <w:ind w:right="480" w:firstLine="656"/>
        <w:spacing w:after="0" w:line="263" w:lineRule="auto"/>
        <w:tabs>
          <w:tab w:leader="none" w:pos="1026" w:val="left"/>
        </w:tabs>
        <w:numPr>
          <w:ilvl w:val="0"/>
          <w:numId w:val="86"/>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w:t>
      </w:r>
    </w:p>
    <w:p>
      <w:pPr>
        <w:sectPr>
          <w:pgSz w:w="11900" w:h="16838" w:orient="portrait"/>
          <w:cols w:equalWidth="0" w:num="1">
            <w:col w:w="11420"/>
          </w:cols>
          <w:pgMar w:left="240" w:top="139" w:right="239" w:bottom="1440" w:gutter="0" w:footer="0" w:header="0"/>
        </w:sectPr>
      </w:pPr>
    </w:p>
    <w:bookmarkStart w:id="174" w:name="page175"/>
    <w:bookmarkEnd w:id="174"/>
    <w:p>
      <w:pPr>
        <w:ind w:right="280"/>
        <w:spacing w:after="0" w:line="343" w:lineRule="auto"/>
        <w:rPr>
          <w:sz w:val="20"/>
          <w:szCs w:val="20"/>
          <w:color w:val="auto"/>
        </w:rPr>
      </w:pPr>
      <w:r>
        <w:rPr>
          <w:rFonts w:ascii="Arial" w:cs="Arial" w:eastAsia="Arial" w:hAnsi="Arial"/>
          <w:sz w:val="19"/>
          <w:szCs w:val="19"/>
          <w:color w:val="auto"/>
        </w:rPr>
        <w:t>INDENTURE WITHOUT GIVING EFFECT TO APPLICABLE PRINCIPLES OF CONFLICTS OF LAW TO THE EXTENT THAT THE APPLICATION OF THE LAWS OF ANOTHER JURISDICTION WOULD BE REQUIRED THEREBY.</w:t>
      </w:r>
    </w:p>
    <w:p>
      <w:pPr>
        <w:spacing w:after="0" w:line="105" w:lineRule="exact"/>
        <w:rPr>
          <w:sz w:val="20"/>
          <w:szCs w:val="20"/>
          <w:color w:val="auto"/>
        </w:rPr>
      </w:pPr>
    </w:p>
    <w:p>
      <w:pPr>
        <w:ind w:firstLine="656"/>
        <w:spacing w:after="0" w:line="263" w:lineRule="auto"/>
        <w:tabs>
          <w:tab w:leader="none" w:pos="1026" w:val="left"/>
        </w:tabs>
        <w:numPr>
          <w:ilvl w:val="0"/>
          <w:numId w:val="87"/>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ind w:right="40" w:firstLine="656"/>
        <w:spacing w:after="0" w:line="253" w:lineRule="auto"/>
        <w:tabs>
          <w:tab w:leader="none" w:pos="102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Entity and the Company.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348" w:right="319" w:bottom="1440" w:gutter="0" w:footer="0" w:header="0"/>
        </w:sectPr>
      </w:pPr>
    </w:p>
    <w:bookmarkStart w:id="175" w:name="page176"/>
    <w:bookmarkEnd w:id="17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CPLV PROPERTY OWNER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4280"/>
        <w:spacing w:after="0"/>
        <w:tabs>
          <w:tab w:leader="none" w:pos="50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A. Kieske</w:t>
      </w:r>
    </w:p>
    <w:p>
      <w:pPr>
        <w:spacing w:after="0" w:line="17" w:lineRule="exact"/>
        <w:rPr>
          <w:sz w:val="20"/>
          <w:szCs w:val="20"/>
          <w:color w:val="auto"/>
        </w:rPr>
      </w:pPr>
    </w:p>
    <w:p>
      <w:pPr>
        <w:ind w:left="428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Supplemental Indenture (2029 Notes) – CPLV Guarantee]</w:t>
      </w:r>
    </w:p>
    <w:p>
      <w:pPr>
        <w:sectPr>
          <w:pgSz w:w="11900" w:h="16838" w:orient="portrait"/>
          <w:cols w:equalWidth="0" w:num="1">
            <w:col w:w="11300"/>
          </w:cols>
          <w:pgMar w:left="240" w:top="348" w:right="359" w:bottom="1440" w:gutter="0" w:footer="0" w:header="0"/>
        </w:sectPr>
      </w:pPr>
    </w:p>
    <w:bookmarkStart w:id="176" w:name="page177"/>
    <w:bookmarkEnd w:id="176"/>
    <w:p>
      <w:pPr>
        <w:ind w:left="2700"/>
        <w:spacing w:after="0"/>
        <w:rPr>
          <w:sz w:val="20"/>
          <w:szCs w:val="20"/>
          <w:color w:val="auto"/>
        </w:rPr>
      </w:pPr>
      <w:r>
        <w:rPr>
          <w:rFonts w:ascii="Arial" w:cs="Arial" w:eastAsia="Arial" w:hAnsi="Arial"/>
          <w:sz w:val="22"/>
          <w:szCs w:val="22"/>
          <w:b w:val="1"/>
          <w:bCs w:val="1"/>
          <w:color w:val="auto"/>
        </w:rPr>
        <w:t>VICI PROPERTIES L.P.</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VICI PROPERTIES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A. Kieske</w:t>
      </w:r>
    </w:p>
    <w:p>
      <w:pPr>
        <w:spacing w:after="0" w:line="17"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19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VICI NOTE CO.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Name: David A. Kieske</w:t>
      </w:r>
    </w:p>
    <w:p>
      <w:pPr>
        <w:spacing w:after="0" w:line="17"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 (2029 Notes) – CPLV Guarantee]</w:t>
      </w:r>
    </w:p>
    <w:p>
      <w:pPr>
        <w:sectPr>
          <w:pgSz w:w="11900" w:h="16838" w:orient="portrait"/>
          <w:cols w:equalWidth="0" w:num="1">
            <w:col w:w="9019"/>
          </w:cols>
          <w:pgMar w:left="1440" w:top="814" w:right="1440" w:bottom="1440" w:gutter="0" w:footer="0" w:header="0"/>
        </w:sectPr>
      </w:pPr>
    </w:p>
    <w:bookmarkStart w:id="177" w:name="page178"/>
    <w:bookmarkEnd w:id="177"/>
    <w:p>
      <w:pPr>
        <w:ind w:left="2700"/>
        <w:spacing w:after="0"/>
        <w:rPr>
          <w:sz w:val="20"/>
          <w:szCs w:val="20"/>
          <w:color w:val="auto"/>
        </w:rPr>
      </w:pPr>
      <w:r>
        <w:rPr>
          <w:rFonts w:ascii="Arial" w:cs="Arial" w:eastAsia="Arial" w:hAnsi="Arial"/>
          <w:sz w:val="22"/>
          <w:szCs w:val="22"/>
          <w:color w:val="auto"/>
        </w:rPr>
        <w:t>Ratified and Acknowledged:</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VICI PROPERTIES 1 LLC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CINCINNATI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GREEKTOWN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PHILADELPHIA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CLAUDINE PROPERTY OWNER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CLAUDINE PROPCO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BALLY’S ATLANTIC CITY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BLUEGRASS DOWNS PROPERTY OWNER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CAESARS ATLANTIC CITY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GRAND BILOXI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BOSSIER CITY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COUNCIL BLUFFS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LAKE TAHOE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METROPOLIS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HARRAH’S RENO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HARVEY’S LAKE TAHOE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BOSSIER CITY PROP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COUNCIL BLUFFS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TUNICA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MISCELLANEOUS LAND LLC</w:t>
      </w:r>
    </w:p>
    <w:p>
      <w:pPr>
        <w:spacing w:after="0" w:line="4" w:lineRule="exact"/>
        <w:rPr>
          <w:sz w:val="20"/>
          <w:szCs w:val="20"/>
          <w:color w:val="auto"/>
        </w:rPr>
      </w:pPr>
    </w:p>
    <w:p>
      <w:pPr>
        <w:ind w:left="2700" w:right="1739"/>
        <w:spacing w:after="0" w:line="243" w:lineRule="auto"/>
        <w:rPr>
          <w:sz w:val="20"/>
          <w:szCs w:val="20"/>
          <w:color w:val="auto"/>
        </w:rPr>
      </w:pPr>
      <w:r>
        <w:rPr>
          <w:rFonts w:ascii="Arial" w:cs="Arial" w:eastAsia="Arial" w:hAnsi="Arial"/>
          <w:sz w:val="22"/>
          <w:szCs w:val="22"/>
          <w:b w:val="1"/>
          <w:bCs w:val="1"/>
          <w:color w:val="auto"/>
        </w:rPr>
        <w:t>NEW HARRAH’S NORTH KANSAS CITY LLC NEW HORSESHOE HAMMOND LLC BILOXI HAMMOND LLC</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NEW TUNICA ROADHOUSE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PROPCO GULFPORT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VEGAS DEVELOPMENT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VEGAS OPERATING PROPERTY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HORSESHOE SOUTHERN INDIANA LLC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Kieske</w:t>
      </w:r>
    </w:p>
    <w:p>
      <w:pPr>
        <w:spacing w:after="0" w:line="22" w:lineRule="exact"/>
        <w:rPr>
          <w:sz w:val="20"/>
          <w:szCs w:val="20"/>
          <w:color w:val="auto"/>
        </w:rPr>
      </w:pPr>
    </w:p>
    <w:p>
      <w:pPr>
        <w:ind w:left="3080"/>
        <w:spacing w:after="0"/>
        <w:tabs>
          <w:tab w:leader="none" w:pos="38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A. Kieske</w:t>
      </w:r>
    </w:p>
    <w:p>
      <w:pPr>
        <w:spacing w:after="0" w:line="17"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 (2029 Notes) – CPLV Guarantee]</w:t>
      </w:r>
    </w:p>
    <w:p>
      <w:pPr>
        <w:sectPr>
          <w:pgSz w:w="11900" w:h="16838" w:orient="portrait"/>
          <w:cols w:equalWidth="0" w:num="1">
            <w:col w:w="9019"/>
          </w:cols>
          <w:pgMar w:left="1440" w:top="821" w:right="1440" w:bottom="1440" w:gutter="0" w:footer="0" w:header="0"/>
        </w:sectPr>
      </w:pPr>
    </w:p>
    <w:bookmarkStart w:id="178" w:name="page179"/>
    <w:bookmarkEnd w:id="178"/>
    <w:p>
      <w:pPr>
        <w:ind w:left="2700"/>
        <w:spacing w:after="0"/>
        <w:rPr>
          <w:sz w:val="20"/>
          <w:szCs w:val="20"/>
          <w:color w:val="auto"/>
        </w:rPr>
      </w:pPr>
      <w:r>
        <w:rPr>
          <w:rFonts w:ascii="Arial" w:cs="Arial" w:eastAsia="Arial" w:hAnsi="Arial"/>
          <w:sz w:val="22"/>
          <w:szCs w:val="22"/>
          <w:b w:val="1"/>
          <w:bCs w:val="1"/>
          <w:color w:val="auto"/>
        </w:rPr>
        <w:t>UMB BANK, NATIONAL ASSOCIATION</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Gavin Wilkinson</w:t>
      </w:r>
    </w:p>
    <w:p>
      <w:pPr>
        <w:spacing w:after="0" w:line="2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Supplemental Indenture (2029 Notes) – CPLV Guarantee]</w:t>
      </w:r>
    </w:p>
    <w:p>
      <w:pPr>
        <w:sectPr>
          <w:pgSz w:w="11900" w:h="16838" w:orient="portrait"/>
          <w:cols w:equalWidth="0" w:num="1">
            <w:col w:w="9019"/>
          </w:cols>
          <w:pgMar w:left="1440" w:top="814"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4.12</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charter authorizes us to issue up to 700,000,000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461,004,742 shares of our common stock are issued and outstanding, and no shares of preferred stock of any kind (including Series A preferred stock) are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Under Maryland law, a stockholder generally is not liable for a corporation’s debts or obligations solely as a result of the stockholder’s status as a stockholder.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limitation of liability and amendments to our charter,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w:t>
      </w:r>
    </w:p>
    <w:p>
      <w:pPr>
        <w:sectPr>
          <w:pgSz w:w="11900" w:h="16838" w:orient="portrait"/>
          <w:cols w:equalWidth="0" w:num="1">
            <w:col w:w="11420"/>
          </w:cols>
          <w:pgMar w:left="240" w:top="135"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Power to Reclassify and Issue Stock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otherwise be in their best interests.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9.8%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1" w:right="239" w:bottom="1440" w:gutter="0" w:footer="0" w:header="0"/>
        </w:sectPr>
      </w:pPr>
    </w:p>
    <w:bookmarkStart w:id="181" w:name="page182"/>
    <w:bookmarkEnd w:id="181"/>
    <w:p>
      <w:pPr>
        <w:jc w:val="both"/>
        <w:ind w:right="20"/>
        <w:spacing w:after="0" w:line="277" w:lineRule="auto"/>
        <w:rPr>
          <w:sz w:val="20"/>
          <w:szCs w:val="20"/>
          <w:color w:val="auto"/>
        </w:rPr>
      </w:pPr>
      <w:r>
        <w:rPr>
          <w:rFonts w:ascii="Arial" w:cs="Arial" w:eastAsia="Arial" w:hAnsi="Arial"/>
          <w:sz w:val="18"/>
          <w:szCs w:val="18"/>
          <w:color w:val="auto"/>
        </w:rPr>
        <w:t>or less of a class or series of our capital stock, or the acquisition of an interest in an entity that owns our stock, could, nevertheless, cause the acquirer or another individual or entity to own our stock in excess of the ownership limit.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charter also provides that:</w:t>
      </w:r>
    </w:p>
    <w:p>
      <w:pPr>
        <w:spacing w:after="0" w:line="333" w:lineRule="exact"/>
        <w:rPr>
          <w:sz w:val="20"/>
          <w:szCs w:val="20"/>
          <w:color w:val="auto"/>
        </w:rPr>
      </w:pPr>
    </w:p>
    <w:p>
      <w:pPr>
        <w:jc w:val="both"/>
        <w:ind w:left="66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is prohibited from transferring shares of our stock if the transfer would result in shares of our stock being beneficially owned by fewer than 100 persons.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 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182" w:name="page183"/>
    <w:bookmarkEnd w:id="182"/>
    <w:p>
      <w:pPr>
        <w:jc w:val="both"/>
        <w:spacing w:after="0" w:line="264" w:lineRule="auto"/>
        <w:rPr>
          <w:sz w:val="20"/>
          <w:szCs w:val="20"/>
          <w:color w:val="auto"/>
        </w:rPr>
      </w:pPr>
      <w:r>
        <w:rPr>
          <w:rFonts w:ascii="Arial" w:cs="Arial" w:eastAsia="Arial" w:hAnsi="Arial"/>
          <w:sz w:val="18"/>
          <w:szCs w:val="18"/>
          <w:color w:val="auto"/>
        </w:rPr>
        <w:t>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w:t>
      </w:r>
    </w:p>
    <w:p>
      <w:pPr>
        <w:spacing w:after="0" w:line="295" w:lineRule="exact"/>
        <w:rPr>
          <w:sz w:val="20"/>
          <w:szCs w:val="20"/>
          <w:color w:val="auto"/>
        </w:rPr>
      </w:pPr>
    </w:p>
    <w:p>
      <w:pPr>
        <w:ind w:left="660" w:hanging="328"/>
        <w:spacing w:after="0" w:line="34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sales proceeds received by the trustee for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net sales proceeds in excess of the amount payable to the intended transferee shall be paid to the charitable beneficiary.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charter provides that shares of our stock held in the trust will be deemed to be offered for sale to us, or our designee, at a price per share equal to the lesser of:</w:t>
      </w:r>
    </w:p>
    <w:p>
      <w:pPr>
        <w:spacing w:after="0" w:line="279" w:lineRule="exact"/>
        <w:rPr>
          <w:sz w:val="20"/>
          <w:szCs w:val="20"/>
          <w:color w:val="auto"/>
        </w:rPr>
      </w:pPr>
    </w:p>
    <w:p>
      <w:pPr>
        <w:ind w:left="66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price per share in the transaction that resulted in the transfer to the trust or, in the case of a gift, devise or other such transaction, at market price, at the time of such gift, devise or other such transaction;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market price on the date we accept, or our designee accepts, such offer.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our board of directors authorizes any of our shares to be represented by certificates, the certificates will bear a legend referring to the restrictions described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8" w:right="239" w:bottom="1440" w:gutter="0" w:footer="0" w:header="0"/>
        </w:sectPr>
      </w:pPr>
    </w:p>
    <w:bookmarkStart w:id="183" w:name="page184"/>
    <w:bookmarkEnd w:id="183"/>
    <w:p>
      <w:pPr>
        <w:jc w:val="both"/>
        <w:ind w:right="20"/>
        <w:spacing w:after="0" w:line="277" w:lineRule="auto"/>
        <w:rPr>
          <w:sz w:val="20"/>
          <w:szCs w:val="20"/>
          <w:color w:val="auto"/>
        </w:rPr>
      </w:pPr>
      <w:r>
        <w:rPr>
          <w:rFonts w:ascii="Arial" w:cs="Arial" w:eastAsia="Arial" w:hAnsi="Arial"/>
          <w:sz w:val="18"/>
          <w:szCs w:val="18"/>
          <w:color w:val="auto"/>
        </w:rPr>
        <w:t>These restrictions on ownership and transfer of our stock could delay, defer or prevent a transaction or a change of control of us that might involve a premium price for our common stock or otherwise be in the best interests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Affiliate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upon Redemption of Partnership Units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Partnership, VICI Properties L.P., is a Delaware limited partnership. All of our assets (other than the golf course assets), are held by, and all of our operations (other than the golf course operations) are and will be conducted through, our Operating Partnership, either directly or through subsidiaries. VICI Properties GP LLC, our wholly-owned subsidiary, is the sole General Partner of our Operating Partnership. Some of our property acquisitions could be financed by issuing units of our Operating Partnership in exchange for property owned by third parties. Such third parties would then be entitled to share in cash distributions from, and in the profits and losses of, our Operating Partnership in proportion to their respective percentage interests in our Operating Partnership. Holders of outstanding partnership units will on the twelve-month anniversary a limited partner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184" w:name="page185"/>
    <w:bookmarkEnd w:id="184"/>
    <w:p>
      <w:pPr>
        <w:jc w:val="both"/>
        <w:spacing w:after="0" w:line="279" w:lineRule="auto"/>
        <w:rPr>
          <w:sz w:val="20"/>
          <w:szCs w:val="20"/>
          <w:color w:val="auto"/>
        </w:rPr>
      </w:pPr>
      <w:r>
        <w:rPr>
          <w:rFonts w:ascii="Arial" w:cs="Arial" w:eastAsia="Arial" w:hAnsi="Arial"/>
          <w:sz w:val="17"/>
          <w:szCs w:val="17"/>
          <w:color w:val="auto"/>
        </w:rPr>
        <w:t>first becoming a holder of common units of the Operating Partnership (subject to the terms of the limited partnership agreement), have the right to elect to redeem their partnership units for cash, based upon the value of an equivalent number of shares of our common stock at the time of the election to redeem, subject to our right instead, and as expressly permitted in our charter, to acquire the partnership units tendered for redemption in exchange for an equivalent number of shares of our common stock, subject to the restrictions on ownership and transfer of our stock set forth in our charter.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Provisions in the limited partnership agreement may delay or make more difficult unsolicited acquisitions of us or changes in our control. These provisions could discourage third parties from making proposals involving an unsolicited acquisition of us or change of our control, although some stockholders might consider such proposals, if made, desirable. These provisions also make it more difficult for third parties to alter the management structure of our Operating Partnership without the concurrence of our board of directors. These provisions include, among others:</w:t>
      </w:r>
    </w:p>
    <w:p>
      <w:pPr>
        <w:spacing w:after="0" w:line="92"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redemption rights of limited partners and certain assignees of partnership units or other Operating Partnership interests;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transfer restrictions on partnership units and restrictions on admission of partners;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requirement that VICI Properties GP LLC may not be removed as the General Partner of our Operating Partnership without its consent;</w:t>
      </w:r>
    </w:p>
    <w:p>
      <w:pPr>
        <w:spacing w:after="0" w:line="14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ability of the General Partner in some cases to amend the limited partnership agreement and to cause our Operating Partnership to issue preferred partnership interests in our Operating Partnership with terms that it may determine, in either case, without the approval or consent of any limited partner; and</w:t>
      </w:r>
    </w:p>
    <w:p>
      <w:pPr>
        <w:spacing w:after="0" w:line="74"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right of any future limited partners to consent to transfers of units of other Operating Partnership interests except under specified circumstances, including in connection with mergers, consolidations and other business combinations involving us.</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discussion of our Operating Partnership and select related matters does not purport to be complete and is subject to and qualified in its entirety by reference to the limited partnership agreement of VICI Properties L.P., which is filed as an exhibit to the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Charter and Bylaws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summary of certain provisions of Maryland law and of our charter and bylaws is only a summary, and is subject to, and qualified in its entirety by reference to, our charter and bylaws and the applicable provisions of the MGCL.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found by our board of directors to be an unsuitable person will expire.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any vacancy on our board of directors may be filled only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Charter and Bylaws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provided in our charter with respect to indemnification, limitation of liability and amendments to our charter,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8" w:right="239" w:bottom="1440" w:gutter="0" w:footer="0" w:header="0"/>
        </w:sectPr>
      </w:pPr>
    </w:p>
    <w:bookmarkStart w:id="185" w:name="page186"/>
    <w:bookmarkEnd w:id="185"/>
    <w:p>
      <w:pPr>
        <w:jc w:val="both"/>
        <w:spacing w:after="0" w:line="279" w:lineRule="auto"/>
        <w:rPr>
          <w:sz w:val="20"/>
          <w:szCs w:val="20"/>
          <w:color w:val="auto"/>
        </w:rPr>
      </w:pPr>
      <w:r>
        <w:rPr>
          <w:rFonts w:ascii="Arial" w:cs="Arial" w:eastAsia="Arial" w:hAnsi="Arial"/>
          <w:sz w:val="17"/>
          <w:szCs w:val="17"/>
          <w:color w:val="auto"/>
        </w:rPr>
        <w:t>majority of all shares then outstanding and entitled to be cast on the matter, have the power to amend our bylaws, provided that the section of our bylaws relating to the opt out from the Maryland control share acquisition statute may not be amended except by the vote of at least two-thirds of all votes entitled to be cast on the matter, and the section of our bylaws relating to amending the bylaws, and the last sentence of the section of our bylaws relating to stockholder rights plans, may not be amended except by the vote of at least 75% of all votes entitled to be cast on the matter.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w:t>
      </w:r>
    </w:p>
    <w:p>
      <w:pPr>
        <w:spacing w:after="0" w:line="29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person who beneficially, directly or indirectly, owns 10% or more of the voting power of the corporation’s outstanding voting stock; or</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before the date in question, was the beneficial owner, directly or indirectly, of 10% or more of the voting power of the corporation’s then outstanding voting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the interested stockholder generally must be recommended by the corporation’s board of directors and approved by the affirmative vote of at least:</w:t>
      </w:r>
    </w:p>
    <w:p>
      <w:pPr>
        <w:spacing w:after="0" w:line="62"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 enter into a business combination with us that may not be in the best interests of our stockholders,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186" w:name="page187"/>
    <w:bookmarkEnd w:id="186"/>
    <w:p>
      <w:pPr>
        <w:jc w:val="both"/>
        <w:spacing w:after="0" w:line="264" w:lineRule="auto"/>
        <w:rPr>
          <w:sz w:val="20"/>
          <w:szCs w:val="20"/>
          <w:color w:val="auto"/>
        </w:rPr>
      </w:pPr>
      <w:r>
        <w:rPr>
          <w:rFonts w:ascii="Arial" w:cs="Arial" w:eastAsia="Arial" w:hAnsi="Arial"/>
          <w:sz w:val="18"/>
          <w:szCs w:val="18"/>
          <w:color w:val="auto"/>
        </w:rPr>
        <w:t>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w:t>
      </w:r>
    </w:p>
    <w:p>
      <w:pPr>
        <w:spacing w:after="0" w:line="289"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contain a provision exempting any acquisition of our stock by any person from the foregoing provisions on control shares. In the event that our bylaws are amended by our stockholders to modify or eliminate this provision, acquisitions of our common stock may constitute a control share acquisition and may be subject to the Maryland Control Share Acquisition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w:t>
      </w:r>
    </w:p>
    <w:p>
      <w:pPr>
        <w:spacing w:after="0" w:line="29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board of directors;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provision that a special meeting of stockholders must be called upon stockholder request only on the written request of stockholders entitled to cast a majority of the votes entitled to be cast at the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187" w:name="page188"/>
    <w:bookmarkEnd w:id="187"/>
    <w:p>
      <w:pPr>
        <w:jc w:val="both"/>
        <w:spacing w:after="0" w:line="264" w:lineRule="auto"/>
        <w:rPr>
          <w:sz w:val="20"/>
          <w:szCs w:val="20"/>
          <w:color w:val="auto"/>
        </w:rPr>
      </w:pPr>
      <w:r>
        <w:rPr>
          <w:rFonts w:ascii="Arial" w:cs="Arial" w:eastAsia="Arial" w:hAnsi="Arial"/>
          <w:sz w:val="18"/>
          <w:szCs w:val="18"/>
          <w:color w:val="auto"/>
        </w:rPr>
        <w:t>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Interests and Activities of Our Directors or Officers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 and New Business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8" w:right="239" w:bottom="1440" w:gutter="0" w:footer="0" w:header="0"/>
        </w:sectPr>
      </w:pPr>
    </w:p>
    <w:bookmarkStart w:id="188" w:name="page189"/>
    <w:bookmarkEnd w:id="188"/>
    <w:p>
      <w:pPr>
        <w:jc w:val="both"/>
        <w:spacing w:after="0" w:line="308" w:lineRule="auto"/>
        <w:rPr>
          <w:sz w:val="20"/>
          <w:szCs w:val="20"/>
          <w:color w:val="auto"/>
        </w:rPr>
      </w:pPr>
      <w:r>
        <w:rPr>
          <w:rFonts w:ascii="Arial" w:cs="Arial" w:eastAsia="Arial" w:hAnsi="Arial"/>
          <w:sz w:val="17"/>
          <w:szCs w:val="17"/>
          <w:color w:val="auto"/>
        </w:rPr>
        <w:t>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Certain Provisions of Maryland Law and our Charter and Bylaws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 (c) 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8" w:right="239" w:bottom="1440" w:gutter="0" w:footer="0" w:header="0"/>
        </w:sectPr>
      </w:pPr>
    </w:p>
    <w:bookmarkStart w:id="189" w:name="page190"/>
    <w:bookmarkEnd w:id="189"/>
    <w:p>
      <w:pPr>
        <w:spacing w:after="0" w:line="277" w:lineRule="auto"/>
        <w:rPr>
          <w:sz w:val="20"/>
          <w:szCs w:val="20"/>
          <w:color w:val="auto"/>
        </w:rPr>
      </w:pPr>
      <w:r>
        <w:rPr>
          <w:rFonts w:ascii="Arial" w:cs="Arial" w:eastAsia="Arial" w:hAnsi="Arial"/>
          <w:sz w:val="18"/>
          <w:szCs w:val="18"/>
          <w:color w:val="auto"/>
        </w:rPr>
        <w:t>incurred by them in connection with any proceeding to which they may be made or threatened to be made a part to, or witness in, by reason of their service in those or certain other capacities unless it is established that:</w:t>
      </w:r>
    </w:p>
    <w:p>
      <w:pPr>
        <w:spacing w:after="0" w:line="279" w:lineRule="exact"/>
        <w:rPr>
          <w:sz w:val="20"/>
          <w:szCs w:val="20"/>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(a) was committed in bad faith or (b) was the result of active and deliberate dishonesty;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289" w:lineRule="exact"/>
        <w:rPr>
          <w:sz w:val="20"/>
          <w:szCs w:val="20"/>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a proceeding by reason of his or her service in that capacity; or</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charter and bylaws provide that we have the power, with approval of our board, to provide such indemnification and advance of expenses to a person who served a predecessor of us in any such capacity described above and to any employee or agent of us or a predecessor of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purchased and maintain insurance on behalf of all of our directors and executive officers against liability asserted against or incurred by them in their official capacities, whether or not we are required to have the power to indemnify them against the same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VICI Properties Inc.</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Entity</w:t>
            </w:r>
          </w:p>
        </w:tc>
        <w:tc>
          <w:tcPr>
            <w:tcW w:w="240" w:type="dxa"/>
            <w:vAlign w:val="bottom"/>
            <w:tcBorders>
              <w:bottom w:val="single" w:sz="8" w:color="CCEEFF"/>
            </w:tcBorders>
          </w:tcPr>
          <w:p>
            <w:pPr>
              <w:spacing w:after="0"/>
              <w:rPr>
                <w:sz w:val="16"/>
                <w:szCs w:val="16"/>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Bally’s Atlantic City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Biloxi Hammond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Bluegrass Downs Property Owner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Caesars Atlantic City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Cape G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Cascata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Chariot Run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Cincinnati Propco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Claudine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Claudine Property Owner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Cleveland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CPLV Property Owner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Grand Bear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Grand Biloxi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Greektown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Atlantic City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Bossier City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Louisiana</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Council Bluffs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Joliet LandCo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Lake Tahoe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Metropolis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New Orleans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Harrah’s Reno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Harvey’s Lake Tahoe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Horseshoe Bossier City Prop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Louisiana</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Horseshoe Council Bluffs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Horseshoe Southern Indiana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Lady Luck C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Laughlin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Horseshoe Tunica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Margaritaville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Miscellaneous Land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Mountaineer CRR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New Harrah’s North Kansas City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Horseshoe Hammond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New Tunica Roadhouse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Philadelphia Propco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Propco Gulfport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Propco TRS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Riverview Properties 1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Rio Secco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Thistledown Propco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Vegas Development LLC</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Vegas Operating Property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VICI FC Inc.</w:t>
            </w:r>
          </w:p>
        </w:tc>
        <w:tc>
          <w:tcPr>
            <w:tcW w:w="74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Delaware</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VICI Golf LLC</w:t>
            </w:r>
          </w:p>
        </w:tc>
        <w:tc>
          <w:tcPr>
            <w:tcW w:w="74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VICI Lendco LLC</w:t>
            </w:r>
          </w:p>
        </w:tc>
        <w:tc>
          <w:tcPr>
            <w:tcW w:w="748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Delaware</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VICI Note Co. Inc.</w:t>
            </w:r>
          </w:p>
        </w:tc>
        <w:tc>
          <w:tcPr>
            <w:tcW w:w="74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VICI Properties 1 LLC</w:t>
            </w:r>
          </w:p>
        </w:tc>
        <w:tc>
          <w:tcPr>
            <w:tcW w:w="748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Delaware</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VICI Properties GP LLC</w:t>
            </w:r>
          </w:p>
        </w:tc>
        <w:tc>
          <w:tcPr>
            <w:tcW w:w="74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VICI Properties L.P.</w:t>
            </w:r>
          </w:p>
        </w:tc>
        <w:tc>
          <w:tcPr>
            <w:tcW w:w="74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Delaware</w:t>
            </w:r>
          </w:p>
        </w:tc>
      </w:tr>
      <w:tr>
        <w:trPr>
          <w:trHeight w:val="27"/>
        </w:trPr>
        <w:tc>
          <w:tcPr>
            <w:tcW w:w="39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consent to the incorporation by reference in Registration Statement No. 333-220949 on Form S-8 and Registration Statement No. 333-227641 on Form S-3 of our reports dated February 20, 2020, relating to the consolidated financial statements and financial statement schedules of VICI Properties Inc. and subsidiaries, and the effectiveness of VICI Properties Inc. and subsidiaries’ internal control over financial reporting, appearing in this Annual Report on Form 10-K of VICI Properties Inc. and subsidiaries for the year ended December 31,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20, 2020</w:t>
      </w:r>
    </w:p>
    <w:p>
      <w:pPr>
        <w:sectPr>
          <w:pgSz w:w="11900" w:h="16838" w:orient="portrait"/>
          <w:cols w:equalWidth="0" w:num="1">
            <w:col w:w="11420"/>
          </w:cols>
          <w:pgMar w:left="240" w:top="549"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consent to the incorporation by reference in Registration Statement No. 333-220949 on Form S-8 and Registration Statement No. 333-227641 on Form S-3 of our report dated March 28, 2018, relating to the combined financial statements of Caesars Entertainment Outdoor appearing in this Annual Report on Form 10-K of VICI Properties Inc. and subsidiaries for the year ended December 31, 2019.</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20, 2020</w:t>
      </w:r>
    </w:p>
    <w:p>
      <w:pPr>
        <w:sectPr>
          <w:pgSz w:w="11900" w:h="16838" w:orient="portrait"/>
          <w:cols w:equalWidth="0" w:num="1">
            <w:col w:w="11420"/>
          </w:cols>
          <w:pgMar w:left="240" w:top="549"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2019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2019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2"/>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1)"/>
      <w:numFmt w:val="decimal"/>
      <w:start w:val="1"/>
    </w:lvl>
  </w:abstractNum>
  <w:abstractNum w:abstractNumId="10">
    <w:nsid w:val="275AC794"/>
    <w:multiLevelType w:val="hybridMultilevel"/>
    <w:lvl w:ilvl="0">
      <w:lvlJc w:val="left"/>
      <w:lvlText w:val="(%1)"/>
      <w:numFmt w:val="lowerLetter"/>
      <w:start w:val="25"/>
    </w:lvl>
  </w:abstractNum>
  <w:abstractNum w:abstractNumId="11">
    <w:nsid w:val="39386575"/>
    <w:multiLevelType w:val="hybridMultilevel"/>
    <w:lvl w:ilvl="0">
      <w:lvlJc w:val="left"/>
      <w:lvlText w:val="(%1)"/>
      <w:numFmt w:val="lowerLetter"/>
      <w:start w:val="3"/>
    </w:lvl>
  </w:abstractNum>
  <w:abstractNum w:abstractNumId="12">
    <w:nsid w:val="1CF10FD8"/>
    <w:multiLevelType w:val="hybridMultilevel"/>
    <w:lvl w:ilvl="0">
      <w:lvlJc w:val="left"/>
      <w:lvlText w:val="(%1)"/>
      <w:numFmt w:val="lowerRoman"/>
      <w:start w:val="7"/>
    </w:lvl>
  </w:abstractNum>
  <w:abstractNum w:abstractNumId="13">
    <w:nsid w:val="180115BE"/>
    <w:multiLevelType w:val="hybridMultilevel"/>
    <w:lvl w:ilvl="0">
      <w:lvlJc w:val="left"/>
      <w:lvlText w:val="(%1)"/>
      <w:numFmt w:val="lowerRoman"/>
      <w:start w:val="3"/>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decimal"/>
      <w:start w:val="646"/>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lowerRoman"/>
      <w:start w:val="2"/>
    </w:lvl>
  </w:abstractNum>
  <w:abstractNum w:abstractNumId="24">
    <w:nsid w:val="77AE35EB"/>
    <w:multiLevelType w:val="hybridMultilevel"/>
    <w:lvl w:ilvl="0">
      <w:lvlJc w:val="left"/>
      <w:lvlText w:val="(%1)"/>
      <w:numFmt w:val="lowerLetter"/>
      <w:start w:val="2"/>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lvl w:ilvl="1">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3"/>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
      <w:numFmt w:val="bullet"/>
      <w:start w:val="1"/>
    </w:lvl>
    <w:lvl w:ilvl="1">
      <w:lvlJc w:val="left"/>
      <w:lvlText w:val="%2"/>
      <w:numFmt w:val="decimal"/>
      <w:start w:val="104"/>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lvl w:ilvl="1">
      <w:lvlJc w:val="left"/>
      <w:lvlText w:val="•"/>
      <w:numFmt w:val="bullet"/>
      <w:start w:val="1"/>
    </w:lvl>
  </w:abstractNum>
  <w:abstractNum w:abstractNumId="50">
    <w:nsid w:val="613EFDC5"/>
    <w:multiLevelType w:val="hybridMultilevel"/>
    <w:lvl w:ilvl="0">
      <w:lvlJc w:val="left"/>
      <w:lvlText w:val="(%1)"/>
      <w:numFmt w:val="lowerRoman"/>
      <w:start w:val="2"/>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2"/>
    </w:lvl>
  </w:abstractNum>
  <w:abstractNum w:abstractNumId="56">
    <w:nsid w:val="1A32234B"/>
    <w:multiLevelType w:val="hybridMultilevel"/>
    <w:lvl w:ilvl="0">
      <w:lvlJc w:val="left"/>
      <w:lvlText w:val="(%1)"/>
      <w:numFmt w:val="decimal"/>
      <w:start w:val="2"/>
    </w:lvl>
  </w:abstractNum>
  <w:abstractNum w:abstractNumId="57">
    <w:nsid w:val="3B0FD379"/>
    <w:multiLevelType w:val="hybridMultilevel"/>
    <w:lvl w:ilvl="0">
      <w:lvlJc w:val="left"/>
      <w:lvlText w:val="(%1)"/>
      <w:numFmt w:val="decimal"/>
      <w:start w:val="2"/>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lowerRoman"/>
      <w:start w:val="2"/>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1."/>
      <w:numFmt w:val="decimal"/>
      <w:start w:val="2"/>
    </w:lvl>
  </w:abstractNum>
  <w:abstractNum w:abstractNumId="72">
    <w:nsid w:val="76272110"/>
    <w:multiLevelType w:val="hybridMultilevel"/>
    <w:lvl w:ilvl="0">
      <w:lvlJc w:val="left"/>
      <w:lvlText w:val="%1."/>
      <w:numFmt w:val="decimal"/>
      <w:start w:val="3"/>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upperLetter"/>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3"/>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3"/>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3"/>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3"/>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5"/>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5"/>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lowerRoman"/>
      <w:start w:val="1"/>
    </w:lvl>
  </w:abstractNum>
  <w:abstractNum w:abstractNumId="100">
    <w:nsid w:val="5F3534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5" Type="http://schemas.openxmlformats.org/officeDocument/2006/relationships/image" Target="media/image17.png"/><Relationship Id="rId89" Type="http://schemas.openxmlformats.org/officeDocument/2006/relationships/image" Target="media/image18.png"/><Relationship Id="rId90" Type="http://schemas.openxmlformats.org/officeDocument/2006/relationships/image" Target="media/image19.png"/><Relationship Id="rId91" Type="http://schemas.openxmlformats.org/officeDocument/2006/relationships/image" Target="media/image20.png"/><Relationship Id="rId92" Type="http://schemas.openxmlformats.org/officeDocument/2006/relationships/image" Target="media/image21.png"/><Relationship Id="rId93" Type="http://schemas.openxmlformats.org/officeDocument/2006/relationships/image" Target="media/image22.png"/><Relationship Id="rId94" Type="http://schemas.openxmlformats.org/officeDocument/2006/relationships/image" Target="media/image23.png"/><Relationship Id="rId95" Type="http://schemas.openxmlformats.org/officeDocument/2006/relationships/image" Target="media/image24.png"/><Relationship Id="rId96" Type="http://schemas.openxmlformats.org/officeDocument/2006/relationships/image" Target="media/image25.png"/><Relationship Id="rId97" Type="http://schemas.openxmlformats.org/officeDocument/2006/relationships/image" Target="media/image26.png"/><Relationship Id="rId98" Type="http://schemas.openxmlformats.org/officeDocument/2006/relationships/image" Target="media/image27.png"/><Relationship Id="rId99" Type="http://schemas.openxmlformats.org/officeDocument/2006/relationships/image" Target="media/image28.png"/><Relationship Id="rId100" Type="http://schemas.openxmlformats.org/officeDocument/2006/relationships/image" Target="media/image29.png"/><Relationship Id="rId101" Type="http://schemas.openxmlformats.org/officeDocument/2006/relationships/image" Target="media/image30.png"/><Relationship Id="rId102" Type="http://schemas.openxmlformats.org/officeDocument/2006/relationships/image" Target="media/image31.png"/><Relationship Id="rId103" Type="http://schemas.openxmlformats.org/officeDocument/2006/relationships/image" Target="media/image32.png"/><Relationship Id="rId104" Type="http://schemas.openxmlformats.org/officeDocument/2006/relationships/image" Target="media/image33.png"/><Relationship Id="rId105" Type="http://schemas.openxmlformats.org/officeDocument/2006/relationships/image" Target="media/image34.png"/><Relationship Id="rId106" Type="http://schemas.openxmlformats.org/officeDocument/2006/relationships/image" Target="media/image35.png"/><Relationship Id="rId107" Type="http://schemas.openxmlformats.org/officeDocument/2006/relationships/image" Target="media/image36.png"/><Relationship Id="rId108" Type="http://schemas.openxmlformats.org/officeDocument/2006/relationships/image" Target="media/image37.png"/><Relationship Id="rId109" Type="http://schemas.openxmlformats.org/officeDocument/2006/relationships/image" Target="media/image38.png"/><Relationship Id="rId110" Type="http://schemas.openxmlformats.org/officeDocument/2006/relationships/image" Target="media/image39.png"/><Relationship Id="rId111" Type="http://schemas.openxmlformats.org/officeDocument/2006/relationships/image" Target="media/image40.png"/><Relationship Id="rId112" Type="http://schemas.openxmlformats.org/officeDocument/2006/relationships/image" Target="media/image41.png"/><Relationship Id="rId113" Type="http://schemas.openxmlformats.org/officeDocument/2006/relationships/image" Target="media/image42.png"/><Relationship Id="rId114" Type="http://schemas.openxmlformats.org/officeDocument/2006/relationships/image" Target="media/image43.png"/><Relationship Id="rId115" Type="http://schemas.openxmlformats.org/officeDocument/2006/relationships/image" Target="media/image44.png"/><Relationship Id="rId116" Type="http://schemas.openxmlformats.org/officeDocument/2006/relationships/image" Target="media/image45.png"/><Relationship Id="rId117" Type="http://schemas.openxmlformats.org/officeDocument/2006/relationships/image" Target="media/image46.png"/><Relationship Id="rId118" Type="http://schemas.openxmlformats.org/officeDocument/2006/relationships/image" Target="media/image47.png"/><Relationship Id="rId119" Type="http://schemas.openxmlformats.org/officeDocument/2006/relationships/image" Target="media/image48.png"/><Relationship Id="rId120" Type="http://schemas.openxmlformats.org/officeDocument/2006/relationships/image" Target="media/image49.png"/><Relationship Id="rId121" Type="http://schemas.openxmlformats.org/officeDocument/2006/relationships/image" Target="media/image50.png"/><Relationship Id="rId122" Type="http://schemas.openxmlformats.org/officeDocument/2006/relationships/image" Target="media/image51.png"/><Relationship Id="rId123" Type="http://schemas.openxmlformats.org/officeDocument/2006/relationships/image" Target="media/image52.png"/><Relationship Id="rId124" Type="http://schemas.openxmlformats.org/officeDocument/2006/relationships/image" Target="media/image53.png"/><Relationship Id="rId125" Type="http://schemas.openxmlformats.org/officeDocument/2006/relationships/image" Target="media/image54.png"/><Relationship Id="rId126" Type="http://schemas.openxmlformats.org/officeDocument/2006/relationships/image" Target="media/image55.png"/><Relationship Id="rId127" Type="http://schemas.openxmlformats.org/officeDocument/2006/relationships/image" Target="media/image56.png"/><Relationship Id="rId128"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pn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141" Type="http://schemas.openxmlformats.org/officeDocument/2006/relationships/image" Target="media/image70.png"/><Relationship Id="rId142" Type="http://schemas.openxmlformats.org/officeDocument/2006/relationships/image" Target="media/image71.png"/><Relationship Id="rId143" Type="http://schemas.openxmlformats.org/officeDocument/2006/relationships/image" Target="media/image72.png"/><Relationship Id="rId24" Type="http://schemas.openxmlformats.org/officeDocument/2006/relationships/hyperlink" Target="http://www.sec.gov/Archives/edgar/data/1705696/000170569619000064/vici201810-k.htm#s21070727F9A95E2E9ED622D3876C6282" TargetMode="External"/><Relationship Id="rId26" Type="http://schemas.openxmlformats.org/officeDocument/2006/relationships/hyperlink" Target="http://www.sec.gov/Archives/edgar/data/1678179/000119312517255745/d428782dex99t3e2.htm" TargetMode="External"/><Relationship Id="rId27" Type="http://schemas.openxmlformats.org/officeDocument/2006/relationships/hyperlink" Target="http://www.sec.gov/Archives/edgar/data/1705696/000119312517307477/d470550dex21.htm" TargetMode="External"/><Relationship Id="rId28" Type="http://schemas.openxmlformats.org/officeDocument/2006/relationships/hyperlink" Target="http://www.sec.gov/Archives/edgar/data/1705696/000119312518216456/d477228dex22.htm" TargetMode="External"/><Relationship Id="rId29" Type="http://schemas.openxmlformats.org/officeDocument/2006/relationships/hyperlink" Target="http://www.sec.gov/Archives/edgar/data/1705696/000119312519254800/d788497dex21.htm" TargetMode="External"/><Relationship Id="rId30" Type="http://schemas.openxmlformats.org/officeDocument/2006/relationships/hyperlink" Target="http://www.sec.gov/Archives/edgar/data/1705696/000119312519254800/d788497dex22.htm" TargetMode="External"/><Relationship Id="rId31" Type="http://schemas.openxmlformats.org/officeDocument/2006/relationships/hyperlink" Target="http://www.sec.gov/Archives/edgar/data/1705696/000170569619000145/exhibit21nolapurchasea.htm" TargetMode="External"/><Relationship Id="rId32" Type="http://schemas.openxmlformats.org/officeDocument/2006/relationships/hyperlink" Target="http://www.sec.gov/Archives/edgar/data/1705696/000170569619000145/exhibit22acpurchaseagr.htm" TargetMode="External"/><Relationship Id="rId33" Type="http://schemas.openxmlformats.org/officeDocument/2006/relationships/hyperlink" Target="http://www.sec.gov/Archives/edgar/data/1705696/000170569619000145/exhibit23laughlinpurch.htm" TargetMode="External"/><Relationship Id="rId34" Type="http://schemas.openxmlformats.org/officeDocument/2006/relationships/hyperlink" Target="http://www.sec.gov/Archives/edgar/data/1705696/000119312517307477/d470550dex31.htm" TargetMode="External"/><Relationship Id="rId35" Type="http://schemas.openxmlformats.org/officeDocument/2006/relationships/hyperlink" Target="http://www.sec.gov/Archives/edgar/data/1705696/000119312517307477/d470550dex32.htm" TargetMode="External"/><Relationship Id="rId36" Type="http://schemas.openxmlformats.org/officeDocument/2006/relationships/hyperlink" Target="http://www.sec.gov/Archives/edgar/data/1705696/000119312517307477/d470550dex42.htm" TargetMode="External"/><Relationship Id="rId37" Type="http://schemas.openxmlformats.org/officeDocument/2006/relationships/hyperlink" Target="http://www.sec.gov/Archives/edgar/data/1705696/000170569619000064/exhibit42supplementali.htm" TargetMode="External"/><Relationship Id="rId38" Type="http://schemas.openxmlformats.org/officeDocument/2006/relationships/hyperlink" Target="http://www.sec.gov/Archives/edgar/data/1705696/000170569619000064/exhibit43vicisupplemen.htm" TargetMode="External"/><Relationship Id="rId39" Type="http://schemas.openxmlformats.org/officeDocument/2006/relationships/hyperlink" Target="http://www.sec.gov/Archives/edgar/data/1705696/000170569618000057/ex41-supplemental_indenture.htm" TargetMode="External"/><Relationship Id="rId40" Type="http://schemas.openxmlformats.org/officeDocument/2006/relationships/hyperlink" Target="http://www.sec.gov/Archives/edgar/data/1705696/000170569619000172/vici-20192026noteofferingx.htm" TargetMode="External"/><Relationship Id="rId41" Type="http://schemas.openxmlformats.org/officeDocument/2006/relationships/hyperlink" Target="http://www.sec.gov/Archives/edgar/data/1705696/000170569619000172/vici-20192029noteofferingx.htm" TargetMode="External"/><Relationship Id="rId42" Type="http://schemas.openxmlformats.org/officeDocument/2006/relationships/hyperlink" Target="http://www.sec.gov/Archives/edgar/data/1705696/000119312517307477/d470550dex101.htm" TargetMode="External"/><Relationship Id="rId43" Type="http://schemas.openxmlformats.org/officeDocument/2006/relationships/hyperlink" Target="http://www.sec.gov/Archives/edgar/data/1705696/000170569618000108/exh_101xconformedxexecuted.htm" TargetMode="External"/><Relationship Id="rId44" Type="http://schemas.openxmlformats.org/officeDocument/2006/relationships/hyperlink" Target="http://www.sec.gov/Archives/edgar/data/1705696/000119312517307477/d470550dex102.htm" TargetMode="External"/><Relationship Id="rId45" Type="http://schemas.openxmlformats.org/officeDocument/2006/relationships/hyperlink" Target="http://www.sec.gov/Archives/edgar/data/1705696/000170569618000018/ex1040vici10-ka.htm" TargetMode="External"/><Relationship Id="rId46" Type="http://schemas.openxmlformats.org/officeDocument/2006/relationships/hyperlink" Target="http://www.sec.gov/Archives/edgar/data/1705696/000170569618000025/viciq12018exh101.htm" TargetMode="External"/><Relationship Id="rId47" Type="http://schemas.openxmlformats.org/officeDocument/2006/relationships/hyperlink" Target="http://www.sec.gov/Archives/edgar/data/1705696/000170569618000025/viciq12018exh102.htm" TargetMode="External"/><Relationship Id="rId48" Type="http://schemas.openxmlformats.org/officeDocument/2006/relationships/hyperlink" Target="http://www.sec.gov/Archives/edgar/data/1705696/000170569618000108/exh_10x2xexecutedxredacted.htm" TargetMode="External"/><Relationship Id="rId49" Type="http://schemas.openxmlformats.org/officeDocument/2006/relationships/hyperlink" Target="http://www.sec.gov/Archives/edgar/data/1705696/000119312517307477/d470550dex103.htm" TargetMode="External"/><Relationship Id="rId50" Type="http://schemas.openxmlformats.org/officeDocument/2006/relationships/hyperlink" Target="http://www.sec.gov/Archives/edgar/data/1705696/000170569618000108/exh_10x3xexecutedxredacted.htm" TargetMode="External"/><Relationship Id="rId51" Type="http://schemas.openxmlformats.org/officeDocument/2006/relationships/hyperlink" Target="http://www.sec.gov/Archives/edgar/data/1705696/000119312517307477/d470550dex104.htm" TargetMode="External"/><Relationship Id="rId52" Type="http://schemas.openxmlformats.org/officeDocument/2006/relationships/hyperlink" Target="http://www.sec.gov/Archives/edgar/data/1705696/000170569618000025/viciq12018exh103.htm" TargetMode="External"/><Relationship Id="rId53" Type="http://schemas.openxmlformats.org/officeDocument/2006/relationships/hyperlink" Target="http://www.sec.gov/Archives/edgar/data/1705696/000119312517307477/d470550dex105.htm" TargetMode="External"/><Relationship Id="rId54" Type="http://schemas.openxmlformats.org/officeDocument/2006/relationships/hyperlink" Target="http://www.sec.gov/Archives/edgar/data/1705696/000170569618000108/exh_10x5xexecutedxcplvxmlsa.htm" TargetMode="External"/><Relationship Id="rId55" Type="http://schemas.openxmlformats.org/officeDocument/2006/relationships/hyperlink" Target="http://www.sec.gov/Archives/edgar/data/1705696/000119312517307477/d470550dex106.htm" TargetMode="External"/><Relationship Id="rId56" Type="http://schemas.openxmlformats.org/officeDocument/2006/relationships/hyperlink" Target="http://www.sec.gov/Archives/edgar/data/1705696/000170569618000108/exh_10x6xexecutedxnonxcplv.htm" TargetMode="External"/><Relationship Id="rId57" Type="http://schemas.openxmlformats.org/officeDocument/2006/relationships/hyperlink" Target="http://www.sec.gov/Archives/edgar/data/1705696/000119312517307477/d470550dex107.htm" TargetMode="External"/><Relationship Id="rId58" Type="http://schemas.openxmlformats.org/officeDocument/2006/relationships/hyperlink" Target="http://www.sec.gov/Archives/edgar/data/1705696/000170569618000108/exh_10x7xexecutedxjolietxm.htm" TargetMode="External"/><Relationship Id="rId59" Type="http://schemas.openxmlformats.org/officeDocument/2006/relationships/hyperlink" Target="http://www.sec.gov/Archives/edgar/data/1705696/000119312517307477/d470550dex109.htm" TargetMode="External"/><Relationship Id="rId60" Type="http://schemas.openxmlformats.org/officeDocument/2006/relationships/hyperlink" Target="http://www.sec.gov/Archives/edgar/data/1705696/000119312517307477/d470550dex1010.htm" TargetMode="External"/><Relationship Id="rId61" Type="http://schemas.openxmlformats.org/officeDocument/2006/relationships/hyperlink" Target="http://www.sec.gov/Archives/edgar/data/1705696/000119312517307477/d470550dex1011.htm" TargetMode="External"/><Relationship Id="rId62" Type="http://schemas.openxmlformats.org/officeDocument/2006/relationships/hyperlink" Target="http://www.sec.gov/Archives/edgar/data/1705696/000119312517307477/d470550dex1012.htm" TargetMode="External"/><Relationship Id="rId63" Type="http://schemas.openxmlformats.org/officeDocument/2006/relationships/hyperlink" Target="http://www.sec.gov/Archives/edgar/data/1705696/000170569619000113/arcreditagreementedgar.htm" TargetMode="External"/><Relationship Id="rId64" Type="http://schemas.openxmlformats.org/officeDocument/2006/relationships/hyperlink" Target="http://www.sec.gov/Archives/edgar/data/1705696/000119312517307477/d470550dex1021.htm" TargetMode="External"/><Relationship Id="rId65" Type="http://schemas.openxmlformats.org/officeDocument/2006/relationships/hyperlink" Target="http://www.sec.gov/Archives/edgar/data/1705696/000119312517307477/d470550dex1022.htm" TargetMode="External"/><Relationship Id="rId66" Type="http://schemas.openxmlformats.org/officeDocument/2006/relationships/hyperlink" Target="http://www.sec.gov/Archives/edgar/data/1705696/000170569619000119/exhibit102.htm" TargetMode="External"/><Relationship Id="rId67" Type="http://schemas.openxmlformats.org/officeDocument/2006/relationships/hyperlink" Target="http://www.sec.gov/Archives/edgar/data/1705696/000119312517307477/d470550dex1023.htm" TargetMode="External"/><Relationship Id="rId68" Type="http://schemas.openxmlformats.org/officeDocument/2006/relationships/hyperlink" Target="http://www.sec.gov/Archives/edgar/data/1705696/000119312517297902/d392523dex1020.htm" TargetMode="External"/><Relationship Id="rId69" Type="http://schemas.openxmlformats.org/officeDocument/2006/relationships/hyperlink" Target="http://www.sec.gov/Archives/edgar/data/1705696/000119312519256140/d808587dex101.htm" TargetMode="External"/><Relationship Id="rId70" Type="http://schemas.openxmlformats.org/officeDocument/2006/relationships/hyperlink" Target="http://www.sec.gov/Archives/edgar/data/1705696/000119312519256140/d808587dex102.htm" TargetMode="External"/><Relationship Id="rId71" Type="http://schemas.openxmlformats.org/officeDocument/2006/relationships/hyperlink" Target="http://www.sec.gov/Archives/edgar/data/1705696/000119312519256140/d808587dex103.htm" TargetMode="External"/><Relationship Id="rId72" Type="http://schemas.openxmlformats.org/officeDocument/2006/relationships/hyperlink" Target="http://www.sec.gov/Archives/edgar/data/1705696/000119312519256140/d808587dex104.htm" TargetMode="External"/><Relationship Id="rId73" Type="http://schemas.openxmlformats.org/officeDocument/2006/relationships/hyperlink" Target="http://www.sec.gov/Archives/edgar/data/1705696/000119312517307477/d470550dex1028.htm" TargetMode="External"/><Relationship Id="rId74" Type="http://schemas.openxmlformats.org/officeDocument/2006/relationships/hyperlink" Target="http://www.sec.gov/Archives/edgar/data/1705696/000170569619000064/exhibit1052amendmentno.htm" TargetMode="External"/><Relationship Id="rId75" Type="http://schemas.openxmlformats.org/officeDocument/2006/relationships/hyperlink" Target="http://www.sec.gov/Archives/edgar/data/1705696/000170569618000108/exh_10x11xexecutedxrofrxam.htm" TargetMode="External"/><Relationship Id="rId76" Type="http://schemas.openxmlformats.org/officeDocument/2006/relationships/hyperlink" Target="http://www.sec.gov/Archives/edgar/data/1705696/000119312518011685/d496153dex1036.htm" TargetMode="External"/><Relationship Id="rId77" Type="http://schemas.openxmlformats.org/officeDocument/2006/relationships/hyperlink" Target="http://www.sec.gov/Archives/edgar/data/1705696/000119312518011685/d496153dex1037.htm" TargetMode="External"/><Relationship Id="rId78" Type="http://schemas.openxmlformats.org/officeDocument/2006/relationships/hyperlink" Target="http://www.sec.gov/Archives/edgar/data/1705696/000170569618000108/exh_10x4xexecutedxfirstxam.htm" TargetMode="External"/><Relationship Id="rId79" Type="http://schemas.openxmlformats.org/officeDocument/2006/relationships/hyperlink" Target="http://www.sec.gov/Archives/edgar/data/1705696/000119312518011685/d496153dex1038.htm" TargetMode="External"/><Relationship Id="rId80" Type="http://schemas.openxmlformats.org/officeDocument/2006/relationships/hyperlink" Target="http://www.sec.gov/Archives/edgar/data/1705696/000170569619000119/mastertransactionagree.htm" TargetMode="External"/><Relationship Id="rId81" Type="http://schemas.openxmlformats.org/officeDocument/2006/relationships/hyperlink" Target="http://www.sec.gov/Archives/edgar/data/1705696/000170569619000121/ex12bamlconfirm.htm" TargetMode="External"/><Relationship Id="rId82" Type="http://schemas.openxmlformats.org/officeDocument/2006/relationships/hyperlink" Target="http://www.sec.gov/Archives/edgar/data/1705696/000170569619000121/ex13dbconfirm.htm" TargetMode="External"/><Relationship Id="rId83" Type="http://schemas.openxmlformats.org/officeDocument/2006/relationships/hyperlink" Target="http://www.sec.gov/Archives/edgar/data/1705696/000170569619000121/ex14gsconfirm.htm" TargetMode="External"/><Relationship Id="rId84" Type="http://schemas.openxmlformats.org/officeDocument/2006/relationships/hyperlink" Target="http://www.sec.gov/Archives/edgar/data/1705696/000170569619000121/ex15msconfirm.htm" TargetMode="External"/><Relationship Id="rId85" Type="http://schemas.openxmlformats.org/officeDocument/2006/relationships/hyperlink" Target="http://www.sec.gov/Archives/edgar/data/1705696/000170569620000020/cleveland-equitypurcha.htm" TargetMode="External"/><Relationship Id="rId86" Type="http://schemas.openxmlformats.org/officeDocument/2006/relationships/hyperlink" Target="http://www.sec.gov/Archives/edgar/data/1705696/000170569618000015/vici10kexhibit1039.htm" TargetMode="External"/><Relationship Id="rId87" Type="http://schemas.openxmlformats.org/officeDocument/2006/relationships/hyperlink" Target="http://www.sec.gov/Archives/edgar/data/1705696/000170569618000045/exhibit101restricted_stock.htm" TargetMode="External"/><Relationship Id="rId88" Type="http://schemas.openxmlformats.org/officeDocument/2006/relationships/hyperlink" Target="http://www.sec.gov/Archives/edgar/data/1705696/000170569618000045/exhibit102-vici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2020-02-20T15:56:40Z</dcterms:created>
  <dcterms:modified xsi:type="dcterms:W3CDTF">2020-02-20T15:56:40Z</dcterms:modified>
</cp:coreProperties>
</file>