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jc w:val="both"/>
        <w:rPr/>
      </w:pPr>
      <w:hyperlink w:anchor="s7181E430E8A9506B896277AC8CF177C4">
        <w:bookmarkStart w:id="0" w:name="sE4785D6D98B75FB283B80329D322653B"/>
        <w:bookmarkStart w:id="1" w:name="viciq1201910-q.htm"/>
        <w:bookmarkStart w:id="2" w:name="ksviciq1201910q"/>
        <w:bookmarkEnd w:id="0"/>
        <w:bookmarkEnd w:id="1"/>
        <w:bookmarkEnd w:id="2"/>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center"/>
        <w:rPr>
          <w:rFonts w:ascii="inherit" w:hAnsi="inherit"/>
          <w:b/>
          <w:sz w:val="20"/>
        </w:rPr>
      </w:pPr>
      <w:r>
        <w:rPr>
          <w:rFonts w:ascii="inherit" w:hAnsi="inherit"/>
          <w:b/>
          <w:sz w:val="20"/>
        </w:rPr>
        <w:t>UNITED STATES</w:t>
      </w:r>
    </w:p>
    <w:p>
      <w:pPr>
        <w:pStyle w:val="TextBody"/>
        <w:spacing w:lineRule="auto" w:line="288" w:before="0" w:after="0"/>
        <w:jc w:val="center"/>
        <w:rPr>
          <w:rFonts w:ascii="inherit" w:hAnsi="inherit"/>
          <w:b/>
          <w:sz w:val="20"/>
        </w:rPr>
      </w:pPr>
      <w:r>
        <w:rPr>
          <w:rFonts w:ascii="inherit" w:hAnsi="inherit"/>
          <w:b/>
          <w:sz w:val="20"/>
        </w:rPr>
        <w:t>SECURITIES AND EXCHANGE COMMISSION</w:t>
      </w:r>
    </w:p>
    <w:p>
      <w:pPr>
        <w:pStyle w:val="TextBody"/>
        <w:spacing w:lineRule="auto" w:line="288" w:before="0" w:after="0"/>
        <w:jc w:val="center"/>
        <w:rPr>
          <w:rFonts w:ascii="inherit" w:hAnsi="inherit"/>
          <w:b/>
          <w:sz w:val="17"/>
        </w:rPr>
      </w:pPr>
      <w:r>
        <w:rPr>
          <w:rFonts w:ascii="inherit" w:hAnsi="inherit"/>
          <w:b/>
          <w:sz w:val="17"/>
        </w:rPr>
        <w:t>Washington, D.C. 20549</w:t>
      </w:r>
    </w:p>
    <w:p>
      <w:pPr>
        <w:pStyle w:val="TextBody"/>
        <w:spacing w:lineRule="auto" w:line="288" w:before="0" w:after="0"/>
        <w:jc w:val="center"/>
        <w:rPr>
          <w:rFonts w:ascii="inherit" w:hAnsi="inherit"/>
          <w:sz w:val="17"/>
        </w:rPr>
      </w:pPr>
      <w:r>
        <w:rPr>
          <w:rFonts w:ascii="inherit" w:hAnsi="inherit"/>
          <w:sz w:val="17"/>
        </w:rPr>
        <w:t>________________________</w:t>
      </w:r>
    </w:p>
    <w:p>
      <w:pPr>
        <w:pStyle w:val="TextBody"/>
        <w:spacing w:lineRule="auto" w:line="288" w:before="0" w:after="0"/>
        <w:jc w:val="center"/>
        <w:rPr>
          <w:sz w:val="23"/>
        </w:rPr>
      </w:pPr>
      <w:r>
        <w:rPr>
          <w:rFonts w:ascii="inherit" w:hAnsi="inherit"/>
          <w:b/>
          <w:sz w:val="23"/>
        </w:rPr>
        <w:t xml:space="preserve">FORM </w:t>
      </w:r>
      <w:r>
        <w:rPr>
          <w:b/>
          <w:sz w:val="23"/>
        </w:rPr>
        <w:t>10-Q</w:t>
      </w:r>
      <w:r>
        <w:rPr>
          <w:sz w:val="23"/>
        </w:rPr>
        <w:t xml:space="preserve"> </w:t>
      </w:r>
    </w:p>
    <w:p>
      <w:pPr>
        <w:pStyle w:val="TextBody"/>
        <w:spacing w:lineRule="auto" w:line="288" w:before="0" w:after="0"/>
        <w:jc w:val="center"/>
        <w:rPr>
          <w:rFonts w:ascii="inherit" w:hAnsi="inherit"/>
          <w:sz w:val="17"/>
        </w:rPr>
      </w:pPr>
      <w:r>
        <w:rPr>
          <w:rFonts w:ascii="inherit" w:hAnsi="inherit"/>
          <w:sz w:val="17"/>
        </w:rPr>
        <w:t>________________________</w:t>
      </w:r>
    </w:p>
    <w:tbl>
      <w:tblPr>
        <w:tblW w:w="8830" w:type="dxa"/>
        <w:jc w:val="center"/>
        <w:tblInd w:w="0" w:type="dxa"/>
        <w:tblCellMar>
          <w:top w:w="0" w:type="dxa"/>
          <w:left w:w="0" w:type="dxa"/>
          <w:bottom w:w="0" w:type="dxa"/>
          <w:right w:w="0" w:type="dxa"/>
        </w:tblCellMar>
      </w:tblPr>
      <w:tblGrid>
        <w:gridCol w:w="170"/>
        <w:gridCol w:w="8660"/>
      </w:tblGrid>
      <w:tr>
        <w:trPr/>
        <w:tc>
          <w:tcPr>
            <w:tcW w:w="8830" w:type="dxa"/>
            <w:gridSpan w:val="2"/>
            <w:tcBorders/>
            <w:shd w:fill="auto" w:val="clear"/>
            <w:vAlign w:val="center"/>
          </w:tcPr>
          <w:p>
            <w:pPr>
              <w:pStyle w:val="TableContents"/>
              <w:spacing w:before="0" w:after="283"/>
              <w:rPr>
                <w:sz w:val="4"/>
                <w:szCs w:val="4"/>
              </w:rPr>
            </w:pPr>
            <w:r>
              <w:rPr>
                <w:sz w:val="4"/>
                <w:szCs w:val="4"/>
              </w:rPr>
            </w:r>
          </w:p>
        </w:tc>
      </w:tr>
      <w:tr>
        <w:trPr/>
        <w:tc>
          <w:tcPr>
            <w:tcW w:w="170" w:type="dxa"/>
            <w:tcBorders/>
            <w:shd w:fill="auto" w:val="clear"/>
            <w:vAlign w:val="center"/>
          </w:tcPr>
          <w:p>
            <w:pPr>
              <w:pStyle w:val="TableContents"/>
              <w:spacing w:before="0" w:after="283"/>
              <w:rPr>
                <w:sz w:val="4"/>
                <w:szCs w:val="4"/>
              </w:rPr>
            </w:pPr>
            <w:r>
              <w:rPr>
                <w:sz w:val="4"/>
                <w:szCs w:val="4"/>
              </w:rPr>
            </w:r>
          </w:p>
        </w:tc>
        <w:tc>
          <w:tcPr>
            <w:tcW w:w="866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0"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x</w:t>
            </w:r>
          </w:p>
        </w:tc>
        <w:tc>
          <w:tcPr>
            <w:tcW w:w="8660" w:type="dxa"/>
            <w:tcBorders/>
            <w:shd w:fill="auto" w:val="clear"/>
            <w:vAlign w:val="center"/>
          </w:tcPr>
          <w:p>
            <w:pPr>
              <w:pStyle w:val="TableContents"/>
              <w:spacing w:before="0" w:after="0"/>
              <w:jc w:val="left"/>
              <w:rPr>
                <w:rFonts w:ascii="inherit" w:hAnsi="inherit"/>
                <w:b/>
                <w:sz w:val="15"/>
              </w:rPr>
            </w:pPr>
            <w:r>
              <w:rPr>
                <w:rFonts w:ascii="inherit" w:hAnsi="inherit"/>
                <w:b/>
                <w:sz w:val="15"/>
              </w:rPr>
              <w:t>QUARTERLY REPORT PURSUANT TO SECTION 13 OR 15(d) OF THE SECURITIES EXCHANGE ACT OF 1934</w:t>
            </w:r>
          </w:p>
        </w:tc>
      </w:tr>
    </w:tbl>
    <w:p>
      <w:pPr>
        <w:pStyle w:val="TextBody"/>
        <w:spacing w:lineRule="auto" w:line="288" w:before="0" w:after="0"/>
        <w:jc w:val="center"/>
        <w:rPr>
          <w:rFonts w:ascii="inherit" w:hAnsi="inherit"/>
          <w:b/>
          <w:sz w:val="15"/>
        </w:rPr>
      </w:pPr>
      <w:r>
        <w:rPr>
          <w:rFonts w:ascii="inherit" w:hAnsi="inherit"/>
          <w:b/>
          <w:sz w:val="15"/>
        </w:rPr>
        <w:t>For the Quarterly Period Ended March 31, 2019</w:t>
      </w:r>
    </w:p>
    <w:p>
      <w:pPr>
        <w:pStyle w:val="TextBody"/>
        <w:spacing w:lineRule="auto" w:line="288" w:before="0" w:after="0"/>
        <w:jc w:val="center"/>
        <w:rPr>
          <w:rFonts w:ascii="inherit" w:hAnsi="inherit"/>
          <w:b/>
          <w:sz w:val="15"/>
        </w:rPr>
      </w:pPr>
      <w:r>
        <w:rPr>
          <w:rFonts w:ascii="inherit" w:hAnsi="inherit"/>
          <w:b/>
          <w:sz w:val="15"/>
        </w:rPr>
        <w:t>or</w:t>
      </w:r>
    </w:p>
    <w:tbl>
      <w:tblPr>
        <w:tblW w:w="8860" w:type="dxa"/>
        <w:jc w:val="center"/>
        <w:tblInd w:w="0" w:type="dxa"/>
        <w:tblCellMar>
          <w:top w:w="0" w:type="dxa"/>
          <w:left w:w="0" w:type="dxa"/>
          <w:bottom w:w="0" w:type="dxa"/>
          <w:right w:w="0" w:type="dxa"/>
        </w:tblCellMar>
      </w:tblPr>
      <w:tblGrid>
        <w:gridCol w:w="170"/>
        <w:gridCol w:w="8690"/>
      </w:tblGrid>
      <w:tr>
        <w:trPr/>
        <w:tc>
          <w:tcPr>
            <w:tcW w:w="8860" w:type="dxa"/>
            <w:gridSpan w:val="2"/>
            <w:tcBorders/>
            <w:shd w:fill="auto" w:val="clear"/>
            <w:vAlign w:val="center"/>
          </w:tcPr>
          <w:p>
            <w:pPr>
              <w:pStyle w:val="TableContents"/>
              <w:spacing w:before="0" w:after="283"/>
              <w:rPr>
                <w:sz w:val="4"/>
                <w:szCs w:val="4"/>
              </w:rPr>
            </w:pPr>
            <w:r>
              <w:rPr>
                <w:sz w:val="4"/>
                <w:szCs w:val="4"/>
              </w:rPr>
            </w:r>
          </w:p>
        </w:tc>
      </w:tr>
      <w:tr>
        <w:trPr/>
        <w:tc>
          <w:tcPr>
            <w:tcW w:w="170" w:type="dxa"/>
            <w:tcBorders/>
            <w:shd w:fill="auto" w:val="clear"/>
            <w:vAlign w:val="center"/>
          </w:tcPr>
          <w:p>
            <w:pPr>
              <w:pStyle w:val="TableContents"/>
              <w:spacing w:before="0" w:after="283"/>
              <w:rPr>
                <w:sz w:val="4"/>
                <w:szCs w:val="4"/>
              </w:rPr>
            </w:pPr>
            <w:r>
              <w:rPr>
                <w:sz w:val="4"/>
                <w:szCs w:val="4"/>
              </w:rPr>
            </w:r>
          </w:p>
        </w:tc>
        <w:tc>
          <w:tcPr>
            <w:tcW w:w="86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0"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690" w:type="dxa"/>
            <w:tcBorders/>
            <w:shd w:fill="auto" w:val="clear"/>
            <w:vAlign w:val="center"/>
          </w:tcPr>
          <w:p>
            <w:pPr>
              <w:pStyle w:val="TableContents"/>
              <w:spacing w:before="0" w:after="0"/>
              <w:jc w:val="left"/>
              <w:rPr>
                <w:rFonts w:ascii="inherit" w:hAnsi="inherit"/>
                <w:b/>
                <w:sz w:val="15"/>
              </w:rPr>
            </w:pPr>
            <w:r>
              <w:rPr>
                <w:rFonts w:ascii="inherit" w:hAnsi="inherit"/>
                <w:b/>
                <w:sz w:val="15"/>
              </w:rPr>
              <w:t>TRANSITION REPORT PURSUANT TO SECTION 13 OR 15(d) OF THE SECURITIES EXCHANGE ACT OF 1934</w:t>
            </w:r>
          </w:p>
        </w:tc>
      </w:tr>
    </w:tbl>
    <w:p>
      <w:pPr>
        <w:pStyle w:val="TextBody"/>
        <w:spacing w:lineRule="auto" w:line="288" w:before="0" w:after="0"/>
        <w:jc w:val="center"/>
        <w:rPr>
          <w:rFonts w:ascii="inherit" w:hAnsi="inherit"/>
          <w:b/>
          <w:sz w:val="15"/>
        </w:rPr>
      </w:pPr>
      <w:r>
        <w:rPr>
          <w:rFonts w:ascii="inherit" w:hAnsi="inherit"/>
          <w:b/>
          <w:sz w:val="15"/>
        </w:rPr>
        <w:t>For the transition period from _________ to __________</w:t>
      </w:r>
    </w:p>
    <w:p>
      <w:pPr>
        <w:pStyle w:val="TextBody"/>
        <w:spacing w:lineRule="auto" w:line="288" w:before="0" w:after="0"/>
        <w:jc w:val="center"/>
        <w:rPr>
          <w:rFonts w:ascii="inherit" w:hAnsi="inherit"/>
          <w:b/>
          <w:sz w:val="17"/>
        </w:rPr>
      </w:pPr>
      <w:r>
        <w:rPr>
          <w:rFonts w:ascii="inherit" w:hAnsi="inherit"/>
          <w:b/>
          <w:sz w:val="17"/>
        </w:rPr>
        <w:t>Commission file number: 001-38372</w:t>
      </w:r>
    </w:p>
    <w:p>
      <w:pPr>
        <w:pStyle w:val="TextBody"/>
        <w:spacing w:lineRule="auto" w:line="288" w:before="0" w:after="0"/>
        <w:jc w:val="center"/>
        <w:rPr/>
      </w:pPr>
      <w:r>
        <w:rPr/>
        <w:t> </w:t>
      </w:r>
      <w:r>
        <w:rPr>
          <w:rFonts w:ascii="inherit" w:hAnsi="inherit"/>
          <w:sz w:val="17"/>
        </w:rPr>
        <w:t>_________________________</w:t>
      </w:r>
    </w:p>
    <w:p>
      <w:pPr>
        <w:pStyle w:val="TextBody"/>
        <w:spacing w:lineRule="auto" w:line="288" w:before="0" w:after="0"/>
        <w:jc w:val="center"/>
        <w:rPr>
          <w:sz w:val="33"/>
        </w:rPr>
      </w:pPr>
      <w:r>
        <w:rPr>
          <w:b/>
          <w:sz w:val="33"/>
        </w:rPr>
        <w:t>VICI Properties Inc.</w:t>
      </w:r>
      <w:r>
        <w:rPr>
          <w:sz w:val="33"/>
        </w:rPr>
        <w:t xml:space="preserve"> </w:t>
      </w:r>
    </w:p>
    <w:p>
      <w:pPr>
        <w:pStyle w:val="TextBody"/>
        <w:spacing w:lineRule="auto" w:line="288" w:before="0" w:after="0"/>
        <w:jc w:val="center"/>
        <w:rPr>
          <w:rFonts w:ascii="inherit" w:hAnsi="inherit"/>
          <w:b/>
          <w:sz w:val="15"/>
        </w:rPr>
      </w:pPr>
      <w:r>
        <w:rPr>
          <w:rFonts w:ascii="inherit" w:hAnsi="inherit"/>
          <w:b/>
          <w:sz w:val="15"/>
        </w:rPr>
        <w:t>(Exact name of registrant as specified in its charter)</w:t>
      </w:r>
    </w:p>
    <w:p>
      <w:pPr>
        <w:pStyle w:val="TextBody"/>
        <w:spacing w:lineRule="auto" w:line="288" w:before="0" w:after="0"/>
        <w:jc w:val="center"/>
        <w:rPr/>
      </w:pPr>
      <w:r>
        <w:rPr/>
        <w:t> </w:t>
      </w:r>
      <w:r>
        <w:rPr>
          <w:rFonts w:ascii="inherit" w:hAnsi="inherit"/>
          <w:sz w:val="17"/>
        </w:rPr>
        <w:t>__________________________</w:t>
      </w:r>
      <w:r>
        <w:rPr>
          <w:sz w:val="17"/>
        </w:rPr>
        <w:t> </w:t>
      </w:r>
    </w:p>
    <w:tbl>
      <w:tblPr>
        <w:tblW w:w="7105" w:type="dxa"/>
        <w:jc w:val="center"/>
        <w:tblInd w:w="0" w:type="dxa"/>
        <w:tblCellMar>
          <w:top w:w="0" w:type="dxa"/>
          <w:left w:w="0" w:type="dxa"/>
          <w:bottom w:w="0" w:type="dxa"/>
          <w:right w:w="0" w:type="dxa"/>
        </w:tblCellMar>
      </w:tblPr>
      <w:tblGrid>
        <w:gridCol w:w="4430"/>
        <w:gridCol w:w="90"/>
        <w:gridCol w:w="2585"/>
      </w:tblGrid>
      <w:tr>
        <w:trPr/>
        <w:tc>
          <w:tcPr>
            <w:tcW w:w="7105" w:type="dxa"/>
            <w:gridSpan w:val="3"/>
            <w:tcBorders/>
            <w:shd w:fill="auto" w:val="clear"/>
            <w:vAlign w:val="center"/>
          </w:tcPr>
          <w:p>
            <w:pPr>
              <w:pStyle w:val="TableContents"/>
              <w:spacing w:before="0" w:after="283"/>
              <w:rPr>
                <w:sz w:val="4"/>
                <w:szCs w:val="4"/>
              </w:rPr>
            </w:pPr>
            <w:r>
              <w:rPr>
                <w:sz w:val="4"/>
                <w:szCs w:val="4"/>
              </w:rPr>
            </w:r>
          </w:p>
        </w:tc>
      </w:tr>
      <w:tr>
        <w:trPr/>
        <w:tc>
          <w:tcPr>
            <w:tcW w:w="44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58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30"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Maryland</w:t>
            </w:r>
          </w:p>
        </w:tc>
        <w:tc>
          <w:tcPr>
            <w:tcW w:w="90" w:type="dxa"/>
            <w:tcBorders/>
            <w:shd w:fill="auto" w:val="clear"/>
            <w:vAlign w:val="center"/>
          </w:tcPr>
          <w:p>
            <w:pPr>
              <w:pStyle w:val="TableContents"/>
              <w:spacing w:before="0" w:after="0"/>
              <w:ind w:left="0" w:right="0" w:firstLine="30"/>
              <w:rPr/>
            </w:pPr>
            <w:r>
              <w:rPr/>
              <w:t> </w:t>
            </w:r>
          </w:p>
        </w:tc>
        <w:tc>
          <w:tcPr>
            <w:tcW w:w="2585"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81-4177147</w:t>
            </w:r>
          </w:p>
        </w:tc>
      </w:tr>
      <w:tr>
        <w:trPr/>
        <w:tc>
          <w:tcPr>
            <w:tcW w:w="4430"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(State or other jurisdiction of incorporation or organization)</w:t>
            </w:r>
          </w:p>
        </w:tc>
        <w:tc>
          <w:tcPr>
            <w:tcW w:w="90" w:type="dxa"/>
            <w:tcBorders/>
            <w:shd w:fill="auto" w:val="clear"/>
            <w:vAlign w:val="center"/>
          </w:tcPr>
          <w:p>
            <w:pPr>
              <w:pStyle w:val="TableContents"/>
              <w:spacing w:before="0" w:after="0"/>
              <w:ind w:left="0" w:right="0" w:firstLine="30"/>
              <w:rPr/>
            </w:pPr>
            <w:r>
              <w:rPr/>
              <w:t> </w:t>
            </w:r>
          </w:p>
        </w:tc>
        <w:tc>
          <w:tcPr>
            <w:tcW w:w="2585" w:type="dxa"/>
            <w:tcBorders/>
            <w:shd w:fill="auto" w:val="clear"/>
            <w:vAlign w:val="center"/>
          </w:tcPr>
          <w:p>
            <w:pPr>
              <w:pStyle w:val="TableContents"/>
              <w:spacing w:before="0" w:after="0"/>
              <w:jc w:val="center"/>
              <w:rPr>
                <w:rFonts w:ascii="inherit" w:hAnsi="inherit"/>
                <w:b/>
                <w:sz w:val="13"/>
              </w:rPr>
            </w:pPr>
            <w:r>
              <w:rPr>
                <w:rFonts w:ascii="inherit" w:hAnsi="inherit"/>
                <w:b/>
                <w:sz w:val="13"/>
              </w:rPr>
              <w:t>(I.R.S. Employer Identification No.)</w:t>
            </w:r>
          </w:p>
        </w:tc>
      </w:tr>
    </w:tbl>
    <w:p>
      <w:pPr>
        <w:pStyle w:val="TextBody"/>
        <w:spacing w:lineRule="auto" w:line="288" w:before="0" w:after="0"/>
        <w:jc w:val="center"/>
        <w:rPr>
          <w:rFonts w:ascii="inherit" w:hAnsi="inherit"/>
          <w:b/>
          <w:sz w:val="17"/>
        </w:rPr>
      </w:pPr>
      <w:r>
        <w:rPr>
          <w:rFonts w:ascii="inherit" w:hAnsi="inherit"/>
          <w:b/>
          <w:sz w:val="17"/>
        </w:rPr>
        <w:t>430 Park Avenue, 8th Floor New York, New York 10022</w:t>
      </w:r>
    </w:p>
    <w:p>
      <w:pPr>
        <w:pStyle w:val="TextBody"/>
        <w:spacing w:lineRule="auto" w:line="288" w:before="0" w:after="0"/>
        <w:jc w:val="center"/>
        <w:rPr>
          <w:rFonts w:ascii="inherit" w:hAnsi="inherit"/>
          <w:b/>
          <w:sz w:val="13"/>
        </w:rPr>
      </w:pPr>
      <w:r>
        <w:rPr>
          <w:rFonts w:ascii="inherit" w:hAnsi="inherit"/>
          <w:b/>
          <w:sz w:val="13"/>
        </w:rPr>
        <w:t>(Address of Principal Executive Offices) (Zip Code)</w:t>
      </w:r>
    </w:p>
    <w:p>
      <w:pPr>
        <w:pStyle w:val="TextBody"/>
        <w:spacing w:lineRule="auto" w:line="288" w:before="0" w:after="0"/>
        <w:jc w:val="center"/>
        <w:rPr>
          <w:rFonts w:ascii="inherit" w:hAnsi="inherit"/>
          <w:b/>
          <w:sz w:val="17"/>
        </w:rPr>
      </w:pPr>
      <w:r>
        <w:rPr>
          <w:rFonts w:ascii="inherit" w:hAnsi="inherit"/>
          <w:b/>
          <w:sz w:val="17"/>
        </w:rPr>
        <w:t>Registrant’s telephone number, including area code: (646) 949-4631</w:t>
      </w:r>
    </w:p>
    <w:p>
      <w:pPr>
        <w:pStyle w:val="TextBody"/>
        <w:spacing w:lineRule="auto" w:line="288" w:before="0" w:after="0"/>
        <w:jc w:val="center"/>
        <w:rPr/>
      </w:pPr>
      <w:r>
        <w:rPr/>
        <w:t> </w:t>
      </w:r>
      <w:r>
        <w:rPr>
          <w:rFonts w:ascii="inherit" w:hAnsi="inherit"/>
          <w:sz w:val="17"/>
        </w:rPr>
        <w:t>__________________________</w:t>
      </w:r>
      <w:r>
        <w:rPr>
          <w:sz w:val="17"/>
        </w:rPr>
        <w:t> </w:t>
      </w:r>
    </w:p>
    <w:p>
      <w:pPr>
        <w:pStyle w:val="TextBody"/>
        <w:spacing w:lineRule="auto" w:line="288" w:before="0" w:after="0"/>
        <w:ind w:left="0" w:right="0" w:firstLine="360"/>
        <w:jc w:val="both"/>
        <w:rPr>
          <w:sz w:val="15"/>
        </w:rPr>
      </w:pPr>
      <w:r>
        <w:rPr>
          <w:rFonts w:ascii="inherit" w:hAnsi="inherit"/>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sz w:val="15"/>
        </w:rPr>
        <w:t>☒    </w:t>
      </w:r>
      <w:r>
        <w:rPr>
          <w:rFonts w:ascii="inherit" w:hAnsi="inherit"/>
          <w:sz w:val="15"/>
        </w:rPr>
        <w:t>No  </w:t>
      </w:r>
      <w:r>
        <w:rPr>
          <w:rFonts w:ascii="Wingdings" w:hAnsi="Wingdings"/>
          <w:sz w:val="15"/>
        </w:rPr>
        <w:t xml:space="preserve">o </w:t>
      </w:r>
    </w:p>
    <w:p>
      <w:pPr>
        <w:pStyle w:val="TextBody"/>
        <w:spacing w:lineRule="auto" w:line="288" w:before="0" w:after="0"/>
        <w:ind w:left="0" w:right="0" w:firstLine="360"/>
        <w:jc w:val="both"/>
        <w:rPr>
          <w:sz w:val="15"/>
        </w:rPr>
      </w:pPr>
      <w:r>
        <w:rPr>
          <w:rFonts w:ascii="inherit" w:hAnsi="inherit"/>
          <w:sz w:val="15"/>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sz w:val="15"/>
        </w:rPr>
        <w:t>☒     </w:t>
      </w:r>
      <w:r>
        <w:rPr>
          <w:rFonts w:ascii="inherit" w:hAnsi="inherit"/>
          <w:sz w:val="15"/>
        </w:rPr>
        <w:t>No  </w:t>
      </w:r>
      <w:r>
        <w:rPr>
          <w:rFonts w:ascii="Wingdings" w:hAnsi="Wingdings"/>
          <w:sz w:val="15"/>
        </w:rPr>
        <w:t>o</w:t>
      </w:r>
    </w:p>
    <w:p>
      <w:pPr>
        <w:pStyle w:val="TextBody"/>
        <w:spacing w:lineRule="auto" w:line="288" w:before="0" w:after="0"/>
        <w:ind w:left="0" w:right="0" w:firstLine="360"/>
        <w:jc w:val="both"/>
        <w:rPr>
          <w:rFonts w:ascii="inherit" w:hAnsi="inherit"/>
          <w:sz w:val="15"/>
        </w:rPr>
      </w:pPr>
      <w:r>
        <w:rPr>
          <w:rFonts w:ascii="inherit" w:hAnsi="inherit"/>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4310" w:type="dxa"/>
        <w:jc w:val="center"/>
        <w:tblInd w:w="0" w:type="dxa"/>
        <w:tblCellMar>
          <w:top w:w="0" w:type="dxa"/>
          <w:left w:w="0" w:type="dxa"/>
          <w:bottom w:w="0" w:type="dxa"/>
          <w:right w:w="0" w:type="dxa"/>
        </w:tblCellMar>
      </w:tblPr>
      <w:tblGrid>
        <w:gridCol w:w="1715"/>
        <w:gridCol w:w="380"/>
        <w:gridCol w:w="2060"/>
        <w:gridCol w:w="155"/>
      </w:tblGrid>
      <w:tr>
        <w:trPr/>
        <w:tc>
          <w:tcPr>
            <w:tcW w:w="4310" w:type="dxa"/>
            <w:gridSpan w:val="4"/>
            <w:tcBorders/>
            <w:shd w:fill="auto" w:val="clear"/>
            <w:vAlign w:val="center"/>
          </w:tcPr>
          <w:p>
            <w:pPr>
              <w:pStyle w:val="TableContents"/>
              <w:spacing w:before="0" w:after="283"/>
              <w:rPr>
                <w:sz w:val="4"/>
                <w:szCs w:val="4"/>
              </w:rPr>
            </w:pPr>
            <w:r>
              <w:rPr>
                <w:sz w:val="4"/>
                <w:szCs w:val="4"/>
              </w:rPr>
            </w:r>
          </w:p>
        </w:tc>
      </w:tr>
      <w:tr>
        <w:trPr/>
        <w:tc>
          <w:tcPr>
            <w:tcW w:w="171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20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1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Large accelerated filer</w:t>
            </w:r>
          </w:p>
        </w:tc>
        <w:tc>
          <w:tcPr>
            <w:tcW w:w="380" w:type="dxa"/>
            <w:tcBorders/>
            <w:shd w:fill="auto" w:val="clear"/>
            <w:vAlign w:val="center"/>
          </w:tcPr>
          <w:p>
            <w:pPr>
              <w:pStyle w:val="TableContents"/>
              <w:spacing w:before="0" w:after="0"/>
              <w:ind w:left="0" w:right="0" w:firstLine="30"/>
              <w:jc w:val="both"/>
              <w:rPr/>
            </w:pPr>
            <w:r>
              <w:rPr/>
              <w:t>☒  </w:t>
            </w:r>
          </w:p>
        </w:tc>
        <w:tc>
          <w:tcPr>
            <w:tcW w:w="20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Accelerated filer</w:t>
            </w:r>
          </w:p>
        </w:tc>
        <w:tc>
          <w:tcPr>
            <w:tcW w:w="155" w:type="dxa"/>
            <w:tcBorders/>
            <w:shd w:fill="auto" w:val="clear"/>
            <w:vAlign w:val="center"/>
          </w:tcPr>
          <w:p>
            <w:pPr>
              <w:pStyle w:val="TableContents"/>
              <w:spacing w:before="0" w:after="0"/>
              <w:ind w:left="0" w:right="0" w:firstLine="30"/>
              <w:jc w:val="both"/>
              <w:rPr>
                <w:rFonts w:ascii="Wingdings" w:hAnsi="Wingdings"/>
                <w:sz w:val="15"/>
              </w:rPr>
            </w:pPr>
            <w:r>
              <w:rPr>
                <w:rFonts w:ascii="Wingdings" w:hAnsi="Wingdings"/>
                <w:sz w:val="15"/>
              </w:rPr>
              <w:t>o</w:t>
            </w:r>
          </w:p>
        </w:tc>
      </w:tr>
      <w:tr>
        <w:trPr/>
        <w:tc>
          <w:tcPr>
            <w:tcW w:w="171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Non-accelerated filer</w:t>
            </w:r>
          </w:p>
        </w:tc>
        <w:tc>
          <w:tcPr>
            <w:tcW w:w="380" w:type="dxa"/>
            <w:tcBorders/>
            <w:shd w:fill="auto" w:val="clear"/>
            <w:vAlign w:val="center"/>
          </w:tcPr>
          <w:p>
            <w:pPr>
              <w:pStyle w:val="TableContents"/>
              <w:spacing w:before="0" w:after="0"/>
              <w:ind w:left="0" w:right="0" w:firstLine="30"/>
              <w:jc w:val="both"/>
              <w:rPr>
                <w:rFonts w:ascii="Wingdings" w:hAnsi="Wingdings"/>
                <w:sz w:val="15"/>
              </w:rPr>
            </w:pPr>
            <w:r>
              <w:rPr>
                <w:rFonts w:ascii="Wingdings" w:hAnsi="Wingdings"/>
                <w:sz w:val="15"/>
              </w:rPr>
              <w:t>o</w:t>
            </w:r>
          </w:p>
        </w:tc>
        <w:tc>
          <w:tcPr>
            <w:tcW w:w="20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Smaller reporting company</w:t>
            </w:r>
          </w:p>
        </w:tc>
        <w:tc>
          <w:tcPr>
            <w:tcW w:w="155" w:type="dxa"/>
            <w:tcBorders/>
            <w:shd w:fill="auto" w:val="clear"/>
            <w:vAlign w:val="center"/>
          </w:tcPr>
          <w:p>
            <w:pPr>
              <w:pStyle w:val="TableContents"/>
              <w:spacing w:before="0" w:after="0"/>
              <w:ind w:left="0" w:right="0" w:firstLine="30"/>
              <w:jc w:val="both"/>
              <w:rPr>
                <w:rFonts w:ascii="Wingdings" w:hAnsi="Wingdings"/>
                <w:sz w:val="15"/>
              </w:rPr>
            </w:pPr>
            <w:r>
              <w:rPr>
                <w:rFonts w:ascii="Wingdings" w:hAnsi="Wingdings"/>
                <w:sz w:val="15"/>
              </w:rPr>
              <w:t>o</w:t>
            </w:r>
          </w:p>
        </w:tc>
      </w:tr>
      <w:tr>
        <w:trPr/>
        <w:tc>
          <w:tcPr>
            <w:tcW w:w="1715" w:type="dxa"/>
            <w:tcBorders/>
            <w:shd w:fill="auto" w:val="clear"/>
            <w:vAlign w:val="center"/>
          </w:tcPr>
          <w:p>
            <w:pPr>
              <w:pStyle w:val="TableContents"/>
              <w:spacing w:before="0" w:after="0"/>
              <w:ind w:left="0" w:right="0" w:firstLine="30"/>
              <w:rPr/>
            </w:pPr>
            <w:r>
              <w:rPr/>
              <w:t> </w:t>
            </w:r>
          </w:p>
        </w:tc>
        <w:tc>
          <w:tcPr>
            <w:tcW w:w="380" w:type="dxa"/>
            <w:tcBorders/>
            <w:shd w:fill="auto" w:val="clear"/>
            <w:vAlign w:val="center"/>
          </w:tcPr>
          <w:p>
            <w:pPr>
              <w:pStyle w:val="TableContents"/>
              <w:spacing w:before="0" w:after="0"/>
              <w:ind w:left="0" w:right="0" w:firstLine="30"/>
              <w:rPr/>
            </w:pPr>
            <w:r>
              <w:rPr/>
              <w:t> </w:t>
            </w:r>
          </w:p>
        </w:tc>
        <w:tc>
          <w:tcPr>
            <w:tcW w:w="20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Emerging growth company</w:t>
            </w:r>
          </w:p>
        </w:tc>
        <w:tc>
          <w:tcPr>
            <w:tcW w:w="155" w:type="dxa"/>
            <w:tcBorders/>
            <w:shd w:fill="auto" w:val="clear"/>
            <w:vAlign w:val="center"/>
          </w:tcPr>
          <w:p>
            <w:pPr>
              <w:pStyle w:val="TableContents"/>
              <w:spacing w:before="0" w:after="0"/>
              <w:jc w:val="both"/>
              <w:rPr>
                <w:rFonts w:ascii="Wingdings" w:hAnsi="Wingdings"/>
                <w:sz w:val="15"/>
              </w:rPr>
            </w:pPr>
            <w:r>
              <w:rPr>
                <w:rFonts w:ascii="Wingdings" w:hAnsi="Wingdings"/>
                <w:sz w:val="15"/>
              </w:rPr>
              <w:t>o</w:t>
            </w:r>
          </w:p>
        </w:tc>
      </w:tr>
    </w:tbl>
    <w:p>
      <w:pPr>
        <w:pStyle w:val="TextBody"/>
        <w:spacing w:lineRule="auto" w:line="288" w:before="0" w:after="0"/>
        <w:ind w:left="0" w:right="0" w:firstLine="360"/>
        <w:jc w:val="both"/>
        <w:rPr>
          <w:sz w:val="15"/>
        </w:rPr>
      </w:pPr>
      <w:r>
        <w:rPr>
          <w:rFonts w:ascii="inherit" w:hAnsi="inherit"/>
          <w:sz w:val="15"/>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sz w:val="15"/>
        </w:rPr>
        <w:t>o</w:t>
      </w:r>
    </w:p>
    <w:p>
      <w:pPr>
        <w:pStyle w:val="TextBody"/>
        <w:spacing w:lineRule="auto" w:line="288" w:before="0" w:after="0"/>
        <w:ind w:left="0" w:right="0" w:firstLine="360"/>
        <w:jc w:val="both"/>
        <w:rPr>
          <w:sz w:val="15"/>
        </w:rPr>
      </w:pPr>
      <w:r>
        <w:rPr>
          <w:rFonts w:ascii="inherit" w:hAnsi="inherit"/>
          <w:sz w:val="15"/>
        </w:rPr>
        <w:t>Indicate by check mark whether the registrant is a shell company (as defined in Rule 12b-2 of the Exchange Act).    Yes  </w:t>
      </w:r>
      <w:r>
        <w:rPr>
          <w:rFonts w:ascii="Wingdings" w:hAnsi="Wingdings"/>
          <w:sz w:val="15"/>
        </w:rPr>
        <w:t>o</w:t>
      </w:r>
      <w:r>
        <w:rPr>
          <w:sz w:val="15"/>
        </w:rPr>
        <w:t>    </w:t>
      </w:r>
      <w:r>
        <w:rPr>
          <w:rFonts w:ascii="inherit" w:hAnsi="inherit"/>
          <w:sz w:val="15"/>
        </w:rPr>
        <w:t>No  </w:t>
      </w:r>
      <w:r>
        <w:rPr>
          <w:sz w:val="15"/>
        </w:rPr>
        <w:t>☒</w:t>
      </w:r>
    </w:p>
    <w:p>
      <w:pPr>
        <w:pStyle w:val="TextBody"/>
        <w:spacing w:lineRule="auto" w:line="288" w:before="0" w:after="0"/>
        <w:ind w:left="0" w:right="0" w:firstLine="360"/>
        <w:jc w:val="both"/>
        <w:rPr>
          <w:rFonts w:ascii="inherit" w:hAnsi="inherit"/>
          <w:sz w:val="15"/>
        </w:rPr>
      </w:pPr>
      <w:r>
        <w:rPr>
          <w:rFonts w:ascii="inherit" w:hAnsi="inherit"/>
          <w:sz w:val="15"/>
        </w:rPr>
        <w:t>Securities registered pursuant to Section 12(b) of the Act:</w:t>
      </w:r>
    </w:p>
    <w:tbl>
      <w:tblPr>
        <w:tblW w:w="7710" w:type="dxa"/>
        <w:jc w:val="center"/>
        <w:tblInd w:w="0" w:type="dxa"/>
        <w:tblCellMar>
          <w:top w:w="0" w:type="dxa"/>
          <w:left w:w="0" w:type="dxa"/>
          <w:bottom w:w="0" w:type="dxa"/>
          <w:right w:w="0" w:type="dxa"/>
        </w:tblCellMar>
      </w:tblPr>
      <w:tblGrid>
        <w:gridCol w:w="2405"/>
        <w:gridCol w:w="90"/>
        <w:gridCol w:w="1355"/>
        <w:gridCol w:w="90"/>
        <w:gridCol w:w="3770"/>
      </w:tblGrid>
      <w:tr>
        <w:trPr/>
        <w:tc>
          <w:tcPr>
            <w:tcW w:w="7710" w:type="dxa"/>
            <w:gridSpan w:val="5"/>
            <w:tcBorders/>
            <w:shd w:fill="auto" w:val="clear"/>
            <w:vAlign w:val="center"/>
          </w:tcPr>
          <w:p>
            <w:pPr>
              <w:pStyle w:val="TableContents"/>
              <w:spacing w:before="0" w:after="283"/>
              <w:rPr>
                <w:sz w:val="4"/>
                <w:szCs w:val="4"/>
              </w:rPr>
            </w:pPr>
            <w:r>
              <w:rPr>
                <w:sz w:val="4"/>
                <w:szCs w:val="4"/>
              </w:rPr>
            </w:r>
          </w:p>
        </w:tc>
      </w:tr>
      <w:tr>
        <w:trPr/>
        <w:tc>
          <w:tcPr>
            <w:tcW w:w="24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77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05" w:type="dxa"/>
            <w:tcBorders>
              <w:bottom w:val="single" w:sz="2" w:space="0" w:color="000000"/>
            </w:tcBorders>
            <w:shd w:fill="auto" w:val="clear"/>
            <w:tcMar>
              <w:bottom w:w="30" w:type="dxa"/>
            </w:tcMar>
            <w:vAlign w:val="center"/>
          </w:tcPr>
          <w:p>
            <w:pPr>
              <w:pStyle w:val="TableContents"/>
              <w:spacing w:before="0" w:after="0"/>
              <w:ind w:left="0" w:right="0" w:firstLine="30"/>
              <w:jc w:val="center"/>
              <w:rPr/>
            </w:pPr>
            <w:r>
              <w:rPr/>
              <w:t> </w:t>
            </w:r>
            <w:r>
              <w:rPr>
                <w:rFonts w:ascii="inherit" w:hAnsi="inherit"/>
                <w:b/>
                <w:sz w:val="15"/>
              </w:rPr>
              <w:t>Title of each class</w:t>
            </w:r>
          </w:p>
        </w:tc>
        <w:tc>
          <w:tcPr>
            <w:tcW w:w="90" w:type="dxa"/>
            <w:tcBorders/>
            <w:shd w:fill="auto" w:val="clear"/>
            <w:vAlign w:val="center"/>
          </w:tcPr>
          <w:p>
            <w:pPr>
              <w:pStyle w:val="TableContents"/>
              <w:spacing w:before="0" w:after="0"/>
              <w:ind w:left="0" w:right="0" w:firstLine="30"/>
              <w:rPr/>
            </w:pPr>
            <w:r>
              <w:rPr/>
              <w:t> </w:t>
            </w:r>
          </w:p>
        </w:tc>
        <w:tc>
          <w:tcPr>
            <w:tcW w:w="135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Trading Symbol</w:t>
            </w:r>
          </w:p>
        </w:tc>
        <w:tc>
          <w:tcPr>
            <w:tcW w:w="90" w:type="dxa"/>
            <w:tcBorders/>
            <w:shd w:fill="auto" w:val="clear"/>
            <w:vAlign w:val="center"/>
          </w:tcPr>
          <w:p>
            <w:pPr>
              <w:pStyle w:val="TableContents"/>
              <w:spacing w:before="0" w:after="0"/>
              <w:ind w:left="0" w:right="0" w:firstLine="30"/>
              <w:rPr/>
            </w:pPr>
            <w:r>
              <w:rPr/>
              <w:t> </w:t>
            </w:r>
          </w:p>
        </w:tc>
        <w:tc>
          <w:tcPr>
            <w:tcW w:w="377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Name of each exchange on which registered</w:t>
            </w:r>
          </w:p>
        </w:tc>
      </w:tr>
      <w:tr>
        <w:trPr/>
        <w:tc>
          <w:tcPr>
            <w:tcW w:w="2405"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Common stock, $0.01 par value</w:t>
            </w:r>
          </w:p>
        </w:tc>
        <w:tc>
          <w:tcPr>
            <w:tcW w:w="90" w:type="dxa"/>
            <w:tcBorders/>
            <w:shd w:fill="auto" w:val="clear"/>
            <w:vAlign w:val="center"/>
          </w:tcPr>
          <w:p>
            <w:pPr>
              <w:pStyle w:val="TableContents"/>
              <w:spacing w:before="0" w:after="0"/>
              <w:ind w:left="0" w:right="0" w:firstLine="30"/>
              <w:rPr/>
            </w:pPr>
            <w:r>
              <w:rPr/>
              <w:t> </w:t>
            </w:r>
          </w:p>
        </w:tc>
        <w:tc>
          <w:tcPr>
            <w:tcW w:w="1355"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VICI</w:t>
            </w:r>
          </w:p>
        </w:tc>
        <w:tc>
          <w:tcPr>
            <w:tcW w:w="90" w:type="dxa"/>
            <w:tcBorders/>
            <w:shd w:fill="auto" w:val="clear"/>
            <w:vAlign w:val="center"/>
          </w:tcPr>
          <w:p>
            <w:pPr>
              <w:pStyle w:val="TableContents"/>
              <w:spacing w:before="0" w:after="0"/>
              <w:ind w:left="0" w:right="0" w:firstLine="30"/>
              <w:rPr/>
            </w:pPr>
            <w:r>
              <w:rPr/>
              <w:t> </w:t>
            </w:r>
          </w:p>
        </w:tc>
        <w:tc>
          <w:tcPr>
            <w:tcW w:w="3770" w:type="dxa"/>
            <w:tcBorders/>
            <w:shd w:fill="auto" w:val="clear"/>
            <w:vAlign w:val="center"/>
          </w:tcPr>
          <w:p>
            <w:pPr>
              <w:pStyle w:val="TableContents"/>
              <w:spacing w:before="0" w:after="0"/>
              <w:jc w:val="center"/>
              <w:rPr>
                <w:rFonts w:ascii="inherit" w:hAnsi="inherit"/>
                <w:sz w:val="15"/>
              </w:rPr>
            </w:pPr>
            <w:r>
              <w:rPr>
                <w:rFonts w:ascii="inherit" w:hAnsi="inherit"/>
                <w:sz w:val="15"/>
              </w:rPr>
              <w:t>New York Stock Exchange</w:t>
            </w:r>
          </w:p>
        </w:tc>
      </w:tr>
    </w:tbl>
    <w:p>
      <w:pPr>
        <w:pStyle w:val="TextBody"/>
        <w:spacing w:lineRule="auto" w:line="288" w:before="0" w:after="0"/>
        <w:ind w:left="0" w:right="0" w:firstLine="360"/>
        <w:jc w:val="both"/>
        <w:rPr>
          <w:sz w:val="15"/>
        </w:rPr>
      </w:pPr>
      <w:r>
        <w:rPr>
          <w:rFonts w:ascii="inherit" w:hAnsi="inherit"/>
          <w:sz w:val="15"/>
        </w:rPr>
        <w:t>As of April 29, 2019, the registrant had 410,971,625</w:t>
      </w:r>
      <w:r>
        <w:rPr>
          <w:sz w:val="15"/>
        </w:rPr>
        <w:t xml:space="preserve"> </w:t>
      </w:r>
      <w:r>
        <w:rPr>
          <w:rFonts w:ascii="inherit" w:hAnsi="inherit"/>
          <w:sz w:val="15"/>
        </w:rPr>
        <w:t>shares of its $0.01 par value common stock outstanding.</w:t>
      </w:r>
    </w:p>
    <w:p>
      <w:pPr>
        <w:pStyle w:val="TextBody"/>
        <w:rPr/>
      </w:pPr>
      <w:r>
        <w:rPr/>
      </w:r>
      <w:r>
        <w:br w:type="page"/>
      </w:r>
    </w:p>
    <w:p>
      <w:pPr>
        <w:pStyle w:val="TextBody"/>
        <w:spacing w:lineRule="auto" w:line="288" w:before="0" w:after="0"/>
        <w:jc w:val="both"/>
        <w:rPr/>
      </w:pPr>
      <w:hyperlink w:anchor="s7181E430E8A9506B896277AC8CF177C4">
        <w:bookmarkStart w:id="3" w:name="s7181E430E8A9506B896277AC8CF177C4"/>
        <w:bookmarkEnd w:id="3"/>
        <w:r>
          <w:rPr>
            <w:rStyle w:val="InternetLink"/>
            <w:rFonts w:ascii="inherit" w:hAnsi="inherit"/>
            <w:sz w:val="17"/>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762"/>
        <w:gridCol w:w="90"/>
        <w:gridCol w:w="8837"/>
        <w:gridCol w:w="516"/>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76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837"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205" w:type="dxa"/>
            <w:gridSpan w:val="4"/>
            <w:tcBorders/>
            <w:shd w:fill="auto" w:val="clear"/>
            <w:vAlign w:val="center"/>
          </w:tcPr>
          <w:p>
            <w:pPr>
              <w:pStyle w:val="TableContents"/>
              <w:spacing w:before="0" w:after="0"/>
              <w:ind w:left="0" w:right="0" w:firstLine="30"/>
              <w:jc w:val="center"/>
              <w:rPr>
                <w:rFonts w:ascii="inherit" w:hAnsi="inherit"/>
                <w:b/>
                <w:sz w:val="18"/>
              </w:rPr>
            </w:pPr>
            <w:r>
              <w:rPr>
                <w:rFonts w:ascii="inherit" w:hAnsi="inherit"/>
                <w:b/>
                <w:sz w:val="18"/>
              </w:rPr>
              <w:t>VICI PROPERTIES INC.</w:t>
            </w:r>
          </w:p>
        </w:tc>
      </w:tr>
      <w:tr>
        <w:trPr/>
        <w:tc>
          <w:tcPr>
            <w:tcW w:w="10205" w:type="dxa"/>
            <w:gridSpan w:val="4"/>
            <w:tcBorders/>
            <w:shd w:fill="auto" w:val="clear"/>
            <w:vAlign w:val="center"/>
          </w:tcPr>
          <w:p>
            <w:pPr>
              <w:pStyle w:val="TableContents"/>
              <w:spacing w:before="0" w:after="0"/>
              <w:ind w:left="0" w:right="0" w:firstLine="30"/>
              <w:jc w:val="center"/>
              <w:rPr>
                <w:rFonts w:ascii="inherit" w:hAnsi="inherit"/>
                <w:b/>
                <w:sz w:val="18"/>
              </w:rPr>
            </w:pPr>
            <w:r>
              <w:rPr>
                <w:rFonts w:ascii="inherit" w:hAnsi="inherit"/>
                <w:b/>
                <w:sz w:val="18"/>
              </w:rPr>
              <w:t>FORM 10-Q</w:t>
            </w:r>
          </w:p>
        </w:tc>
      </w:tr>
      <w:tr>
        <w:trPr/>
        <w:tc>
          <w:tcPr>
            <w:tcW w:w="10205" w:type="dxa"/>
            <w:gridSpan w:val="4"/>
            <w:tcBorders/>
            <w:shd w:fill="auto" w:val="clear"/>
            <w:vAlign w:val="center"/>
          </w:tcPr>
          <w:p>
            <w:pPr>
              <w:pStyle w:val="TableContents"/>
              <w:spacing w:before="0" w:after="0"/>
              <w:ind w:left="0" w:right="0" w:firstLine="30"/>
              <w:jc w:val="center"/>
              <w:rPr>
                <w:rFonts w:ascii="inherit" w:hAnsi="inherit"/>
                <w:b/>
                <w:sz w:val="18"/>
              </w:rPr>
            </w:pPr>
            <w:r>
              <w:rPr>
                <w:rFonts w:ascii="inherit" w:hAnsi="inherit"/>
                <w:b/>
                <w:sz w:val="18"/>
              </w:rPr>
              <w:t>FOR THE QUARTER ENDED MARCH 31, 2019</w:t>
            </w:r>
          </w:p>
        </w:tc>
      </w:tr>
      <w:tr>
        <w:trPr/>
        <w:tc>
          <w:tcPr>
            <w:tcW w:w="10205" w:type="dxa"/>
            <w:gridSpan w:val="4"/>
            <w:tcBorders/>
            <w:shd w:fill="auto" w:val="clear"/>
            <w:vAlign w:val="center"/>
          </w:tcPr>
          <w:p>
            <w:pPr>
              <w:pStyle w:val="TableContents"/>
              <w:spacing w:before="0" w:after="0"/>
              <w:ind w:left="0" w:right="0" w:firstLine="30"/>
              <w:jc w:val="center"/>
              <w:rPr>
                <w:rFonts w:ascii="inherit" w:hAnsi="inherit"/>
                <w:b/>
                <w:sz w:val="18"/>
              </w:rPr>
            </w:pPr>
            <w:r>
              <w:rPr>
                <w:rFonts w:ascii="inherit" w:hAnsi="inherit"/>
                <w:b/>
                <w:sz w:val="18"/>
              </w:rPr>
              <w:t>TABLE OF CONTENTS</w:t>
            </w:r>
          </w:p>
        </w:tc>
      </w:tr>
      <w:tr>
        <w:trPr/>
        <w:tc>
          <w:tcPr>
            <w:tcW w:w="76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837" w:type="dxa"/>
            <w:tcBorders/>
            <w:shd w:fill="auto" w:val="clear"/>
            <w:vAlign w:val="center"/>
          </w:tcPr>
          <w:p>
            <w:pPr>
              <w:pStyle w:val="TableContents"/>
              <w:spacing w:before="0" w:after="0"/>
              <w:ind w:left="0" w:right="0" w:firstLine="30"/>
              <w:rPr/>
            </w:pPr>
            <w:r>
              <w:rPr/>
              <w:t> </w:t>
            </w:r>
          </w:p>
        </w:tc>
        <w:tc>
          <w:tcPr>
            <w:tcW w:w="516" w:type="dxa"/>
            <w:tcBorders/>
            <w:shd w:fill="auto" w:val="clear"/>
            <w:vAlign w:val="center"/>
          </w:tcPr>
          <w:p>
            <w:pPr>
              <w:pStyle w:val="TableContents"/>
              <w:spacing w:before="0" w:after="0"/>
              <w:ind w:left="0" w:right="0" w:firstLine="30"/>
              <w:rPr/>
            </w:pPr>
            <w:r>
              <w:rPr/>
              <w:t> </w:t>
            </w:r>
          </w:p>
        </w:tc>
      </w:tr>
      <w:tr>
        <w:trPr/>
        <w:tc>
          <w:tcPr>
            <w:tcW w:w="76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837" w:type="dxa"/>
            <w:tcBorders/>
            <w:shd w:fill="auto" w:val="clear"/>
            <w:vAlign w:val="center"/>
          </w:tcPr>
          <w:p>
            <w:pPr>
              <w:pStyle w:val="TableContents"/>
              <w:spacing w:before="0" w:after="0"/>
              <w:ind w:left="0" w:right="0" w:firstLine="30"/>
              <w:rPr/>
            </w:pPr>
            <w:r>
              <w:rPr/>
              <w:t> </w:t>
            </w:r>
          </w:p>
        </w:tc>
        <w:tc>
          <w:tcPr>
            <w:tcW w:w="516"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Page</w:t>
            </w:r>
          </w:p>
        </w:tc>
      </w:tr>
      <w:tr>
        <w:trPr/>
        <w:tc>
          <w:tcPr>
            <w:tcW w:w="762" w:type="dxa"/>
            <w:tcBorders/>
            <w:shd w:fill="auto" w:val="clear"/>
            <w:vAlign w:val="center"/>
          </w:tcPr>
          <w:p>
            <w:pPr>
              <w:pStyle w:val="TableContents"/>
              <w:spacing w:before="0" w:after="0"/>
              <w:ind w:left="0" w:right="0" w:firstLine="30"/>
              <w:rPr/>
            </w:pPr>
            <w:hyperlink w:anchor="sEA608F2AD2985B29A03AA50DACC268E4">
              <w:r>
                <w:rPr>
                  <w:rStyle w:val="InternetLink"/>
                  <w:rFonts w:ascii="inherit" w:hAnsi="inherit"/>
                  <w:b/>
                  <w:sz w:val="17"/>
                </w:rPr>
                <w:t>PART I.</w:t>
              </w:r>
            </w:hyperlink>
          </w:p>
        </w:tc>
        <w:tc>
          <w:tcPr>
            <w:tcW w:w="8927" w:type="dxa"/>
            <w:gridSpan w:val="2"/>
            <w:tcBorders/>
            <w:shd w:fill="auto" w:val="clear"/>
            <w:vAlign w:val="center"/>
          </w:tcPr>
          <w:p>
            <w:pPr>
              <w:pStyle w:val="TableContents"/>
              <w:spacing w:before="0" w:after="0"/>
              <w:ind w:left="0" w:right="0" w:firstLine="30"/>
              <w:rPr/>
            </w:pPr>
            <w:hyperlink w:anchor="sEA608F2AD2985B29A03AA50DACC268E4">
              <w:r>
                <w:rPr>
                  <w:rStyle w:val="InternetLink"/>
                  <w:rFonts w:ascii="inherit" w:hAnsi="inherit"/>
                  <w:b/>
                  <w:sz w:val="17"/>
                </w:rPr>
                <w:t>FINANCIAL INFORMATION</w:t>
              </w:r>
            </w:hyperlink>
          </w:p>
        </w:tc>
        <w:tc>
          <w:tcPr>
            <w:tcW w:w="516"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r>
      <w:tr>
        <w:trPr/>
        <w:tc>
          <w:tcPr>
            <w:tcW w:w="762" w:type="dxa"/>
            <w:tcBorders/>
            <w:shd w:fill="CCEEFF" w:val="clear"/>
            <w:vAlign w:val="center"/>
          </w:tcPr>
          <w:p>
            <w:pPr>
              <w:pStyle w:val="TableContents"/>
              <w:spacing w:before="0" w:after="0"/>
              <w:ind w:left="0" w:right="0" w:firstLine="30"/>
              <w:rPr/>
            </w:pPr>
            <w:hyperlink w:anchor="sEA608F2AD2985B29A03AA50DACC268E4">
              <w:r>
                <w:rPr>
                  <w:rStyle w:val="InternetLink"/>
                  <w:rFonts w:ascii="inherit" w:hAnsi="inherit"/>
                  <w:sz w:val="17"/>
                </w:rPr>
                <w:t>Item 1.</w:t>
              </w:r>
            </w:hyperlink>
          </w:p>
        </w:tc>
        <w:tc>
          <w:tcPr>
            <w:tcW w:w="8927" w:type="dxa"/>
            <w:gridSpan w:val="2"/>
            <w:tcBorders/>
            <w:shd w:fill="CCEEFF" w:val="clear"/>
            <w:vAlign w:val="center"/>
          </w:tcPr>
          <w:p>
            <w:pPr>
              <w:pStyle w:val="TableContents"/>
              <w:spacing w:before="0" w:after="0"/>
              <w:ind w:left="0" w:right="0" w:firstLine="30"/>
              <w:rPr/>
            </w:pPr>
            <w:hyperlink w:anchor="sEA608F2AD2985B29A03AA50DACC268E4">
              <w:r>
                <w:rPr>
                  <w:rStyle w:val="InternetLink"/>
                  <w:rFonts w:ascii="inherit" w:hAnsi="inherit"/>
                  <w:sz w:val="17"/>
                </w:rPr>
                <w:t>Financial Statements of VICI Properties Inc. (Unaudited)</w:t>
              </w:r>
            </w:hyperlink>
          </w:p>
        </w:tc>
        <w:tc>
          <w:tcPr>
            <w:tcW w:w="516" w:type="dxa"/>
            <w:tcBorders/>
            <w:shd w:fill="CCEEFF" w:val="clear"/>
            <w:vAlign w:val="center"/>
          </w:tcPr>
          <w:p>
            <w:pPr>
              <w:pStyle w:val="TableContents"/>
              <w:spacing w:before="0" w:after="0"/>
              <w:ind w:left="0" w:right="0" w:firstLine="30"/>
              <w:jc w:val="center"/>
              <w:rPr/>
            </w:pPr>
            <w:hyperlink w:anchor="sEA608F2AD2985B29A03AA50DACC268E4">
              <w:r>
                <w:rPr>
                  <w:rStyle w:val="InternetLink"/>
                  <w:rFonts w:ascii="inherit" w:hAnsi="inherit"/>
                  <w:sz w:val="17"/>
                </w:rPr>
                <w:t>3</w:t>
              </w:r>
            </w:hyperlink>
          </w:p>
        </w:tc>
      </w:tr>
      <w:tr>
        <w:trPr/>
        <w:tc>
          <w:tcPr>
            <w:tcW w:w="76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837" w:type="dxa"/>
            <w:tcBorders/>
            <w:shd w:fill="auto" w:val="clear"/>
            <w:vAlign w:val="center"/>
          </w:tcPr>
          <w:p>
            <w:pPr>
              <w:pStyle w:val="TableContents"/>
              <w:spacing w:before="0" w:after="0"/>
              <w:ind w:left="0" w:right="0" w:firstLine="30"/>
              <w:jc w:val="left"/>
              <w:rPr/>
            </w:pPr>
            <w:hyperlink w:anchor="sF7FBBACBF95C517083D9965A996EBE77">
              <w:r>
                <w:rPr>
                  <w:rStyle w:val="InternetLink"/>
                  <w:rFonts w:ascii="inherit" w:hAnsi="inherit"/>
                  <w:sz w:val="17"/>
                </w:rPr>
                <w:t>Consolidated Balance Sheets as of March 31, 2019 and December 31, 2018</w:t>
              </w:r>
            </w:hyperlink>
          </w:p>
        </w:tc>
        <w:tc>
          <w:tcPr>
            <w:tcW w:w="516" w:type="dxa"/>
            <w:tcBorders/>
            <w:shd w:fill="auto" w:val="clear"/>
            <w:vAlign w:val="center"/>
          </w:tcPr>
          <w:p>
            <w:pPr>
              <w:pStyle w:val="TableContents"/>
              <w:spacing w:before="0" w:after="0"/>
              <w:ind w:left="0" w:right="0" w:firstLine="30"/>
              <w:jc w:val="center"/>
              <w:rPr/>
            </w:pPr>
            <w:hyperlink w:anchor="sF7FBBACBF95C517083D9965A996EBE77">
              <w:r>
                <w:rPr>
                  <w:rStyle w:val="InternetLink"/>
                  <w:rFonts w:ascii="inherit" w:hAnsi="inherit"/>
                  <w:sz w:val="17"/>
                </w:rPr>
                <w:t>3</w:t>
              </w:r>
            </w:hyperlink>
          </w:p>
        </w:tc>
      </w:tr>
      <w:tr>
        <w:trPr/>
        <w:tc>
          <w:tcPr>
            <w:tcW w:w="762"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837" w:type="dxa"/>
            <w:tcBorders/>
            <w:shd w:fill="CCEEFF" w:val="clear"/>
            <w:vAlign w:val="center"/>
          </w:tcPr>
          <w:p>
            <w:pPr>
              <w:pStyle w:val="TableContents"/>
              <w:spacing w:before="0" w:after="0"/>
              <w:ind w:left="0" w:right="0" w:firstLine="30"/>
              <w:jc w:val="left"/>
              <w:rPr/>
            </w:pPr>
            <w:hyperlink w:anchor="s66454416C8FB5DF3ACEEDE2A41D1C5F7">
              <w:r>
                <w:rPr>
                  <w:rStyle w:val="InternetLink"/>
                  <w:rFonts w:ascii="inherit" w:hAnsi="inherit"/>
                  <w:sz w:val="17"/>
                </w:rPr>
                <w:t>Consolidated Statements of Operations and Comprehensive Income for the Three Months Ended March 31, 2019 and 2018</w:t>
              </w:r>
            </w:hyperlink>
          </w:p>
        </w:tc>
        <w:tc>
          <w:tcPr>
            <w:tcW w:w="516" w:type="dxa"/>
            <w:tcBorders/>
            <w:shd w:fill="CCEEFF" w:val="clear"/>
            <w:vAlign w:val="center"/>
          </w:tcPr>
          <w:p>
            <w:pPr>
              <w:pStyle w:val="TableContents"/>
              <w:spacing w:before="0" w:after="0"/>
              <w:ind w:left="0" w:right="0" w:firstLine="30"/>
              <w:jc w:val="center"/>
              <w:rPr/>
            </w:pPr>
            <w:hyperlink w:anchor="s66454416C8FB5DF3ACEEDE2A41D1C5F7">
              <w:r>
                <w:rPr>
                  <w:rStyle w:val="InternetLink"/>
                  <w:rFonts w:ascii="inherit" w:hAnsi="inherit"/>
                  <w:sz w:val="17"/>
                </w:rPr>
                <w:t>4</w:t>
              </w:r>
            </w:hyperlink>
          </w:p>
        </w:tc>
      </w:tr>
      <w:tr>
        <w:trPr/>
        <w:tc>
          <w:tcPr>
            <w:tcW w:w="76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837" w:type="dxa"/>
            <w:tcBorders/>
            <w:shd w:fill="auto" w:val="clear"/>
            <w:vAlign w:val="center"/>
          </w:tcPr>
          <w:p>
            <w:pPr>
              <w:pStyle w:val="TableContents"/>
              <w:spacing w:before="0" w:after="0"/>
              <w:ind w:left="0" w:right="0" w:firstLine="30"/>
              <w:jc w:val="left"/>
              <w:rPr/>
            </w:pPr>
            <w:hyperlink w:anchor="sC68F1A59C9C950B190C88E9CF8B7B09F">
              <w:r>
                <w:rPr>
                  <w:rStyle w:val="InternetLink"/>
                  <w:rFonts w:ascii="inherit" w:hAnsi="inherit"/>
                  <w:sz w:val="17"/>
                </w:rPr>
                <w:t>Consolidated Statements of Stockholders’ Equity for the Three Months Ended March 31, 2019 and 2018</w:t>
              </w:r>
            </w:hyperlink>
          </w:p>
        </w:tc>
        <w:tc>
          <w:tcPr>
            <w:tcW w:w="516" w:type="dxa"/>
            <w:tcBorders/>
            <w:shd w:fill="auto" w:val="clear"/>
            <w:vAlign w:val="center"/>
          </w:tcPr>
          <w:p>
            <w:pPr>
              <w:pStyle w:val="TableContents"/>
              <w:spacing w:before="0" w:after="0"/>
              <w:ind w:left="0" w:right="0" w:firstLine="30"/>
              <w:jc w:val="center"/>
              <w:rPr/>
            </w:pPr>
            <w:hyperlink w:anchor="sC68F1A59C9C950B190C88E9CF8B7B09F">
              <w:r>
                <w:rPr>
                  <w:rStyle w:val="InternetLink"/>
                  <w:rFonts w:ascii="inherit" w:hAnsi="inherit"/>
                  <w:sz w:val="17"/>
                </w:rPr>
                <w:t>5</w:t>
              </w:r>
            </w:hyperlink>
          </w:p>
        </w:tc>
      </w:tr>
      <w:tr>
        <w:trPr/>
        <w:tc>
          <w:tcPr>
            <w:tcW w:w="762"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837" w:type="dxa"/>
            <w:tcBorders/>
            <w:shd w:fill="CCEEFF" w:val="clear"/>
            <w:vAlign w:val="center"/>
          </w:tcPr>
          <w:p>
            <w:pPr>
              <w:pStyle w:val="TableContents"/>
              <w:spacing w:before="0" w:after="0"/>
              <w:ind w:left="0" w:right="0" w:firstLine="30"/>
              <w:jc w:val="left"/>
              <w:rPr/>
            </w:pPr>
            <w:hyperlink w:anchor="s5A278C5031B8576291C7ACDF3277D0CA">
              <w:r>
                <w:rPr>
                  <w:rStyle w:val="InternetLink"/>
                  <w:rFonts w:ascii="inherit" w:hAnsi="inherit"/>
                  <w:sz w:val="17"/>
                </w:rPr>
                <w:t>Consolidated Statements of Cash Flows for the Three Months Ended March 31, 2019 and 2018</w:t>
              </w:r>
            </w:hyperlink>
          </w:p>
        </w:tc>
        <w:tc>
          <w:tcPr>
            <w:tcW w:w="516" w:type="dxa"/>
            <w:tcBorders/>
            <w:shd w:fill="CCEEFF" w:val="clear"/>
            <w:vAlign w:val="center"/>
          </w:tcPr>
          <w:p>
            <w:pPr>
              <w:pStyle w:val="TableContents"/>
              <w:spacing w:before="0" w:after="0"/>
              <w:ind w:left="0" w:right="0" w:firstLine="30"/>
              <w:jc w:val="center"/>
              <w:rPr/>
            </w:pPr>
            <w:hyperlink w:anchor="s5A278C5031B8576291C7ACDF3277D0CA">
              <w:r>
                <w:rPr>
                  <w:rStyle w:val="InternetLink"/>
                  <w:rFonts w:ascii="inherit" w:hAnsi="inherit"/>
                  <w:sz w:val="17"/>
                </w:rPr>
                <w:t>6</w:t>
              </w:r>
            </w:hyperlink>
          </w:p>
        </w:tc>
      </w:tr>
      <w:tr>
        <w:trPr/>
        <w:tc>
          <w:tcPr>
            <w:tcW w:w="76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837" w:type="dxa"/>
            <w:tcBorders/>
            <w:shd w:fill="auto" w:val="clear"/>
            <w:vAlign w:val="center"/>
          </w:tcPr>
          <w:p>
            <w:pPr>
              <w:pStyle w:val="TableContents"/>
              <w:spacing w:before="0" w:after="0"/>
              <w:ind w:left="0" w:right="0" w:firstLine="30"/>
              <w:jc w:val="left"/>
              <w:rPr/>
            </w:pPr>
            <w:hyperlink w:anchor="s28E6BB845B185EBA87620FD3B35D1E91">
              <w:r>
                <w:rPr>
                  <w:rStyle w:val="InternetLink"/>
                  <w:rFonts w:ascii="inherit" w:hAnsi="inherit"/>
                  <w:sz w:val="17"/>
                </w:rPr>
                <w:t>Notes to Consolidated Financial Statements</w:t>
              </w:r>
            </w:hyperlink>
          </w:p>
        </w:tc>
        <w:tc>
          <w:tcPr>
            <w:tcW w:w="516" w:type="dxa"/>
            <w:tcBorders/>
            <w:shd w:fill="auto" w:val="clear"/>
            <w:vAlign w:val="center"/>
          </w:tcPr>
          <w:p>
            <w:pPr>
              <w:pStyle w:val="TableContents"/>
              <w:spacing w:before="0" w:after="0"/>
              <w:ind w:left="0" w:right="0" w:firstLine="30"/>
              <w:jc w:val="center"/>
              <w:rPr/>
            </w:pPr>
            <w:hyperlink w:anchor="s28E6BB845B185EBA87620FD3B35D1E91">
              <w:r>
                <w:rPr>
                  <w:rStyle w:val="InternetLink"/>
                  <w:rFonts w:ascii="inherit" w:hAnsi="inherit"/>
                  <w:sz w:val="17"/>
                </w:rPr>
                <w:t>7</w:t>
              </w:r>
            </w:hyperlink>
          </w:p>
        </w:tc>
      </w:tr>
      <w:tr>
        <w:trPr/>
        <w:tc>
          <w:tcPr>
            <w:tcW w:w="762" w:type="dxa"/>
            <w:tcBorders/>
            <w:shd w:fill="CCEEFF" w:val="clear"/>
            <w:vAlign w:val="center"/>
          </w:tcPr>
          <w:p>
            <w:pPr>
              <w:pStyle w:val="TableContents"/>
              <w:spacing w:before="0" w:after="0"/>
              <w:ind w:left="0" w:right="0" w:firstLine="30"/>
              <w:rPr/>
            </w:pPr>
            <w:hyperlink w:anchor="sBBF75CEBE5BA59D990899209A92CD85B">
              <w:r>
                <w:rPr>
                  <w:rStyle w:val="InternetLink"/>
                  <w:rFonts w:ascii="inherit" w:hAnsi="inherit"/>
                  <w:sz w:val="17"/>
                </w:rPr>
                <w:t>Item 2.</w:t>
              </w:r>
            </w:hyperlink>
          </w:p>
        </w:tc>
        <w:tc>
          <w:tcPr>
            <w:tcW w:w="8927" w:type="dxa"/>
            <w:gridSpan w:val="2"/>
            <w:tcBorders/>
            <w:shd w:fill="CCEEFF" w:val="clear"/>
            <w:vAlign w:val="center"/>
          </w:tcPr>
          <w:p>
            <w:pPr>
              <w:pStyle w:val="TableContents"/>
              <w:spacing w:before="0" w:after="0"/>
              <w:ind w:left="0" w:right="0" w:firstLine="30"/>
              <w:rPr/>
            </w:pPr>
            <w:hyperlink w:anchor="sBBF75CEBE5BA59D990899209A92CD85B">
              <w:r>
                <w:rPr>
                  <w:rStyle w:val="InternetLink"/>
                  <w:rFonts w:ascii="inherit" w:hAnsi="inherit"/>
                  <w:sz w:val="17"/>
                </w:rPr>
                <w:t>Management’s Discussion and Analysis of Financial Condition and Results of Operations</w:t>
              </w:r>
            </w:hyperlink>
          </w:p>
        </w:tc>
        <w:tc>
          <w:tcPr>
            <w:tcW w:w="516" w:type="dxa"/>
            <w:tcBorders/>
            <w:shd w:fill="CCEEFF" w:val="clear"/>
            <w:vAlign w:val="center"/>
          </w:tcPr>
          <w:p>
            <w:pPr>
              <w:pStyle w:val="TableContents"/>
              <w:spacing w:before="0" w:after="0"/>
              <w:ind w:left="0" w:right="0" w:firstLine="30"/>
              <w:jc w:val="center"/>
              <w:rPr/>
            </w:pPr>
            <w:hyperlink w:anchor="sBBF75CEBE5BA59D990899209A92CD85B">
              <w:r>
                <w:rPr>
                  <w:rStyle w:val="InternetLink"/>
                  <w:rFonts w:ascii="inherit" w:hAnsi="inherit"/>
                  <w:sz w:val="17"/>
                </w:rPr>
                <w:t>28</w:t>
              </w:r>
            </w:hyperlink>
          </w:p>
        </w:tc>
      </w:tr>
      <w:tr>
        <w:trPr/>
        <w:tc>
          <w:tcPr>
            <w:tcW w:w="762" w:type="dxa"/>
            <w:tcBorders/>
            <w:shd w:fill="auto" w:val="clear"/>
            <w:vAlign w:val="center"/>
          </w:tcPr>
          <w:p>
            <w:pPr>
              <w:pStyle w:val="TableContents"/>
              <w:spacing w:before="0" w:after="0"/>
              <w:ind w:left="0" w:right="0" w:firstLine="30"/>
              <w:rPr/>
            </w:pPr>
            <w:hyperlink w:anchor="s540C68A133595C0987BFB381FB2AAF3A">
              <w:r>
                <w:rPr>
                  <w:rStyle w:val="InternetLink"/>
                  <w:rFonts w:ascii="inherit" w:hAnsi="inherit"/>
                  <w:sz w:val="17"/>
                </w:rPr>
                <w:t>Item 3.</w:t>
              </w:r>
            </w:hyperlink>
          </w:p>
        </w:tc>
        <w:tc>
          <w:tcPr>
            <w:tcW w:w="8927" w:type="dxa"/>
            <w:gridSpan w:val="2"/>
            <w:tcBorders/>
            <w:shd w:fill="auto" w:val="clear"/>
            <w:vAlign w:val="center"/>
          </w:tcPr>
          <w:p>
            <w:pPr>
              <w:pStyle w:val="TableContents"/>
              <w:spacing w:before="0" w:after="0"/>
              <w:ind w:left="0" w:right="0" w:firstLine="30"/>
              <w:rPr/>
            </w:pPr>
            <w:hyperlink w:anchor="s540C68A133595C0987BFB381FB2AAF3A">
              <w:r>
                <w:rPr>
                  <w:rStyle w:val="InternetLink"/>
                  <w:rFonts w:ascii="inherit" w:hAnsi="inherit"/>
                  <w:sz w:val="17"/>
                </w:rPr>
                <w:t>Quantitative and Qualitative Disclosures About Market Risk</w:t>
              </w:r>
            </w:hyperlink>
          </w:p>
        </w:tc>
        <w:tc>
          <w:tcPr>
            <w:tcW w:w="516" w:type="dxa"/>
            <w:tcBorders/>
            <w:shd w:fill="auto" w:val="clear"/>
            <w:vAlign w:val="center"/>
          </w:tcPr>
          <w:p>
            <w:pPr>
              <w:pStyle w:val="TableContents"/>
              <w:spacing w:before="0" w:after="0"/>
              <w:ind w:left="0" w:right="0" w:firstLine="30"/>
              <w:jc w:val="center"/>
              <w:rPr/>
            </w:pPr>
            <w:hyperlink w:anchor="s540C68A133595C0987BFB381FB2AAF3A">
              <w:r>
                <w:rPr>
                  <w:rStyle w:val="InternetLink"/>
                  <w:rFonts w:ascii="inherit" w:hAnsi="inherit"/>
                  <w:sz w:val="17"/>
                </w:rPr>
                <w:t>39</w:t>
              </w:r>
            </w:hyperlink>
          </w:p>
        </w:tc>
      </w:tr>
      <w:tr>
        <w:trPr/>
        <w:tc>
          <w:tcPr>
            <w:tcW w:w="762" w:type="dxa"/>
            <w:tcBorders/>
            <w:shd w:fill="CCEEFF" w:val="clear"/>
            <w:vAlign w:val="center"/>
          </w:tcPr>
          <w:p>
            <w:pPr>
              <w:pStyle w:val="TableContents"/>
              <w:spacing w:before="0" w:after="0"/>
              <w:ind w:left="0" w:right="0" w:firstLine="30"/>
              <w:rPr/>
            </w:pPr>
            <w:hyperlink w:anchor="s540C68A133595C0987BFB381FB2AAF3A">
              <w:r>
                <w:rPr>
                  <w:rStyle w:val="InternetLink"/>
                  <w:rFonts w:ascii="inherit" w:hAnsi="inherit"/>
                  <w:sz w:val="17"/>
                </w:rPr>
                <w:t>Item 4.</w:t>
              </w:r>
            </w:hyperlink>
          </w:p>
        </w:tc>
        <w:tc>
          <w:tcPr>
            <w:tcW w:w="8927" w:type="dxa"/>
            <w:gridSpan w:val="2"/>
            <w:tcBorders/>
            <w:shd w:fill="CCEEFF" w:val="clear"/>
            <w:vAlign w:val="center"/>
          </w:tcPr>
          <w:p>
            <w:pPr>
              <w:pStyle w:val="TableContents"/>
              <w:spacing w:before="0" w:after="0"/>
              <w:ind w:left="0" w:right="0" w:firstLine="30"/>
              <w:rPr/>
            </w:pPr>
            <w:hyperlink w:anchor="s4CD8BF3CD0585DEDA23A1276BFA4CA99">
              <w:r>
                <w:rPr>
                  <w:rStyle w:val="InternetLink"/>
                  <w:rFonts w:ascii="inherit" w:hAnsi="inherit"/>
                  <w:sz w:val="17"/>
                </w:rPr>
                <w:t>Controls and Procedures</w:t>
              </w:r>
            </w:hyperlink>
          </w:p>
        </w:tc>
        <w:tc>
          <w:tcPr>
            <w:tcW w:w="516" w:type="dxa"/>
            <w:tcBorders/>
            <w:shd w:fill="CCEEFF" w:val="clear"/>
            <w:vAlign w:val="center"/>
          </w:tcPr>
          <w:p>
            <w:pPr>
              <w:pStyle w:val="TableContents"/>
              <w:spacing w:before="0" w:after="0"/>
              <w:ind w:left="0" w:right="0" w:firstLine="30"/>
              <w:jc w:val="center"/>
              <w:rPr/>
            </w:pPr>
            <w:hyperlink w:anchor="s4CD8BF3CD0585DEDA23A1276BFA4CA99">
              <w:r>
                <w:rPr>
                  <w:rStyle w:val="InternetLink"/>
                  <w:rFonts w:ascii="inherit" w:hAnsi="inherit"/>
                  <w:sz w:val="17"/>
                </w:rPr>
                <w:t>39</w:t>
              </w:r>
            </w:hyperlink>
          </w:p>
        </w:tc>
      </w:tr>
      <w:tr>
        <w:trPr/>
        <w:tc>
          <w:tcPr>
            <w:tcW w:w="762" w:type="dxa"/>
            <w:tcBorders/>
            <w:shd w:fill="auto" w:val="clear"/>
            <w:vAlign w:val="center"/>
          </w:tcPr>
          <w:p>
            <w:pPr>
              <w:pStyle w:val="TableContents"/>
              <w:spacing w:before="0" w:after="0"/>
              <w:ind w:left="0" w:right="0" w:firstLine="30"/>
              <w:rPr/>
            </w:pPr>
            <w:r>
              <w:rPr/>
              <w:t> </w:t>
            </w:r>
          </w:p>
        </w:tc>
        <w:tc>
          <w:tcPr>
            <w:tcW w:w="8927" w:type="dxa"/>
            <w:gridSpan w:val="2"/>
            <w:tcBorders/>
            <w:shd w:fill="auto" w:val="clear"/>
            <w:vAlign w:val="center"/>
          </w:tcPr>
          <w:p>
            <w:pPr>
              <w:pStyle w:val="TableContents"/>
              <w:spacing w:before="0" w:after="0"/>
              <w:ind w:left="0" w:right="0" w:firstLine="30"/>
              <w:rPr/>
            </w:pPr>
            <w:r>
              <w:rPr/>
              <w:t> </w:t>
            </w:r>
          </w:p>
        </w:tc>
        <w:tc>
          <w:tcPr>
            <w:tcW w:w="516" w:type="dxa"/>
            <w:tcBorders/>
            <w:shd w:fill="auto" w:val="clear"/>
            <w:vAlign w:val="center"/>
          </w:tcPr>
          <w:p>
            <w:pPr>
              <w:pStyle w:val="TableContents"/>
              <w:spacing w:before="0" w:after="0"/>
              <w:ind w:left="0" w:right="0" w:firstLine="30"/>
              <w:rPr/>
            </w:pPr>
            <w:r>
              <w:rPr/>
              <w:t> </w:t>
            </w:r>
          </w:p>
        </w:tc>
      </w:tr>
      <w:tr>
        <w:trPr/>
        <w:tc>
          <w:tcPr>
            <w:tcW w:w="762" w:type="dxa"/>
            <w:tcBorders/>
            <w:shd w:fill="CCEEFF" w:val="clear"/>
            <w:vAlign w:val="center"/>
          </w:tcPr>
          <w:p>
            <w:pPr>
              <w:pStyle w:val="TableContents"/>
              <w:spacing w:before="0" w:after="0"/>
              <w:ind w:left="0" w:right="0" w:firstLine="30"/>
              <w:rPr/>
            </w:pPr>
            <w:hyperlink w:anchor="s3BD2387EE0B953C897D37BE4796C32D2">
              <w:r>
                <w:rPr>
                  <w:rStyle w:val="InternetLink"/>
                  <w:rFonts w:ascii="inherit" w:hAnsi="inherit"/>
                  <w:b/>
                  <w:sz w:val="17"/>
                </w:rPr>
                <w:t>PART II.</w:t>
              </w:r>
            </w:hyperlink>
          </w:p>
        </w:tc>
        <w:tc>
          <w:tcPr>
            <w:tcW w:w="8927" w:type="dxa"/>
            <w:gridSpan w:val="2"/>
            <w:tcBorders/>
            <w:shd w:fill="CCEEFF" w:val="clear"/>
            <w:vAlign w:val="center"/>
          </w:tcPr>
          <w:p>
            <w:pPr>
              <w:pStyle w:val="TableContents"/>
              <w:spacing w:before="0" w:after="0"/>
              <w:ind w:left="0" w:right="0" w:firstLine="30"/>
              <w:rPr/>
            </w:pPr>
            <w:hyperlink w:anchor="s3BD2387EE0B953C897D37BE4796C32D2">
              <w:r>
                <w:rPr>
                  <w:rStyle w:val="InternetLink"/>
                  <w:rFonts w:ascii="inherit" w:hAnsi="inherit"/>
                  <w:b/>
                  <w:sz w:val="17"/>
                </w:rPr>
                <w:t>OTHER INFORMATION</w:t>
              </w:r>
            </w:hyperlink>
          </w:p>
        </w:tc>
        <w:tc>
          <w:tcPr>
            <w:tcW w:w="516" w:type="dxa"/>
            <w:tcBorders/>
            <w:shd w:fill="CCEEFF" w:val="clear"/>
            <w:vAlign w:val="center"/>
          </w:tcPr>
          <w:p>
            <w:pPr>
              <w:pStyle w:val="TableContents"/>
              <w:spacing w:before="0" w:after="0"/>
              <w:ind w:left="0" w:right="0" w:firstLine="30"/>
              <w:rPr/>
            </w:pPr>
            <w:r>
              <w:rPr/>
              <w:t> </w:t>
            </w:r>
          </w:p>
        </w:tc>
      </w:tr>
      <w:tr>
        <w:trPr/>
        <w:tc>
          <w:tcPr>
            <w:tcW w:w="762" w:type="dxa"/>
            <w:tcBorders/>
            <w:shd w:fill="auto" w:val="clear"/>
            <w:vAlign w:val="center"/>
          </w:tcPr>
          <w:p>
            <w:pPr>
              <w:pStyle w:val="TableContents"/>
              <w:spacing w:before="0" w:after="0"/>
              <w:ind w:left="0" w:right="0" w:firstLine="30"/>
              <w:rPr/>
            </w:pPr>
            <w:hyperlink w:anchor="s15BDC5DDCE745A2180EE0FB48B59B311">
              <w:r>
                <w:rPr>
                  <w:rStyle w:val="InternetLink"/>
                  <w:rFonts w:ascii="inherit" w:hAnsi="inherit"/>
                  <w:sz w:val="17"/>
                </w:rPr>
                <w:t>Item 1.</w:t>
              </w:r>
            </w:hyperlink>
          </w:p>
        </w:tc>
        <w:tc>
          <w:tcPr>
            <w:tcW w:w="8927" w:type="dxa"/>
            <w:gridSpan w:val="2"/>
            <w:tcBorders/>
            <w:shd w:fill="auto" w:val="clear"/>
            <w:vAlign w:val="center"/>
          </w:tcPr>
          <w:p>
            <w:pPr>
              <w:pStyle w:val="TableContents"/>
              <w:spacing w:before="0" w:after="0"/>
              <w:ind w:left="0" w:right="0" w:firstLine="30"/>
              <w:rPr/>
            </w:pPr>
            <w:hyperlink w:anchor="s15BDC5DDCE745A2180EE0FB48B59B311">
              <w:r>
                <w:rPr>
                  <w:rStyle w:val="InternetLink"/>
                  <w:rFonts w:ascii="inherit" w:hAnsi="inherit"/>
                  <w:sz w:val="17"/>
                </w:rPr>
                <w:t>Legal Proceedings</w:t>
              </w:r>
            </w:hyperlink>
          </w:p>
        </w:tc>
        <w:tc>
          <w:tcPr>
            <w:tcW w:w="516" w:type="dxa"/>
            <w:tcBorders/>
            <w:shd w:fill="auto" w:val="clear"/>
            <w:vAlign w:val="center"/>
          </w:tcPr>
          <w:p>
            <w:pPr>
              <w:pStyle w:val="TableContents"/>
              <w:spacing w:before="0" w:after="0"/>
              <w:ind w:left="0" w:right="0" w:firstLine="30"/>
              <w:jc w:val="center"/>
              <w:rPr/>
            </w:pPr>
            <w:hyperlink w:anchor="s15BDC5DDCE745A2180EE0FB48B59B311">
              <w:r>
                <w:rPr>
                  <w:rStyle w:val="InternetLink"/>
                  <w:rFonts w:ascii="inherit" w:hAnsi="inherit"/>
                  <w:sz w:val="17"/>
                </w:rPr>
                <w:t>40</w:t>
              </w:r>
            </w:hyperlink>
          </w:p>
        </w:tc>
      </w:tr>
      <w:tr>
        <w:trPr/>
        <w:tc>
          <w:tcPr>
            <w:tcW w:w="762" w:type="dxa"/>
            <w:tcBorders/>
            <w:shd w:fill="CCEEFF" w:val="clear"/>
            <w:vAlign w:val="center"/>
          </w:tcPr>
          <w:p>
            <w:pPr>
              <w:pStyle w:val="TableContents"/>
              <w:spacing w:before="0" w:after="0"/>
              <w:ind w:left="0" w:right="0" w:firstLine="30"/>
              <w:rPr/>
            </w:pPr>
            <w:hyperlink w:anchor="sCF9E2D91686F5AF0A82E53E5F07A1BD7">
              <w:r>
                <w:rPr>
                  <w:rStyle w:val="InternetLink"/>
                  <w:rFonts w:ascii="inherit" w:hAnsi="inherit"/>
                  <w:sz w:val="17"/>
                </w:rPr>
                <w:t>Item 1A.</w:t>
              </w:r>
            </w:hyperlink>
          </w:p>
        </w:tc>
        <w:tc>
          <w:tcPr>
            <w:tcW w:w="8927" w:type="dxa"/>
            <w:gridSpan w:val="2"/>
            <w:tcBorders/>
            <w:shd w:fill="CCEEFF" w:val="clear"/>
            <w:vAlign w:val="center"/>
          </w:tcPr>
          <w:p>
            <w:pPr>
              <w:pStyle w:val="TableContents"/>
              <w:spacing w:before="0" w:after="0"/>
              <w:ind w:left="0" w:right="0" w:firstLine="30"/>
              <w:rPr/>
            </w:pPr>
            <w:hyperlink w:anchor="sCF9E2D91686F5AF0A82E53E5F07A1BD7">
              <w:r>
                <w:rPr>
                  <w:rStyle w:val="InternetLink"/>
                  <w:rFonts w:ascii="inherit" w:hAnsi="inherit"/>
                  <w:sz w:val="17"/>
                </w:rPr>
                <w:t>Risk Factors</w:t>
              </w:r>
            </w:hyperlink>
          </w:p>
        </w:tc>
        <w:tc>
          <w:tcPr>
            <w:tcW w:w="516" w:type="dxa"/>
            <w:tcBorders/>
            <w:shd w:fill="CCEEFF" w:val="clear"/>
            <w:vAlign w:val="center"/>
          </w:tcPr>
          <w:p>
            <w:pPr>
              <w:pStyle w:val="TableContents"/>
              <w:spacing w:before="0" w:after="0"/>
              <w:ind w:left="0" w:right="0" w:firstLine="30"/>
              <w:jc w:val="center"/>
              <w:rPr/>
            </w:pPr>
            <w:hyperlink w:anchor="sCF9E2D91686F5AF0A82E53E5F07A1BD7">
              <w:r>
                <w:rPr>
                  <w:rStyle w:val="InternetLink"/>
                  <w:rFonts w:ascii="inherit" w:hAnsi="inherit"/>
                  <w:sz w:val="17"/>
                </w:rPr>
                <w:t>40</w:t>
              </w:r>
            </w:hyperlink>
          </w:p>
        </w:tc>
      </w:tr>
      <w:tr>
        <w:trPr/>
        <w:tc>
          <w:tcPr>
            <w:tcW w:w="762" w:type="dxa"/>
            <w:tcBorders/>
            <w:shd w:fill="auto" w:val="clear"/>
            <w:vAlign w:val="center"/>
          </w:tcPr>
          <w:p>
            <w:pPr>
              <w:pStyle w:val="TableContents"/>
              <w:spacing w:before="0" w:after="0"/>
              <w:ind w:left="0" w:right="0" w:firstLine="30"/>
              <w:rPr/>
            </w:pPr>
            <w:hyperlink w:anchor="s850FBC7EAF375213BC320C9D9E649A6B">
              <w:r>
                <w:rPr>
                  <w:rStyle w:val="InternetLink"/>
                  <w:rFonts w:ascii="inherit" w:hAnsi="inherit"/>
                  <w:sz w:val="17"/>
                </w:rPr>
                <w:t>Item 2.</w:t>
              </w:r>
            </w:hyperlink>
          </w:p>
        </w:tc>
        <w:tc>
          <w:tcPr>
            <w:tcW w:w="8927" w:type="dxa"/>
            <w:gridSpan w:val="2"/>
            <w:tcBorders/>
            <w:shd w:fill="auto" w:val="clear"/>
            <w:vAlign w:val="center"/>
          </w:tcPr>
          <w:p>
            <w:pPr>
              <w:pStyle w:val="TableContents"/>
              <w:spacing w:before="0" w:after="0"/>
              <w:ind w:left="0" w:right="0" w:firstLine="30"/>
              <w:rPr/>
            </w:pPr>
            <w:hyperlink w:anchor="s850FBC7EAF375213BC320C9D9E649A6B">
              <w:r>
                <w:rPr>
                  <w:rStyle w:val="InternetLink"/>
                  <w:rFonts w:ascii="inherit" w:hAnsi="inherit"/>
                  <w:sz w:val="17"/>
                </w:rPr>
                <w:t>Unregistered Sales of Equity Securities and Use of Proceeds</w:t>
              </w:r>
            </w:hyperlink>
          </w:p>
        </w:tc>
        <w:tc>
          <w:tcPr>
            <w:tcW w:w="516" w:type="dxa"/>
            <w:tcBorders/>
            <w:shd w:fill="auto" w:val="clear"/>
            <w:vAlign w:val="center"/>
          </w:tcPr>
          <w:p>
            <w:pPr>
              <w:pStyle w:val="TableContents"/>
              <w:spacing w:before="0" w:after="0"/>
              <w:ind w:left="0" w:right="0" w:firstLine="30"/>
              <w:jc w:val="center"/>
              <w:rPr/>
            </w:pPr>
            <w:hyperlink w:anchor="s850FBC7EAF375213BC320C9D9E649A6B">
              <w:r>
                <w:rPr>
                  <w:rStyle w:val="InternetLink"/>
                  <w:rFonts w:ascii="inherit" w:hAnsi="inherit"/>
                  <w:sz w:val="17"/>
                </w:rPr>
                <w:t>40</w:t>
              </w:r>
            </w:hyperlink>
          </w:p>
        </w:tc>
      </w:tr>
      <w:tr>
        <w:trPr/>
        <w:tc>
          <w:tcPr>
            <w:tcW w:w="762" w:type="dxa"/>
            <w:tcBorders/>
            <w:shd w:fill="CCEEFF" w:val="clear"/>
            <w:vAlign w:val="center"/>
          </w:tcPr>
          <w:p>
            <w:pPr>
              <w:pStyle w:val="TableContents"/>
              <w:spacing w:before="0" w:after="0"/>
              <w:ind w:left="0" w:right="0" w:firstLine="30"/>
              <w:rPr/>
            </w:pPr>
            <w:hyperlink w:anchor="sD8F6C7DAAED95190987F90E20EE143C9">
              <w:r>
                <w:rPr>
                  <w:rStyle w:val="InternetLink"/>
                  <w:rFonts w:ascii="inherit" w:hAnsi="inherit"/>
                  <w:sz w:val="17"/>
                </w:rPr>
                <w:t>Item 3.</w:t>
              </w:r>
            </w:hyperlink>
          </w:p>
        </w:tc>
        <w:tc>
          <w:tcPr>
            <w:tcW w:w="8927" w:type="dxa"/>
            <w:gridSpan w:val="2"/>
            <w:tcBorders/>
            <w:shd w:fill="CCEEFF" w:val="clear"/>
            <w:vAlign w:val="center"/>
          </w:tcPr>
          <w:p>
            <w:pPr>
              <w:pStyle w:val="TableContents"/>
              <w:spacing w:before="0" w:after="0"/>
              <w:ind w:left="0" w:right="0" w:firstLine="30"/>
              <w:rPr/>
            </w:pPr>
            <w:hyperlink w:anchor="sD8F6C7DAAED95190987F90E20EE143C9">
              <w:r>
                <w:rPr>
                  <w:rStyle w:val="InternetLink"/>
                  <w:rFonts w:ascii="inherit" w:hAnsi="inherit"/>
                  <w:sz w:val="17"/>
                </w:rPr>
                <w:t>Defaults Upon Senior Securities</w:t>
              </w:r>
            </w:hyperlink>
          </w:p>
        </w:tc>
        <w:tc>
          <w:tcPr>
            <w:tcW w:w="516" w:type="dxa"/>
            <w:tcBorders/>
            <w:shd w:fill="CCEEFF" w:val="clear"/>
            <w:vAlign w:val="center"/>
          </w:tcPr>
          <w:p>
            <w:pPr>
              <w:pStyle w:val="TableContents"/>
              <w:spacing w:before="0" w:after="0"/>
              <w:ind w:left="0" w:right="0" w:firstLine="30"/>
              <w:jc w:val="center"/>
              <w:rPr/>
            </w:pPr>
            <w:hyperlink w:anchor="sD8F6C7DAAED95190987F90E20EE143C9">
              <w:r>
                <w:rPr>
                  <w:rStyle w:val="InternetLink"/>
                  <w:rFonts w:ascii="inherit" w:hAnsi="inherit"/>
                  <w:sz w:val="17"/>
                </w:rPr>
                <w:t>40</w:t>
              </w:r>
            </w:hyperlink>
          </w:p>
        </w:tc>
      </w:tr>
      <w:tr>
        <w:trPr/>
        <w:tc>
          <w:tcPr>
            <w:tcW w:w="762" w:type="dxa"/>
            <w:tcBorders/>
            <w:shd w:fill="auto" w:val="clear"/>
            <w:vAlign w:val="center"/>
          </w:tcPr>
          <w:p>
            <w:pPr>
              <w:pStyle w:val="TableContents"/>
              <w:spacing w:before="0" w:after="0"/>
              <w:ind w:left="0" w:right="0" w:firstLine="30"/>
              <w:rPr/>
            </w:pPr>
            <w:hyperlink w:anchor="s075F065830E75B018909D7709FAD0BB8">
              <w:r>
                <w:rPr>
                  <w:rStyle w:val="InternetLink"/>
                  <w:rFonts w:ascii="inherit" w:hAnsi="inherit"/>
                  <w:sz w:val="17"/>
                </w:rPr>
                <w:t>Item 4.</w:t>
              </w:r>
            </w:hyperlink>
          </w:p>
        </w:tc>
        <w:tc>
          <w:tcPr>
            <w:tcW w:w="8927" w:type="dxa"/>
            <w:gridSpan w:val="2"/>
            <w:tcBorders/>
            <w:shd w:fill="auto" w:val="clear"/>
            <w:vAlign w:val="center"/>
          </w:tcPr>
          <w:p>
            <w:pPr>
              <w:pStyle w:val="TableContents"/>
              <w:spacing w:before="0" w:after="0"/>
              <w:ind w:left="0" w:right="0" w:firstLine="30"/>
              <w:rPr/>
            </w:pPr>
            <w:hyperlink w:anchor="s075F065830E75B018909D7709FAD0BB8">
              <w:r>
                <w:rPr>
                  <w:rStyle w:val="InternetLink"/>
                  <w:rFonts w:ascii="inherit" w:hAnsi="inherit"/>
                  <w:sz w:val="17"/>
                </w:rPr>
                <w:t>Mine Safety Disclosures</w:t>
              </w:r>
            </w:hyperlink>
          </w:p>
        </w:tc>
        <w:tc>
          <w:tcPr>
            <w:tcW w:w="516" w:type="dxa"/>
            <w:tcBorders/>
            <w:shd w:fill="auto" w:val="clear"/>
            <w:vAlign w:val="center"/>
          </w:tcPr>
          <w:p>
            <w:pPr>
              <w:pStyle w:val="TableContents"/>
              <w:spacing w:before="0" w:after="0"/>
              <w:ind w:left="0" w:right="0" w:firstLine="30"/>
              <w:jc w:val="center"/>
              <w:rPr/>
            </w:pPr>
            <w:hyperlink w:anchor="s075F065830E75B018909D7709FAD0BB8">
              <w:r>
                <w:rPr>
                  <w:rStyle w:val="InternetLink"/>
                  <w:rFonts w:ascii="inherit" w:hAnsi="inherit"/>
                  <w:sz w:val="17"/>
                </w:rPr>
                <w:t>41</w:t>
              </w:r>
            </w:hyperlink>
          </w:p>
        </w:tc>
      </w:tr>
      <w:tr>
        <w:trPr/>
        <w:tc>
          <w:tcPr>
            <w:tcW w:w="762" w:type="dxa"/>
            <w:tcBorders/>
            <w:shd w:fill="CCEEFF" w:val="clear"/>
            <w:vAlign w:val="center"/>
          </w:tcPr>
          <w:p>
            <w:pPr>
              <w:pStyle w:val="TableContents"/>
              <w:spacing w:before="0" w:after="0"/>
              <w:ind w:left="0" w:right="0" w:firstLine="30"/>
              <w:rPr/>
            </w:pPr>
            <w:hyperlink w:anchor="s0A94C6A2558D58D58D512EEBC3FD42D3">
              <w:r>
                <w:rPr>
                  <w:rStyle w:val="InternetLink"/>
                  <w:rFonts w:ascii="inherit" w:hAnsi="inherit"/>
                  <w:sz w:val="17"/>
                </w:rPr>
                <w:t>Item 5</w:t>
              </w:r>
            </w:hyperlink>
            <w:r>
              <w:rPr>
                <w:rFonts w:ascii="inherit" w:hAnsi="inherit"/>
                <w:sz w:val="17"/>
              </w:rPr>
              <w:t>.</w:t>
            </w:r>
          </w:p>
        </w:tc>
        <w:tc>
          <w:tcPr>
            <w:tcW w:w="8927" w:type="dxa"/>
            <w:gridSpan w:val="2"/>
            <w:tcBorders/>
            <w:shd w:fill="CCEEFF" w:val="clear"/>
            <w:vAlign w:val="center"/>
          </w:tcPr>
          <w:p>
            <w:pPr>
              <w:pStyle w:val="TableContents"/>
              <w:spacing w:before="0" w:after="0"/>
              <w:ind w:left="0" w:right="0" w:firstLine="30"/>
              <w:rPr/>
            </w:pPr>
            <w:hyperlink w:anchor="s0A94C6A2558D58D58D512EEBC3FD42D3">
              <w:r>
                <w:rPr>
                  <w:rStyle w:val="InternetLink"/>
                  <w:rFonts w:ascii="inherit" w:hAnsi="inherit"/>
                  <w:sz w:val="17"/>
                </w:rPr>
                <w:t>Other Information</w:t>
              </w:r>
            </w:hyperlink>
          </w:p>
        </w:tc>
        <w:tc>
          <w:tcPr>
            <w:tcW w:w="516" w:type="dxa"/>
            <w:tcBorders/>
            <w:shd w:fill="CCEEFF" w:val="clear"/>
            <w:vAlign w:val="center"/>
          </w:tcPr>
          <w:p>
            <w:pPr>
              <w:pStyle w:val="TableContents"/>
              <w:spacing w:before="0" w:after="0"/>
              <w:ind w:left="0" w:right="0" w:firstLine="30"/>
              <w:jc w:val="center"/>
              <w:rPr/>
            </w:pPr>
            <w:hyperlink w:anchor="s0A94C6A2558D58D58D512EEBC3FD42D3">
              <w:r>
                <w:rPr>
                  <w:rStyle w:val="InternetLink"/>
                  <w:rFonts w:ascii="inherit" w:hAnsi="inherit"/>
                  <w:sz w:val="17"/>
                </w:rPr>
                <w:t>41</w:t>
              </w:r>
            </w:hyperlink>
          </w:p>
        </w:tc>
      </w:tr>
      <w:tr>
        <w:trPr/>
        <w:tc>
          <w:tcPr>
            <w:tcW w:w="762" w:type="dxa"/>
            <w:tcBorders/>
            <w:shd w:fill="auto" w:val="clear"/>
            <w:vAlign w:val="center"/>
          </w:tcPr>
          <w:p>
            <w:pPr>
              <w:pStyle w:val="TableContents"/>
              <w:spacing w:before="0" w:after="0"/>
              <w:ind w:left="0" w:right="0" w:firstLine="30"/>
              <w:rPr/>
            </w:pPr>
            <w:hyperlink w:anchor="s2B9A44F8EBA6512F95EDE5A169980AD0">
              <w:r>
                <w:rPr>
                  <w:rStyle w:val="InternetLink"/>
                  <w:rFonts w:ascii="inherit" w:hAnsi="inherit"/>
                  <w:sz w:val="17"/>
                </w:rPr>
                <w:t>Item 6.</w:t>
              </w:r>
            </w:hyperlink>
          </w:p>
        </w:tc>
        <w:tc>
          <w:tcPr>
            <w:tcW w:w="8927" w:type="dxa"/>
            <w:gridSpan w:val="2"/>
            <w:tcBorders/>
            <w:shd w:fill="auto" w:val="clear"/>
            <w:vAlign w:val="center"/>
          </w:tcPr>
          <w:p>
            <w:pPr>
              <w:pStyle w:val="TableContents"/>
              <w:spacing w:before="0" w:after="0"/>
              <w:ind w:left="0" w:right="0" w:firstLine="30"/>
              <w:rPr/>
            </w:pPr>
            <w:hyperlink w:anchor="s2B9A44F8EBA6512F95EDE5A169980AD0">
              <w:r>
                <w:rPr>
                  <w:rStyle w:val="InternetLink"/>
                  <w:rFonts w:ascii="inherit" w:hAnsi="inherit"/>
                  <w:sz w:val="17"/>
                </w:rPr>
                <w:t>Exhibits</w:t>
              </w:r>
            </w:hyperlink>
          </w:p>
        </w:tc>
        <w:tc>
          <w:tcPr>
            <w:tcW w:w="516" w:type="dxa"/>
            <w:tcBorders/>
            <w:shd w:fill="auto" w:val="clear"/>
            <w:vAlign w:val="center"/>
          </w:tcPr>
          <w:p>
            <w:pPr>
              <w:pStyle w:val="TableContents"/>
              <w:spacing w:before="0" w:after="0"/>
              <w:ind w:left="0" w:right="0" w:firstLine="30"/>
              <w:jc w:val="center"/>
              <w:rPr/>
            </w:pPr>
            <w:hyperlink w:anchor="s2B9A44F8EBA6512F95EDE5A169980AD0">
              <w:r>
                <w:rPr>
                  <w:rStyle w:val="InternetLink"/>
                  <w:rFonts w:ascii="inherit" w:hAnsi="inherit"/>
                  <w:sz w:val="17"/>
                </w:rPr>
                <w:t>41</w:t>
              </w:r>
            </w:hyperlink>
          </w:p>
        </w:tc>
      </w:tr>
      <w:tr>
        <w:trPr/>
        <w:tc>
          <w:tcPr>
            <w:tcW w:w="762" w:type="dxa"/>
            <w:tcBorders/>
            <w:shd w:fill="CCEEFF" w:val="clear"/>
            <w:vAlign w:val="center"/>
          </w:tcPr>
          <w:p>
            <w:pPr>
              <w:pStyle w:val="TableContents"/>
              <w:spacing w:before="0" w:after="0"/>
              <w:ind w:left="0" w:right="0" w:firstLine="30"/>
              <w:rPr/>
            </w:pPr>
            <w:r>
              <w:rPr/>
              <w:t> </w:t>
            </w:r>
          </w:p>
        </w:tc>
        <w:tc>
          <w:tcPr>
            <w:tcW w:w="8927" w:type="dxa"/>
            <w:gridSpan w:val="2"/>
            <w:tcBorders/>
            <w:shd w:fill="CCEEFF" w:val="clear"/>
            <w:vAlign w:val="center"/>
          </w:tcPr>
          <w:p>
            <w:pPr>
              <w:pStyle w:val="TableContents"/>
              <w:spacing w:before="0" w:after="0"/>
              <w:ind w:left="0" w:right="0" w:firstLine="30"/>
              <w:rPr/>
            </w:pPr>
            <w:r>
              <w:rPr/>
              <w:t> </w:t>
            </w:r>
          </w:p>
        </w:tc>
        <w:tc>
          <w:tcPr>
            <w:tcW w:w="516" w:type="dxa"/>
            <w:tcBorders/>
            <w:shd w:fill="CCEEFF" w:val="clear"/>
            <w:vAlign w:val="center"/>
          </w:tcPr>
          <w:p>
            <w:pPr>
              <w:pStyle w:val="TableContents"/>
              <w:spacing w:before="0" w:after="0"/>
              <w:ind w:left="0" w:right="0" w:firstLine="30"/>
              <w:rPr/>
            </w:pPr>
            <w:r>
              <w:rPr/>
              <w:t> </w:t>
            </w:r>
          </w:p>
        </w:tc>
      </w:tr>
      <w:tr>
        <w:trPr/>
        <w:tc>
          <w:tcPr>
            <w:tcW w:w="9689" w:type="dxa"/>
            <w:gridSpan w:val="3"/>
            <w:tcBorders/>
            <w:shd w:fill="auto" w:val="clear"/>
            <w:vAlign w:val="center"/>
          </w:tcPr>
          <w:p>
            <w:pPr>
              <w:pStyle w:val="TableContents"/>
              <w:spacing w:before="0" w:after="0"/>
              <w:ind w:left="0" w:right="0" w:firstLine="30"/>
              <w:rPr/>
            </w:pPr>
            <w:hyperlink w:anchor="s9B476B03845D5295AC64488D1AA7137F">
              <w:r>
                <w:rPr>
                  <w:rStyle w:val="InternetLink"/>
                  <w:rFonts w:ascii="inherit" w:hAnsi="inherit"/>
                  <w:b/>
                  <w:sz w:val="17"/>
                </w:rPr>
                <w:t>Signatures</w:t>
              </w:r>
            </w:hyperlink>
          </w:p>
        </w:tc>
        <w:tc>
          <w:tcPr>
            <w:tcW w:w="516" w:type="dxa"/>
            <w:tcBorders/>
            <w:shd w:fill="auto" w:val="clear"/>
            <w:vAlign w:val="center"/>
          </w:tcPr>
          <w:p>
            <w:pPr>
              <w:pStyle w:val="TableContents"/>
              <w:spacing w:before="0" w:after="0"/>
              <w:jc w:val="center"/>
              <w:rPr/>
            </w:pPr>
            <w:hyperlink w:anchor="s9B476B03845D5295AC64488D1AA7137F">
              <w:r>
                <w:rPr>
                  <w:rStyle w:val="InternetLink"/>
                  <w:rFonts w:ascii="inherit" w:hAnsi="inherit"/>
                  <w:sz w:val="17"/>
                </w:rPr>
                <w:t>42</w:t>
              </w:r>
            </w:hyperlink>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lineRule="auto" w:line="288" w:before="0" w:after="0"/>
        <w:jc w:val="both"/>
        <w:rPr/>
      </w:pPr>
      <w:hyperlink w:anchor="s7181E430E8A9506B896277AC8CF177C4">
        <w:bookmarkStart w:id="4" w:name="sEA608F2AD2985B29A03AA50DACC268E4"/>
        <w:bookmarkEnd w:id="4"/>
        <w:r>
          <w:rPr>
            <w:rStyle w:val="InternetLink"/>
            <w:rFonts w:ascii="inherit" w:hAnsi="inherit"/>
            <w:sz w:val="17"/>
          </w:rPr>
          <w:t>Table of Contents</w:t>
        </w:r>
      </w:hyperlink>
    </w:p>
    <w:p>
      <w:pPr>
        <w:pStyle w:val="TextBody"/>
        <w:spacing w:before="0" w:after="0"/>
        <w:rPr/>
      </w:pPr>
      <w:r>
        <w:rPr/>
      </w:r>
    </w:p>
    <w:tbl>
      <w:tblPr>
        <w:tblW w:w="4000" w:type="dxa"/>
        <w:jc w:val="left"/>
        <w:tblInd w:w="0" w:type="dxa"/>
        <w:tblCellMar>
          <w:top w:w="0" w:type="dxa"/>
          <w:left w:w="0" w:type="dxa"/>
          <w:bottom w:w="0" w:type="dxa"/>
          <w:right w:w="0" w:type="dxa"/>
        </w:tblCellMar>
      </w:tblPr>
      <w:tblGrid>
        <w:gridCol w:w="1130"/>
        <w:gridCol w:w="2870"/>
      </w:tblGrid>
      <w:tr>
        <w:trPr/>
        <w:tc>
          <w:tcPr>
            <w:tcW w:w="1130" w:type="dxa"/>
            <w:tcBorders/>
            <w:shd w:fill="auto" w:val="clear"/>
            <w:vAlign w:val="center"/>
          </w:tcPr>
          <w:p>
            <w:pPr>
              <w:pStyle w:val="TableContents"/>
              <w:spacing w:before="0" w:after="283"/>
              <w:rPr>
                <w:sz w:val="4"/>
                <w:szCs w:val="4"/>
              </w:rPr>
            </w:pPr>
            <w:r>
              <w:rPr>
                <w:sz w:val="4"/>
                <w:szCs w:val="4"/>
              </w:rPr>
            </w:r>
          </w:p>
        </w:tc>
        <w:tc>
          <w:tcPr>
            <w:tcW w:w="2870" w:type="dxa"/>
            <w:tcBorders/>
            <w:shd w:fill="auto" w:val="clear"/>
            <w:vAlign w:val="center"/>
          </w:tcPr>
          <w:p>
            <w:pPr>
              <w:pStyle w:val="TableContents"/>
              <w:spacing w:before="0" w:after="283"/>
              <w:rPr>
                <w:sz w:val="4"/>
                <w:szCs w:val="4"/>
              </w:rPr>
            </w:pPr>
            <w:r>
              <w:rPr>
                <w:sz w:val="4"/>
                <w:szCs w:val="4"/>
              </w:rPr>
            </w:r>
          </w:p>
        </w:tc>
      </w:tr>
      <w:tr>
        <w:trPr/>
        <w:tc>
          <w:tcPr>
            <w:tcW w:w="1130" w:type="dxa"/>
            <w:tcBorders/>
            <w:shd w:fill="auto" w:val="clear"/>
            <w:vAlign w:val="center"/>
          </w:tcPr>
          <w:p>
            <w:pPr>
              <w:pStyle w:val="TableContents"/>
              <w:spacing w:lineRule="auto" w:line="288" w:before="0" w:after="0"/>
              <w:ind w:left="0" w:right="0" w:firstLine="360"/>
              <w:rPr>
                <w:rFonts w:ascii="inherit" w:hAnsi="inherit"/>
                <w:b/>
                <w:sz w:val="20"/>
              </w:rPr>
            </w:pPr>
            <w:r>
              <w:rPr>
                <w:rFonts w:ascii="inherit" w:hAnsi="inherit"/>
                <w:b/>
                <w:sz w:val="20"/>
              </w:rPr>
              <w:t>PART I</w:t>
            </w:r>
          </w:p>
        </w:tc>
        <w:tc>
          <w:tcPr>
            <w:tcW w:w="2870" w:type="dxa"/>
            <w:tcBorders/>
            <w:shd w:fill="auto" w:val="clear"/>
            <w:vAlign w:val="center"/>
          </w:tcPr>
          <w:p>
            <w:pPr>
              <w:pStyle w:val="TableContents"/>
              <w:spacing w:lineRule="auto" w:line="288" w:before="0" w:after="0"/>
              <w:ind w:left="0" w:right="0" w:hanging="360"/>
              <w:jc w:val="both"/>
              <w:rPr>
                <w:rFonts w:ascii="inherit" w:hAnsi="inherit"/>
                <w:b/>
                <w:sz w:val="20"/>
              </w:rPr>
            </w:pPr>
            <w:r>
              <w:rPr>
                <w:rFonts w:ascii="inherit" w:hAnsi="inherit"/>
                <w:b/>
                <w:sz w:val="20"/>
              </w:rPr>
              <w:t>FINANCIAL INFORMATION</w:t>
            </w:r>
          </w:p>
        </w:tc>
      </w:tr>
    </w:tbl>
    <w:tbl>
      <w:tblPr>
        <w:tblW w:w="3550" w:type="dxa"/>
        <w:jc w:val="left"/>
        <w:tblInd w:w="0" w:type="dxa"/>
        <w:tblCellMar>
          <w:top w:w="0" w:type="dxa"/>
          <w:left w:w="0" w:type="dxa"/>
          <w:bottom w:w="0" w:type="dxa"/>
          <w:right w:w="0" w:type="dxa"/>
        </w:tblCellMar>
      </w:tblPr>
      <w:tblGrid>
        <w:gridCol w:w="1190"/>
        <w:gridCol w:w="2360"/>
      </w:tblGrid>
      <w:tr>
        <w:trPr/>
        <w:tc>
          <w:tcPr>
            <w:tcW w:w="1190" w:type="dxa"/>
            <w:tcBorders/>
            <w:shd w:fill="auto" w:val="clear"/>
            <w:vAlign w:val="center"/>
          </w:tcPr>
          <w:p>
            <w:pPr>
              <w:pStyle w:val="TableContents"/>
              <w:spacing w:before="0" w:after="283"/>
              <w:rPr>
                <w:sz w:val="4"/>
                <w:szCs w:val="4"/>
              </w:rPr>
            </w:pPr>
            <w:r>
              <w:rPr>
                <w:sz w:val="4"/>
                <w:szCs w:val="4"/>
              </w:rPr>
            </w:r>
          </w:p>
        </w:tc>
        <w:tc>
          <w:tcPr>
            <w:tcW w:w="2360" w:type="dxa"/>
            <w:tcBorders/>
            <w:shd w:fill="auto" w:val="clear"/>
            <w:vAlign w:val="center"/>
          </w:tcPr>
          <w:p>
            <w:pPr>
              <w:pStyle w:val="TableContents"/>
              <w:spacing w:before="0" w:after="283"/>
              <w:rPr>
                <w:sz w:val="4"/>
                <w:szCs w:val="4"/>
              </w:rPr>
            </w:pPr>
            <w:r>
              <w:rPr>
                <w:sz w:val="4"/>
                <w:szCs w:val="4"/>
              </w:rPr>
            </w:r>
          </w:p>
        </w:tc>
      </w:tr>
      <w:tr>
        <w:trPr/>
        <w:tc>
          <w:tcPr>
            <w:tcW w:w="1190" w:type="dxa"/>
            <w:tcBorders/>
            <w:shd w:fill="auto" w:val="clear"/>
            <w:vAlign w:val="center"/>
          </w:tcPr>
          <w:p>
            <w:pPr>
              <w:pStyle w:val="TableContents"/>
              <w:spacing w:lineRule="auto" w:line="288" w:before="0" w:after="0"/>
              <w:ind w:left="0" w:right="0" w:firstLine="360"/>
              <w:rPr>
                <w:rFonts w:ascii="inherit" w:hAnsi="inherit"/>
                <w:b/>
                <w:sz w:val="20"/>
              </w:rPr>
            </w:pPr>
            <w:r>
              <w:rPr>
                <w:rFonts w:ascii="inherit" w:hAnsi="inherit"/>
                <w:b/>
                <w:sz w:val="20"/>
              </w:rPr>
              <w:t>Item 1.</w:t>
            </w:r>
          </w:p>
        </w:tc>
        <w:tc>
          <w:tcPr>
            <w:tcW w:w="2360" w:type="dxa"/>
            <w:tcBorders/>
            <w:shd w:fill="auto" w:val="clear"/>
            <w:vAlign w:val="center"/>
          </w:tcPr>
          <w:p>
            <w:pPr>
              <w:pStyle w:val="TableContents"/>
              <w:spacing w:lineRule="auto" w:line="288" w:before="0" w:after="0"/>
              <w:ind w:left="0" w:right="0" w:hanging="360"/>
              <w:jc w:val="both"/>
              <w:rPr>
                <w:rFonts w:ascii="inherit" w:hAnsi="inherit"/>
                <w:b/>
                <w:sz w:val="20"/>
              </w:rPr>
            </w:pPr>
            <w:r>
              <w:rPr>
                <w:rFonts w:ascii="inherit" w:hAnsi="inherit"/>
                <w:b/>
                <w:sz w:val="20"/>
              </w:rPr>
              <w:t>Financial Statements</w:t>
            </w:r>
          </w:p>
        </w:tc>
      </w:tr>
    </w:tbl>
    <w:p>
      <w:pPr>
        <w:pStyle w:val="TextBody"/>
        <w:spacing w:lineRule="auto" w:line="288" w:before="0" w:after="0"/>
        <w:ind w:left="0" w:right="0" w:hanging="1440"/>
        <w:jc w:val="both"/>
        <w:rPr>
          <w:rFonts w:ascii="inherit" w:hAnsi="inherit"/>
          <w:sz w:val="20"/>
        </w:rPr>
      </w:pPr>
      <w:r>
        <w:rPr>
          <w:rFonts w:ascii="inherit" w:hAnsi="inherit"/>
          <w:sz w:val="20"/>
        </w:rPr>
      </w:r>
      <w:bookmarkStart w:id="5" w:name="s9C5A45F1BE12577180C5A99A25245C0B"/>
      <w:bookmarkStart w:id="6" w:name="s9C5A45F1BE12577180C5A99A25245C0B"/>
      <w:bookmarkEnd w:id="6"/>
    </w:p>
    <w:p>
      <w:pPr>
        <w:pStyle w:val="TextBody"/>
        <w:spacing w:lineRule="auto" w:line="288" w:before="0" w:after="0"/>
        <w:jc w:val="center"/>
        <w:rPr>
          <w:rFonts w:ascii="inherit" w:hAnsi="inherit"/>
          <w:b/>
          <w:sz w:val="18"/>
        </w:rPr>
      </w:pPr>
      <w:bookmarkStart w:id="7" w:name="sF7FBBACBF95C517083D9965A996EBE77"/>
      <w:bookmarkEnd w:id="7"/>
      <w:r>
        <w:rPr>
          <w:rFonts w:ascii="inherit" w:hAnsi="inherit"/>
          <w:b/>
          <w:sz w:val="18"/>
        </w:rPr>
        <w:t>VICI PROPERTIES INC.</w:t>
      </w:r>
    </w:p>
    <w:p>
      <w:pPr>
        <w:pStyle w:val="TextBody"/>
        <w:spacing w:lineRule="auto" w:line="288" w:before="0" w:after="0"/>
        <w:jc w:val="center"/>
        <w:rPr>
          <w:rFonts w:ascii="inherit" w:hAnsi="inherit"/>
          <w:b/>
          <w:sz w:val="18"/>
        </w:rPr>
      </w:pPr>
      <w:r>
        <w:rPr>
          <w:rFonts w:ascii="inherit" w:hAnsi="inherit"/>
          <w:b/>
          <w:sz w:val="18"/>
        </w:rPr>
        <w:t>CONSOLIDATED BALANCE SHEETS</w:t>
      </w:r>
    </w:p>
    <w:p>
      <w:pPr>
        <w:pStyle w:val="TextBody"/>
        <w:spacing w:lineRule="auto" w:line="288" w:before="0" w:after="0"/>
        <w:jc w:val="center"/>
        <w:rPr>
          <w:rFonts w:ascii="inherit" w:hAnsi="inherit"/>
          <w:b/>
          <w:sz w:val="18"/>
        </w:rPr>
      </w:pPr>
      <w:r>
        <w:rPr>
          <w:rFonts w:ascii="inherit" w:hAnsi="inherit"/>
          <w:b/>
          <w:sz w:val="18"/>
        </w:rPr>
        <w:t>(UNAUDITED)</w:t>
      </w:r>
    </w:p>
    <w:p>
      <w:pPr>
        <w:pStyle w:val="TextBody"/>
        <w:spacing w:lineRule="auto" w:line="288" w:before="0" w:after="0"/>
        <w:jc w:val="center"/>
        <w:rPr>
          <w:rFonts w:ascii="inherit" w:hAnsi="inherit"/>
          <w:b/>
          <w:sz w:val="18"/>
        </w:rPr>
      </w:pPr>
      <w:r>
        <w:rPr>
          <w:rFonts w:ascii="inherit" w:hAnsi="inherit"/>
          <w:b/>
          <w:sz w:val="18"/>
        </w:rPr>
        <w:t>(In thousands, except share and per share data)</w:t>
      </w:r>
    </w:p>
    <w:tbl>
      <w:tblPr>
        <w:tblW w:w="10205" w:type="dxa"/>
        <w:jc w:val="left"/>
        <w:tblInd w:w="0" w:type="dxa"/>
        <w:tblCellMar>
          <w:top w:w="0" w:type="dxa"/>
          <w:left w:w="0" w:type="dxa"/>
          <w:bottom w:w="0" w:type="dxa"/>
          <w:right w:w="0" w:type="dxa"/>
        </w:tblCellMar>
      </w:tblPr>
      <w:tblGrid>
        <w:gridCol w:w="6934"/>
        <w:gridCol w:w="131"/>
        <w:gridCol w:w="1002"/>
        <w:gridCol w:w="115"/>
        <w:gridCol w:w="90"/>
        <w:gridCol w:w="125"/>
        <w:gridCol w:w="950"/>
        <w:gridCol w:w="858"/>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934"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934" w:type="dxa"/>
            <w:tcBorders/>
            <w:shd w:fill="auto" w:val="clear"/>
            <w:vAlign w:val="center"/>
          </w:tcPr>
          <w:p>
            <w:pPr>
              <w:pStyle w:val="TableContents"/>
              <w:spacing w:before="0" w:after="0"/>
              <w:ind w:left="0" w:right="0" w:firstLine="30"/>
              <w:rPr/>
            </w:pPr>
            <w:r>
              <w:rPr/>
              <w:t> </w:t>
            </w:r>
          </w:p>
        </w:tc>
        <w:tc>
          <w:tcPr>
            <w:tcW w:w="124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March 31, 2019</w:t>
            </w:r>
          </w:p>
        </w:tc>
        <w:tc>
          <w:tcPr>
            <w:tcW w:w="90" w:type="dxa"/>
            <w:tcBorders/>
            <w:shd w:fill="auto" w:val="clear"/>
            <w:vAlign w:val="center"/>
          </w:tcPr>
          <w:p>
            <w:pPr>
              <w:pStyle w:val="TableContents"/>
              <w:spacing w:before="0" w:after="0"/>
              <w:ind w:left="0" w:right="0" w:firstLine="30"/>
              <w:rPr/>
            </w:pPr>
            <w:r>
              <w:rPr/>
              <w:t> </w:t>
            </w:r>
          </w:p>
        </w:tc>
        <w:tc>
          <w:tcPr>
            <w:tcW w:w="193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December 31, 2018</w:t>
            </w:r>
          </w:p>
        </w:tc>
      </w:tr>
      <w:tr>
        <w:trPr/>
        <w:tc>
          <w:tcPr>
            <w:tcW w:w="6934" w:type="dxa"/>
            <w:tcBorders/>
            <w:shd w:fill="CCEEFF" w:val="clear"/>
            <w:vAlign w:val="center"/>
          </w:tcPr>
          <w:p>
            <w:pPr>
              <w:pStyle w:val="TableContents"/>
              <w:spacing w:before="0" w:after="0"/>
              <w:ind w:left="0" w:right="0" w:firstLine="30"/>
              <w:rPr>
                <w:rFonts w:ascii="inherit" w:hAnsi="inherit"/>
                <w:b/>
                <w:i/>
                <w:sz w:val="17"/>
              </w:rPr>
            </w:pPr>
            <w:r>
              <w:rPr>
                <w:rFonts w:ascii="inherit" w:hAnsi="inherit"/>
                <w:b/>
                <w:i/>
                <w:sz w:val="17"/>
              </w:rPr>
              <w:t>Assets</w:t>
            </w:r>
          </w:p>
        </w:tc>
        <w:tc>
          <w:tcPr>
            <w:tcW w:w="124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933" w:type="dxa"/>
            <w:gridSpan w:val="3"/>
            <w:tcBorders/>
            <w:shd w:fill="CCEEFF" w:val="clear"/>
            <w:vAlign w:val="center"/>
          </w:tcPr>
          <w:p>
            <w:pPr>
              <w:pStyle w:val="TableContents"/>
              <w:spacing w:before="0" w:after="0"/>
              <w:ind w:left="0" w:right="0" w:firstLine="300"/>
              <w:rPr/>
            </w:pPr>
            <w:r>
              <w:rPr/>
              <w:t> </w:t>
            </w:r>
          </w:p>
        </w:tc>
      </w:tr>
      <w:tr>
        <w:trPr/>
        <w:tc>
          <w:tcPr>
            <w:tcW w:w="69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Real estate portfolio:</w:t>
            </w:r>
          </w:p>
        </w:tc>
        <w:tc>
          <w:tcPr>
            <w:tcW w:w="124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933" w:type="dxa"/>
            <w:gridSpan w:val="3"/>
            <w:tcBorders/>
            <w:shd w:fill="auto" w:val="clear"/>
            <w:vAlign w:val="center"/>
          </w:tcPr>
          <w:p>
            <w:pPr>
              <w:pStyle w:val="TableContents"/>
              <w:spacing w:before="0" w:after="0"/>
              <w:ind w:left="0" w:right="0" w:firstLine="300"/>
              <w:rPr/>
            </w:pPr>
            <w:r>
              <w:rPr/>
              <w:t> </w:t>
            </w:r>
          </w:p>
        </w:tc>
      </w:tr>
      <w:tr>
        <w:trPr/>
        <w:tc>
          <w:tcPr>
            <w:tcW w:w="6934" w:type="dxa"/>
            <w:tcBorders/>
            <w:shd w:fill="CCEEFF" w:val="clear"/>
            <w:vAlign w:val="center"/>
          </w:tcPr>
          <w:p>
            <w:pPr>
              <w:pStyle w:val="TableContents"/>
              <w:spacing w:before="0" w:after="0"/>
              <w:ind w:left="0" w:right="0" w:firstLine="30"/>
              <w:jc w:val="left"/>
              <w:rPr/>
            </w:pPr>
            <w:r>
              <w:rPr/>
              <w:t>     </w:t>
            </w:r>
            <w:r>
              <w:rPr>
                <w:rFonts w:ascii="inherit" w:hAnsi="inherit"/>
                <w:sz w:val="17"/>
              </w:rPr>
              <w:t>Investments in direct financing and sales-type leases, net</w:t>
            </w:r>
          </w:p>
        </w:tc>
        <w:tc>
          <w:tcPr>
            <w:tcW w:w="13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02" w:type="dxa"/>
            <w:tcBorders/>
            <w:shd w:fill="CCEEFF" w:val="clear"/>
            <w:vAlign w:val="center"/>
          </w:tcPr>
          <w:p>
            <w:pPr>
              <w:pStyle w:val="TableContents"/>
              <w:spacing w:before="0" w:after="0"/>
              <w:jc w:val="right"/>
              <w:rPr>
                <w:rFonts w:ascii="inherit" w:hAnsi="inherit"/>
                <w:sz w:val="17"/>
              </w:rPr>
            </w:pPr>
            <w:r>
              <w:rPr>
                <w:rFonts w:ascii="inherit" w:hAnsi="inherit"/>
                <w:sz w:val="17"/>
              </w:rPr>
              <w:t>9,186,144</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50" w:type="dxa"/>
            <w:tcBorders/>
            <w:shd w:fill="CCEEFF" w:val="clear"/>
            <w:vAlign w:val="center"/>
          </w:tcPr>
          <w:p>
            <w:pPr>
              <w:pStyle w:val="TableContents"/>
              <w:spacing w:before="0" w:after="0"/>
              <w:jc w:val="right"/>
              <w:rPr>
                <w:rFonts w:ascii="inherit" w:hAnsi="inherit"/>
                <w:sz w:val="17"/>
              </w:rPr>
            </w:pPr>
            <w:r>
              <w:rPr>
                <w:rFonts w:ascii="inherit" w:hAnsi="inherit"/>
                <w:sz w:val="17"/>
              </w:rPr>
              <w:t>8,916,047</w:t>
            </w:r>
          </w:p>
        </w:tc>
        <w:tc>
          <w:tcPr>
            <w:tcW w:w="858" w:type="dxa"/>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9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Investments in operating leases</w:t>
            </w:r>
          </w:p>
        </w:tc>
        <w:tc>
          <w:tcPr>
            <w:tcW w:w="11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1,086,658</w:t>
            </w:r>
          </w:p>
        </w:tc>
        <w:tc>
          <w:tcPr>
            <w:tcW w:w="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1,086,658</w:t>
            </w:r>
          </w:p>
        </w:tc>
        <w:tc>
          <w:tcPr>
            <w:tcW w:w="858"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9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Land</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94,711</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95,789</w:t>
            </w:r>
          </w:p>
        </w:tc>
        <w:tc>
          <w:tcPr>
            <w:tcW w:w="858"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9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used in operations, net</w:t>
            </w:r>
          </w:p>
        </w:tc>
        <w:tc>
          <w:tcPr>
            <w:tcW w:w="11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71,775</w:t>
            </w:r>
          </w:p>
        </w:tc>
        <w:tc>
          <w:tcPr>
            <w:tcW w:w="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71,513</w:t>
            </w:r>
          </w:p>
        </w:tc>
        <w:tc>
          <w:tcPr>
            <w:tcW w:w="858"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9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598,276</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577,883</w:t>
            </w:r>
          </w:p>
        </w:tc>
        <w:tc>
          <w:tcPr>
            <w:tcW w:w="858"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9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Restricted cash</w:t>
            </w:r>
          </w:p>
        </w:tc>
        <w:tc>
          <w:tcPr>
            <w:tcW w:w="11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24,366</w:t>
            </w:r>
          </w:p>
        </w:tc>
        <w:tc>
          <w:tcPr>
            <w:tcW w:w="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20,564</w:t>
            </w:r>
          </w:p>
        </w:tc>
        <w:tc>
          <w:tcPr>
            <w:tcW w:w="858"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9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Short-term investments</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356,878</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520,877</w:t>
            </w:r>
          </w:p>
        </w:tc>
        <w:tc>
          <w:tcPr>
            <w:tcW w:w="858"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9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assets</w:t>
            </w:r>
          </w:p>
        </w:tc>
        <w:tc>
          <w:tcPr>
            <w:tcW w:w="113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29,863</w:t>
            </w:r>
          </w:p>
        </w:tc>
        <w:tc>
          <w:tcPr>
            <w:tcW w:w="11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44,037</w:t>
            </w:r>
          </w:p>
        </w:tc>
        <w:tc>
          <w:tcPr>
            <w:tcW w:w="858" w:type="dxa"/>
            <w:tcBorders/>
            <w:shd w:fill="auto" w:val="clear"/>
            <w:vAlign w:val="center"/>
          </w:tcPr>
          <w:p>
            <w:pPr>
              <w:pStyle w:val="TableContents"/>
              <w:spacing w:before="0" w:after="0"/>
              <w:ind w:left="0" w:right="0" w:firstLine="600"/>
              <w:jc w:val="left"/>
              <w:rPr>
                <w:rFonts w:ascii="inherit" w:hAnsi="inherit"/>
                <w:sz w:val="17"/>
              </w:rPr>
            </w:pPr>
            <w:r>
              <w:rPr>
                <w:rFonts w:ascii="inherit" w:hAnsi="inherit"/>
                <w:sz w:val="17"/>
              </w:rPr>
            </w:r>
          </w:p>
        </w:tc>
      </w:tr>
      <w:tr>
        <w:trPr/>
        <w:tc>
          <w:tcPr>
            <w:tcW w:w="69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13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0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11,448,671</w:t>
            </w:r>
          </w:p>
        </w:tc>
        <w:tc>
          <w:tcPr>
            <w:tcW w:w="11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11,333,368</w:t>
            </w:r>
          </w:p>
        </w:tc>
        <w:tc>
          <w:tcPr>
            <w:tcW w:w="85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34" w:type="dxa"/>
            <w:tcBorders/>
            <w:shd w:fill="auto" w:val="clear"/>
            <w:vAlign w:val="center"/>
          </w:tcPr>
          <w:p>
            <w:pPr>
              <w:pStyle w:val="TableContents"/>
              <w:spacing w:before="0" w:after="0"/>
              <w:ind w:left="0" w:right="0" w:firstLine="30"/>
              <w:rPr/>
            </w:pPr>
            <w:r>
              <w:rPr/>
              <w:t> </w:t>
            </w:r>
          </w:p>
        </w:tc>
        <w:tc>
          <w:tcPr>
            <w:tcW w:w="124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933" w:type="dxa"/>
            <w:gridSpan w:val="3"/>
            <w:tcBorders/>
            <w:shd w:fill="auto" w:val="clear"/>
            <w:vAlign w:val="center"/>
          </w:tcPr>
          <w:p>
            <w:pPr>
              <w:pStyle w:val="TableContents"/>
              <w:spacing w:before="0" w:after="0"/>
              <w:ind w:left="0" w:right="0" w:firstLine="30"/>
              <w:rPr/>
            </w:pPr>
            <w:r>
              <w:rPr/>
              <w:t> </w:t>
            </w:r>
          </w:p>
        </w:tc>
      </w:tr>
      <w:tr>
        <w:trPr/>
        <w:tc>
          <w:tcPr>
            <w:tcW w:w="6934" w:type="dxa"/>
            <w:tcBorders/>
            <w:shd w:fill="CCEEFF" w:val="clear"/>
            <w:vAlign w:val="center"/>
          </w:tcPr>
          <w:p>
            <w:pPr>
              <w:pStyle w:val="TableContents"/>
              <w:spacing w:before="0" w:after="0"/>
              <w:ind w:left="0" w:right="0" w:firstLine="30"/>
              <w:rPr>
                <w:rFonts w:ascii="inherit" w:hAnsi="inherit"/>
                <w:b/>
                <w:i/>
                <w:sz w:val="17"/>
              </w:rPr>
            </w:pPr>
            <w:r>
              <w:rPr>
                <w:rFonts w:ascii="inherit" w:hAnsi="inherit"/>
                <w:b/>
                <w:i/>
                <w:sz w:val="17"/>
              </w:rPr>
              <w:t>Liabilities</w:t>
            </w:r>
          </w:p>
        </w:tc>
        <w:tc>
          <w:tcPr>
            <w:tcW w:w="124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933" w:type="dxa"/>
            <w:gridSpan w:val="3"/>
            <w:tcBorders/>
            <w:shd w:fill="CCEEFF" w:val="clear"/>
            <w:vAlign w:val="center"/>
          </w:tcPr>
          <w:p>
            <w:pPr>
              <w:pStyle w:val="TableContents"/>
              <w:spacing w:before="0" w:after="0"/>
              <w:ind w:left="0" w:right="0" w:firstLine="300"/>
              <w:rPr/>
            </w:pPr>
            <w:r>
              <w:rPr/>
              <w:t> </w:t>
            </w:r>
          </w:p>
        </w:tc>
      </w:tr>
      <w:tr>
        <w:trPr/>
        <w:tc>
          <w:tcPr>
            <w:tcW w:w="69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Debt, net</w:t>
            </w:r>
          </w:p>
        </w:tc>
        <w:tc>
          <w:tcPr>
            <w:tcW w:w="13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02" w:type="dxa"/>
            <w:tcBorders/>
            <w:shd w:fill="auto" w:val="clear"/>
            <w:vAlign w:val="center"/>
          </w:tcPr>
          <w:p>
            <w:pPr>
              <w:pStyle w:val="TableContents"/>
              <w:spacing w:before="0" w:after="0"/>
              <w:jc w:val="right"/>
              <w:rPr>
                <w:rFonts w:ascii="inherit" w:hAnsi="inherit"/>
                <w:sz w:val="17"/>
              </w:rPr>
            </w:pPr>
            <w:r>
              <w:rPr>
                <w:rFonts w:ascii="inherit" w:hAnsi="inherit"/>
                <w:sz w:val="17"/>
              </w:rPr>
              <w:t>4,123,350</w:t>
            </w:r>
          </w:p>
        </w:tc>
        <w:tc>
          <w:tcPr>
            <w:tcW w:w="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50" w:type="dxa"/>
            <w:tcBorders/>
            <w:shd w:fill="auto" w:val="clear"/>
            <w:vAlign w:val="center"/>
          </w:tcPr>
          <w:p>
            <w:pPr>
              <w:pStyle w:val="TableContents"/>
              <w:spacing w:before="0" w:after="0"/>
              <w:jc w:val="right"/>
              <w:rPr>
                <w:rFonts w:ascii="inherit" w:hAnsi="inherit"/>
                <w:sz w:val="17"/>
              </w:rPr>
            </w:pPr>
            <w:r>
              <w:rPr>
                <w:rFonts w:ascii="inherit" w:hAnsi="inherit"/>
                <w:sz w:val="17"/>
              </w:rPr>
              <w:t>4,122,264</w:t>
            </w:r>
          </w:p>
        </w:tc>
        <w:tc>
          <w:tcPr>
            <w:tcW w:w="858"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9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Accrued interest</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24,702</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14,184</w:t>
            </w:r>
          </w:p>
        </w:tc>
        <w:tc>
          <w:tcPr>
            <w:tcW w:w="858"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9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financing liability</w:t>
            </w:r>
          </w:p>
        </w:tc>
        <w:tc>
          <w:tcPr>
            <w:tcW w:w="11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73,600</w:t>
            </w:r>
          </w:p>
        </w:tc>
        <w:tc>
          <w:tcPr>
            <w:tcW w:w="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73,600</w:t>
            </w:r>
          </w:p>
        </w:tc>
        <w:tc>
          <w:tcPr>
            <w:tcW w:w="858"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9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revenue</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355</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43,605</w:t>
            </w:r>
          </w:p>
        </w:tc>
        <w:tc>
          <w:tcPr>
            <w:tcW w:w="858"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9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Dividends payable</w:t>
            </w:r>
          </w:p>
        </w:tc>
        <w:tc>
          <w:tcPr>
            <w:tcW w:w="11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118,056</w:t>
            </w:r>
          </w:p>
        </w:tc>
        <w:tc>
          <w:tcPr>
            <w:tcW w:w="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0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116,287</w:t>
            </w:r>
          </w:p>
        </w:tc>
        <w:tc>
          <w:tcPr>
            <w:tcW w:w="858"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9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liabilities</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62,720</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62,406</w:t>
            </w:r>
          </w:p>
        </w:tc>
        <w:tc>
          <w:tcPr>
            <w:tcW w:w="858" w:type="dxa"/>
            <w:tcBorders/>
            <w:shd w:fill="CCEEFF" w:val="clear"/>
            <w:vAlign w:val="center"/>
          </w:tcPr>
          <w:p>
            <w:pPr>
              <w:pStyle w:val="TableContents"/>
              <w:spacing w:before="0" w:after="0"/>
              <w:ind w:left="0" w:right="0" w:firstLine="600"/>
              <w:jc w:val="left"/>
              <w:rPr>
                <w:rFonts w:ascii="inherit" w:hAnsi="inherit"/>
                <w:sz w:val="17"/>
              </w:rPr>
            </w:pPr>
            <w:r>
              <w:rPr>
                <w:rFonts w:ascii="inherit" w:hAnsi="inherit"/>
                <w:sz w:val="17"/>
              </w:rPr>
            </w:r>
          </w:p>
        </w:tc>
      </w:tr>
      <w:tr>
        <w:trPr/>
        <w:tc>
          <w:tcPr>
            <w:tcW w:w="69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w:t>
            </w:r>
          </w:p>
        </w:tc>
        <w:tc>
          <w:tcPr>
            <w:tcW w:w="1133"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4,402,783</w:t>
            </w:r>
          </w:p>
        </w:tc>
        <w:tc>
          <w:tcPr>
            <w:tcW w:w="11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7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4,432,346</w:t>
            </w:r>
          </w:p>
        </w:tc>
        <w:tc>
          <w:tcPr>
            <w:tcW w:w="858"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34" w:type="dxa"/>
            <w:tcBorders/>
            <w:shd w:fill="CCEEFF" w:val="clear"/>
            <w:vAlign w:val="center"/>
          </w:tcPr>
          <w:p>
            <w:pPr>
              <w:pStyle w:val="TableContents"/>
              <w:spacing w:before="0" w:after="0"/>
              <w:ind w:left="0" w:right="0" w:firstLine="30"/>
              <w:rPr/>
            </w:pPr>
            <w:r>
              <w:rPr/>
              <w:t> </w:t>
            </w:r>
          </w:p>
        </w:tc>
        <w:tc>
          <w:tcPr>
            <w:tcW w:w="124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933" w:type="dxa"/>
            <w:gridSpan w:val="3"/>
            <w:tcBorders/>
            <w:shd w:fill="CCEEFF" w:val="clear"/>
            <w:vAlign w:val="center"/>
          </w:tcPr>
          <w:p>
            <w:pPr>
              <w:pStyle w:val="TableContents"/>
              <w:spacing w:before="0" w:after="0"/>
              <w:ind w:left="0" w:right="0" w:firstLine="30"/>
              <w:rPr/>
            </w:pPr>
            <w:r>
              <w:rPr/>
              <w:t> </w:t>
            </w:r>
          </w:p>
        </w:tc>
      </w:tr>
      <w:tr>
        <w:trPr/>
        <w:tc>
          <w:tcPr>
            <w:tcW w:w="6934" w:type="dxa"/>
            <w:tcBorders/>
            <w:shd w:fill="auto" w:val="clear"/>
            <w:vAlign w:val="center"/>
          </w:tcPr>
          <w:p>
            <w:pPr>
              <w:pStyle w:val="TableContents"/>
              <w:spacing w:before="0" w:after="0"/>
              <w:ind w:left="0" w:right="0" w:firstLine="30"/>
              <w:rPr>
                <w:rFonts w:ascii="inherit" w:hAnsi="inherit"/>
                <w:b/>
                <w:i/>
                <w:sz w:val="17"/>
              </w:rPr>
            </w:pPr>
            <w:r>
              <w:rPr>
                <w:rFonts w:ascii="inherit" w:hAnsi="inherit"/>
                <w:b/>
                <w:i/>
                <w:sz w:val="17"/>
              </w:rPr>
              <w:t>Commitments and contingencies (Note 11)</w:t>
            </w:r>
          </w:p>
        </w:tc>
        <w:tc>
          <w:tcPr>
            <w:tcW w:w="11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r>
          </w:p>
        </w:tc>
        <w:tc>
          <w:tcPr>
            <w:tcW w:w="8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34" w:type="dxa"/>
            <w:tcBorders/>
            <w:shd w:fill="CCEEFF" w:val="clear"/>
            <w:vAlign w:val="center"/>
          </w:tcPr>
          <w:p>
            <w:pPr>
              <w:pStyle w:val="TableContents"/>
              <w:spacing w:before="0" w:after="0"/>
              <w:ind w:left="0" w:right="0" w:firstLine="30"/>
              <w:rPr/>
            </w:pPr>
            <w:r>
              <w:rPr/>
              <w:t> </w:t>
            </w:r>
          </w:p>
        </w:tc>
        <w:tc>
          <w:tcPr>
            <w:tcW w:w="124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933" w:type="dxa"/>
            <w:gridSpan w:val="3"/>
            <w:tcBorders/>
            <w:shd w:fill="CCEEFF" w:val="clear"/>
            <w:vAlign w:val="center"/>
          </w:tcPr>
          <w:p>
            <w:pPr>
              <w:pStyle w:val="TableContents"/>
              <w:spacing w:before="0" w:after="0"/>
              <w:ind w:left="0" w:right="0" w:firstLine="30"/>
              <w:rPr/>
            </w:pPr>
            <w:r>
              <w:rPr/>
              <w:t> </w:t>
            </w:r>
          </w:p>
        </w:tc>
      </w:tr>
      <w:tr>
        <w:trPr/>
        <w:tc>
          <w:tcPr>
            <w:tcW w:w="6934" w:type="dxa"/>
            <w:tcBorders/>
            <w:shd w:fill="auto" w:val="clear"/>
            <w:vAlign w:val="center"/>
          </w:tcPr>
          <w:p>
            <w:pPr>
              <w:pStyle w:val="TableContents"/>
              <w:spacing w:before="0" w:after="0"/>
              <w:ind w:left="0" w:right="0" w:firstLine="30"/>
              <w:rPr>
                <w:rFonts w:ascii="inherit" w:hAnsi="inherit"/>
                <w:b/>
                <w:i/>
                <w:sz w:val="17"/>
              </w:rPr>
            </w:pPr>
            <w:r>
              <w:rPr>
                <w:rFonts w:ascii="inherit" w:hAnsi="inherit"/>
                <w:b/>
                <w:i/>
                <w:sz w:val="17"/>
              </w:rPr>
              <w:t>Stockholders’ equity</w:t>
            </w:r>
          </w:p>
        </w:tc>
        <w:tc>
          <w:tcPr>
            <w:tcW w:w="124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933" w:type="dxa"/>
            <w:gridSpan w:val="3"/>
            <w:tcBorders/>
            <w:shd w:fill="auto" w:val="clear"/>
            <w:vAlign w:val="center"/>
          </w:tcPr>
          <w:p>
            <w:pPr>
              <w:pStyle w:val="TableContents"/>
              <w:spacing w:before="0" w:after="0"/>
              <w:ind w:left="0" w:right="0" w:firstLine="300"/>
              <w:rPr/>
            </w:pPr>
            <w:r>
              <w:rPr/>
              <w:t> </w:t>
            </w:r>
          </w:p>
        </w:tc>
      </w:tr>
      <w:tr>
        <w:trPr/>
        <w:tc>
          <w:tcPr>
            <w:tcW w:w="69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Common stock, $0.01 par value, 700,000,000 shares authorized and 410,970,554 and 404,729,616 shares issued and outstanding at March 31, 2019 and December 31, 2018, respectively </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4,110</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4,047</w:t>
            </w:r>
          </w:p>
        </w:tc>
        <w:tc>
          <w:tcPr>
            <w:tcW w:w="858"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9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Preferred stock, $0.01 par value, 50,000,000 shares authorized and no shares outstanding at March 31, 2019 and December 31, 2018 </w:t>
            </w:r>
          </w:p>
        </w:tc>
        <w:tc>
          <w:tcPr>
            <w:tcW w:w="1133" w:type="dxa"/>
            <w:gridSpan w:val="2"/>
            <w:tcBorders/>
            <w:shd w:fill="auto" w:val="clear"/>
            <w:vAlign w:val="center"/>
          </w:tcPr>
          <w:p>
            <w:pPr>
              <w:pStyle w:val="TableContents"/>
              <w:spacing w:before="0" w:after="0"/>
              <w:jc w:val="right"/>
              <w:rPr/>
            </w:pPr>
            <w:r>
              <w:rPr/>
              <w:t>—</w:t>
            </w:r>
          </w:p>
        </w:tc>
        <w:tc>
          <w:tcPr>
            <w:tcW w:w="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75" w:type="dxa"/>
            <w:gridSpan w:val="2"/>
            <w:tcBorders/>
            <w:shd w:fill="auto" w:val="clear"/>
            <w:vAlign w:val="center"/>
          </w:tcPr>
          <w:p>
            <w:pPr>
              <w:pStyle w:val="TableContents"/>
              <w:spacing w:before="0" w:after="0"/>
              <w:jc w:val="right"/>
              <w:rPr/>
            </w:pPr>
            <w:r>
              <w:rPr/>
              <w:t>—</w:t>
            </w:r>
          </w:p>
        </w:tc>
        <w:tc>
          <w:tcPr>
            <w:tcW w:w="858"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9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Additional paid-in capital</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6,777,683</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6,648,430</w:t>
            </w:r>
          </w:p>
        </w:tc>
        <w:tc>
          <w:tcPr>
            <w:tcW w:w="858"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9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Accumulated other comprehensive income</w:t>
            </w:r>
          </w:p>
        </w:tc>
        <w:tc>
          <w:tcPr>
            <w:tcW w:w="11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(39,315</w:t>
            </w:r>
          </w:p>
        </w:tc>
        <w:tc>
          <w:tcPr>
            <w:tcW w:w="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0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(22,124</w:t>
            </w:r>
          </w:p>
        </w:tc>
        <w:tc>
          <w:tcPr>
            <w:tcW w:w="858"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69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Retained earnings</w:t>
            </w:r>
          </w:p>
        </w:tc>
        <w:tc>
          <w:tcPr>
            <w:tcW w:w="113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219,791</w:t>
            </w:r>
          </w:p>
        </w:tc>
        <w:tc>
          <w:tcPr>
            <w:tcW w:w="11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7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187,096</w:t>
            </w:r>
          </w:p>
        </w:tc>
        <w:tc>
          <w:tcPr>
            <w:tcW w:w="858" w:type="dxa"/>
            <w:tcBorders>
              <w:bottom w:val="single" w:sz="2" w:space="0" w:color="000000"/>
            </w:tcBorders>
            <w:shd w:fill="CCEEFF" w:val="clear"/>
            <w:tcMar>
              <w:bottom w:w="28" w:type="dxa"/>
            </w:tcMar>
            <w:vAlign w:val="center"/>
          </w:tcPr>
          <w:p>
            <w:pPr>
              <w:pStyle w:val="TableContents"/>
              <w:spacing w:before="0" w:after="0"/>
              <w:ind w:left="0" w:right="0" w:firstLine="600"/>
              <w:jc w:val="left"/>
              <w:rPr>
                <w:rFonts w:ascii="inherit" w:hAnsi="inherit"/>
                <w:sz w:val="17"/>
              </w:rPr>
            </w:pPr>
            <w:r>
              <w:rPr>
                <w:rFonts w:ascii="inherit" w:hAnsi="inherit"/>
                <w:sz w:val="17"/>
              </w:rPr>
            </w:r>
          </w:p>
        </w:tc>
      </w:tr>
      <w:tr>
        <w:trPr/>
        <w:tc>
          <w:tcPr>
            <w:tcW w:w="69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VICI stockholders’ equity</w:t>
            </w:r>
          </w:p>
        </w:tc>
        <w:tc>
          <w:tcPr>
            <w:tcW w:w="11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6,962,269</w:t>
            </w:r>
          </w:p>
        </w:tc>
        <w:tc>
          <w:tcPr>
            <w:tcW w:w="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7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6,817,449</w:t>
            </w:r>
          </w:p>
        </w:tc>
        <w:tc>
          <w:tcPr>
            <w:tcW w:w="858" w:type="dxa"/>
            <w:tcBorders>
              <w:top w:val="single" w:sz="2" w:space="0" w:color="000000"/>
            </w:tcBorders>
            <w:shd w:fill="auto" w:val="clear"/>
            <w:tcMar>
              <w:top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9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Non-controlling interests</w:t>
            </w:r>
          </w:p>
        </w:tc>
        <w:tc>
          <w:tcPr>
            <w:tcW w:w="113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83,619</w:t>
            </w:r>
          </w:p>
        </w:tc>
        <w:tc>
          <w:tcPr>
            <w:tcW w:w="11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7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83,573</w:t>
            </w:r>
          </w:p>
        </w:tc>
        <w:tc>
          <w:tcPr>
            <w:tcW w:w="858" w:type="dxa"/>
            <w:tcBorders>
              <w:bottom w:val="single" w:sz="2" w:space="0" w:color="000000"/>
            </w:tcBorders>
            <w:shd w:fill="CCEEFF" w:val="clear"/>
            <w:tcMar>
              <w:bottom w:w="28" w:type="dxa"/>
            </w:tcMar>
            <w:vAlign w:val="center"/>
          </w:tcPr>
          <w:p>
            <w:pPr>
              <w:pStyle w:val="TableContents"/>
              <w:spacing w:before="0" w:after="0"/>
              <w:ind w:left="0" w:right="0" w:firstLine="600"/>
              <w:jc w:val="left"/>
              <w:rPr>
                <w:rFonts w:ascii="inherit" w:hAnsi="inherit"/>
                <w:sz w:val="17"/>
              </w:rPr>
            </w:pPr>
            <w:r>
              <w:rPr>
                <w:rFonts w:ascii="inherit" w:hAnsi="inherit"/>
                <w:sz w:val="17"/>
              </w:rPr>
            </w:r>
          </w:p>
        </w:tc>
      </w:tr>
      <w:tr>
        <w:trPr/>
        <w:tc>
          <w:tcPr>
            <w:tcW w:w="69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stockholders’ equity</w:t>
            </w:r>
          </w:p>
        </w:tc>
        <w:tc>
          <w:tcPr>
            <w:tcW w:w="11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7,045,888</w:t>
            </w:r>
          </w:p>
        </w:tc>
        <w:tc>
          <w:tcPr>
            <w:tcW w:w="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6,901,022</w:t>
            </w:r>
          </w:p>
        </w:tc>
        <w:tc>
          <w:tcPr>
            <w:tcW w:w="858" w:type="dxa"/>
            <w:tcBorders/>
            <w:shd w:fill="auto" w:val="clear"/>
            <w:vAlign w:val="center"/>
          </w:tcPr>
          <w:p>
            <w:pPr>
              <w:pStyle w:val="TableContents"/>
              <w:spacing w:before="0" w:after="0"/>
              <w:ind w:left="0" w:right="0" w:firstLine="840"/>
              <w:jc w:val="left"/>
              <w:rPr>
                <w:rFonts w:ascii="inherit" w:hAnsi="inherit"/>
                <w:sz w:val="17"/>
              </w:rPr>
            </w:pPr>
            <w:r>
              <w:rPr>
                <w:rFonts w:ascii="inherit" w:hAnsi="inherit"/>
                <w:sz w:val="17"/>
              </w:rPr>
            </w:r>
          </w:p>
        </w:tc>
      </w:tr>
      <w:tr>
        <w:trPr/>
        <w:tc>
          <w:tcPr>
            <w:tcW w:w="69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 and stockholders’ equity</w:t>
            </w:r>
          </w:p>
        </w:tc>
        <w:tc>
          <w:tcPr>
            <w:tcW w:w="13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0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11,448,671</w:t>
            </w:r>
          </w:p>
        </w:tc>
        <w:tc>
          <w:tcPr>
            <w:tcW w:w="11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11,333,368</w:t>
            </w:r>
          </w:p>
        </w:tc>
        <w:tc>
          <w:tcPr>
            <w:tcW w:w="85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t>See accompanying Notes to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lineRule="auto" w:line="288" w:before="0" w:after="0"/>
        <w:jc w:val="left"/>
        <w:rPr/>
      </w:pPr>
      <w:hyperlink w:anchor="s7181E430E8A9506B896277AC8CF177C4">
        <w:bookmarkStart w:id="8" w:name="s66454416C8FB5DF3ACEEDE2A41D1C5F7"/>
        <w:bookmarkEnd w:id="8"/>
        <w:r>
          <w:rPr>
            <w:rStyle w:val="InternetLink"/>
            <w:rFonts w:ascii="inherit" w:hAnsi="inherit"/>
            <w:sz w:val="17"/>
          </w:rPr>
          <w:t>Table of Contents</w:t>
        </w:r>
      </w:hyperlink>
    </w:p>
    <w:p>
      <w:pPr>
        <w:pStyle w:val="TextBody"/>
        <w:spacing w:lineRule="auto" w:line="288" w:before="0" w:after="0"/>
        <w:jc w:val="center"/>
        <w:rPr>
          <w:rFonts w:ascii="inherit" w:hAnsi="inherit"/>
          <w:b/>
          <w:sz w:val="18"/>
        </w:rPr>
      </w:pPr>
      <w:r>
        <w:rPr>
          <w:rFonts w:ascii="inherit" w:hAnsi="inherit"/>
          <w:b/>
          <w:sz w:val="18"/>
        </w:rPr>
        <w:t>VICI PROPERTIES INC.</w:t>
      </w:r>
    </w:p>
    <w:p>
      <w:pPr>
        <w:pStyle w:val="TextBody"/>
        <w:spacing w:lineRule="auto" w:line="288" w:before="0" w:after="0"/>
        <w:jc w:val="center"/>
        <w:rPr>
          <w:rFonts w:ascii="inherit" w:hAnsi="inherit"/>
          <w:b/>
          <w:sz w:val="18"/>
        </w:rPr>
      </w:pPr>
      <w:r>
        <w:rPr>
          <w:rFonts w:ascii="inherit" w:hAnsi="inherit"/>
          <w:b/>
          <w:sz w:val="18"/>
        </w:rPr>
        <w:t>CONSOLIDATED STATEMENTS OF OPERATIONS AND COMPREHENSIVE INCOME</w:t>
      </w:r>
    </w:p>
    <w:p>
      <w:pPr>
        <w:pStyle w:val="TextBody"/>
        <w:spacing w:lineRule="auto" w:line="288" w:before="0" w:after="0"/>
        <w:jc w:val="center"/>
        <w:rPr>
          <w:rFonts w:ascii="inherit" w:hAnsi="inherit"/>
          <w:b/>
          <w:sz w:val="18"/>
        </w:rPr>
      </w:pPr>
      <w:r>
        <w:rPr>
          <w:rFonts w:ascii="inherit" w:hAnsi="inherit"/>
          <w:b/>
          <w:sz w:val="18"/>
        </w:rPr>
        <w:t>(UNAUDITED)</w:t>
      </w:r>
    </w:p>
    <w:p>
      <w:pPr>
        <w:pStyle w:val="TextBody"/>
        <w:spacing w:lineRule="auto" w:line="288" w:before="0" w:after="0"/>
        <w:jc w:val="center"/>
        <w:rPr>
          <w:rFonts w:ascii="inherit" w:hAnsi="inherit"/>
          <w:b/>
          <w:sz w:val="18"/>
        </w:rPr>
      </w:pPr>
      <w:r>
        <w:rPr>
          <w:rFonts w:ascii="inherit" w:hAnsi="inherit"/>
          <w:b/>
          <w:sz w:val="18"/>
        </w:rPr>
        <w:t>(In thousands, except share and per share data)</w:t>
      </w:r>
    </w:p>
    <w:p>
      <w:pPr>
        <w:pStyle w:val="TextBody"/>
        <w:spacing w:before="0" w:after="0"/>
        <w:rPr/>
      </w:pPr>
      <w:r>
        <w:rPr/>
      </w:r>
    </w:p>
    <w:tbl>
      <w:tblPr>
        <w:tblW w:w="10205" w:type="dxa"/>
        <w:jc w:val="center"/>
        <w:tblInd w:w="0" w:type="dxa"/>
        <w:tblCellMar>
          <w:top w:w="0" w:type="dxa"/>
          <w:left w:w="0" w:type="dxa"/>
          <w:bottom w:w="0" w:type="dxa"/>
          <w:right w:w="0" w:type="dxa"/>
        </w:tblCellMar>
      </w:tblPr>
      <w:tblGrid>
        <w:gridCol w:w="4590"/>
        <w:gridCol w:w="408"/>
        <w:gridCol w:w="1979"/>
        <w:gridCol w:w="313"/>
        <w:gridCol w:w="90"/>
        <w:gridCol w:w="274"/>
        <w:gridCol w:w="1362"/>
        <w:gridCol w:w="1189"/>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459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97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590" w:type="dxa"/>
            <w:tcBorders/>
            <w:shd w:fill="auto" w:val="clear"/>
            <w:vAlign w:val="center"/>
          </w:tcPr>
          <w:p>
            <w:pPr>
              <w:pStyle w:val="TableContents"/>
              <w:spacing w:before="0" w:after="0"/>
              <w:ind w:left="0" w:right="0" w:firstLine="30"/>
              <w:rPr/>
            </w:pPr>
            <w:r>
              <w:rPr/>
              <w:t> </w:t>
            </w:r>
          </w:p>
        </w:tc>
        <w:tc>
          <w:tcPr>
            <w:tcW w:w="270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Three Months Ended March 31, 2019</w:t>
            </w:r>
          </w:p>
        </w:tc>
        <w:tc>
          <w:tcPr>
            <w:tcW w:w="90" w:type="dxa"/>
            <w:tcBorders/>
            <w:shd w:fill="auto" w:val="clear"/>
            <w:vAlign w:val="center"/>
          </w:tcPr>
          <w:p>
            <w:pPr>
              <w:pStyle w:val="TableContents"/>
              <w:spacing w:before="0" w:after="0"/>
              <w:ind w:left="0" w:right="0" w:firstLine="30"/>
              <w:rPr/>
            </w:pPr>
            <w:r>
              <w:rPr/>
              <w:t> </w:t>
            </w:r>
          </w:p>
        </w:tc>
        <w:tc>
          <w:tcPr>
            <w:tcW w:w="28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Three Months Ended March 31, 2018</w:t>
            </w:r>
          </w:p>
        </w:tc>
      </w:tr>
      <w:tr>
        <w:trPr/>
        <w:tc>
          <w:tcPr>
            <w:tcW w:w="4590" w:type="dxa"/>
            <w:tcBorders/>
            <w:shd w:fill="CCEEFF" w:val="clear"/>
            <w:vAlign w:val="center"/>
          </w:tcPr>
          <w:p>
            <w:pPr>
              <w:pStyle w:val="TableContents"/>
              <w:spacing w:before="0" w:after="0"/>
              <w:ind w:left="0" w:right="0" w:firstLine="30"/>
              <w:rPr>
                <w:rFonts w:ascii="inherit" w:hAnsi="inherit"/>
                <w:b/>
                <w:i/>
                <w:sz w:val="17"/>
              </w:rPr>
            </w:pPr>
            <w:r>
              <w:rPr>
                <w:rFonts w:ascii="inherit" w:hAnsi="inherit"/>
                <w:b/>
                <w:i/>
                <w:sz w:val="17"/>
              </w:rPr>
              <w:t>Revenues</w:t>
            </w:r>
          </w:p>
        </w:tc>
        <w:tc>
          <w:tcPr>
            <w:tcW w:w="270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825" w:type="dxa"/>
            <w:gridSpan w:val="3"/>
            <w:tcBorders/>
            <w:shd w:fill="CCEEFF" w:val="clear"/>
            <w:vAlign w:val="center"/>
          </w:tcPr>
          <w:p>
            <w:pPr>
              <w:pStyle w:val="TableContents"/>
              <w:spacing w:before="0" w:after="0"/>
              <w:ind w:left="0" w:right="0" w:firstLine="300"/>
              <w:rPr/>
            </w:pPr>
            <w:r>
              <w:rPr/>
              <w:t> </w:t>
            </w:r>
          </w:p>
        </w:tc>
      </w:tr>
      <w:tr>
        <w:trPr/>
        <w:tc>
          <w:tcPr>
            <w:tcW w:w="45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from direct financing and sales-type leases</w:t>
            </w:r>
          </w:p>
        </w:tc>
        <w:tc>
          <w:tcPr>
            <w:tcW w:w="40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979" w:type="dxa"/>
            <w:tcBorders/>
            <w:shd w:fill="auto" w:val="clear"/>
            <w:vAlign w:val="center"/>
          </w:tcPr>
          <w:p>
            <w:pPr>
              <w:pStyle w:val="TableContents"/>
              <w:spacing w:before="0" w:after="0"/>
              <w:jc w:val="right"/>
              <w:rPr>
                <w:rFonts w:ascii="inherit" w:hAnsi="inherit"/>
                <w:sz w:val="17"/>
              </w:rPr>
            </w:pPr>
            <w:r>
              <w:rPr>
                <w:rFonts w:ascii="inherit" w:hAnsi="inherit"/>
                <w:sz w:val="17"/>
              </w:rPr>
              <w:t>195,750</w:t>
            </w:r>
          </w:p>
        </w:tc>
        <w:tc>
          <w:tcPr>
            <w:tcW w:w="3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7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62" w:type="dxa"/>
            <w:tcBorders/>
            <w:shd w:fill="auto" w:val="clear"/>
            <w:vAlign w:val="center"/>
          </w:tcPr>
          <w:p>
            <w:pPr>
              <w:pStyle w:val="TableContents"/>
              <w:spacing w:before="0" w:after="0"/>
              <w:jc w:val="right"/>
              <w:rPr>
                <w:rFonts w:ascii="inherit" w:hAnsi="inherit"/>
                <w:sz w:val="17"/>
              </w:rPr>
            </w:pPr>
            <w:r>
              <w:rPr>
                <w:rFonts w:ascii="inherit" w:hAnsi="inherit"/>
                <w:sz w:val="17"/>
              </w:rPr>
              <w:t>182,036</w:t>
            </w:r>
          </w:p>
        </w:tc>
        <w:tc>
          <w:tcPr>
            <w:tcW w:w="118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5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operating leases</w:t>
            </w:r>
          </w:p>
        </w:tc>
        <w:tc>
          <w:tcPr>
            <w:tcW w:w="2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10,913</w:t>
            </w:r>
          </w:p>
        </w:tc>
        <w:tc>
          <w:tcPr>
            <w:tcW w:w="3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12,209</w:t>
            </w:r>
          </w:p>
        </w:tc>
        <w:tc>
          <w:tcPr>
            <w:tcW w:w="118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5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Tenant reimbursement of property taxes</w:t>
            </w:r>
          </w:p>
        </w:tc>
        <w:tc>
          <w:tcPr>
            <w:tcW w:w="2387" w:type="dxa"/>
            <w:gridSpan w:val="2"/>
            <w:tcBorders/>
            <w:shd w:fill="auto" w:val="clear"/>
            <w:vAlign w:val="center"/>
          </w:tcPr>
          <w:p>
            <w:pPr>
              <w:pStyle w:val="TableContents"/>
              <w:spacing w:before="0" w:after="0"/>
              <w:jc w:val="right"/>
              <w:rPr/>
            </w:pPr>
            <w:r>
              <w:rPr/>
              <w:t>—</w:t>
            </w:r>
          </w:p>
        </w:tc>
        <w:tc>
          <w:tcPr>
            <w:tcW w:w="3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17,243</w:t>
            </w:r>
          </w:p>
        </w:tc>
        <w:tc>
          <w:tcPr>
            <w:tcW w:w="118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5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Golf operations</w:t>
            </w:r>
          </w:p>
        </w:tc>
        <w:tc>
          <w:tcPr>
            <w:tcW w:w="238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7,339</w:t>
            </w:r>
          </w:p>
        </w:tc>
        <w:tc>
          <w:tcPr>
            <w:tcW w:w="31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3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6,788</w:t>
            </w:r>
          </w:p>
        </w:tc>
        <w:tc>
          <w:tcPr>
            <w:tcW w:w="1189" w:type="dxa"/>
            <w:tcBorders>
              <w:bottom w:val="single" w:sz="2" w:space="0" w:color="000000"/>
            </w:tcBorders>
            <w:shd w:fill="CCEEFF" w:val="clear"/>
            <w:tcMar>
              <w:bottom w:w="28" w:type="dxa"/>
            </w:tcMar>
            <w:vAlign w:val="center"/>
          </w:tcPr>
          <w:p>
            <w:pPr>
              <w:pStyle w:val="TableContents"/>
              <w:spacing w:before="0" w:after="0"/>
              <w:ind w:left="0" w:right="0" w:firstLine="600"/>
              <w:jc w:val="left"/>
              <w:rPr>
                <w:rFonts w:ascii="inherit" w:hAnsi="inherit"/>
                <w:sz w:val="17"/>
              </w:rPr>
            </w:pPr>
            <w:r>
              <w:rPr>
                <w:rFonts w:ascii="inherit" w:hAnsi="inherit"/>
                <w:sz w:val="17"/>
              </w:rPr>
            </w:r>
          </w:p>
        </w:tc>
      </w:tr>
      <w:tr>
        <w:trPr/>
        <w:tc>
          <w:tcPr>
            <w:tcW w:w="45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23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214,002</w:t>
            </w:r>
          </w:p>
        </w:tc>
        <w:tc>
          <w:tcPr>
            <w:tcW w:w="31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3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218,276</w:t>
            </w:r>
          </w:p>
        </w:tc>
        <w:tc>
          <w:tcPr>
            <w:tcW w:w="118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90" w:type="dxa"/>
            <w:tcBorders/>
            <w:shd w:fill="CCEEFF" w:val="clear"/>
            <w:vAlign w:val="center"/>
          </w:tcPr>
          <w:p>
            <w:pPr>
              <w:pStyle w:val="TableContents"/>
              <w:spacing w:before="0" w:after="0"/>
              <w:ind w:left="0" w:right="0" w:firstLine="30"/>
              <w:rPr/>
            </w:pPr>
            <w:r>
              <w:rPr/>
              <w:t> </w:t>
            </w:r>
          </w:p>
        </w:tc>
        <w:tc>
          <w:tcPr>
            <w:tcW w:w="270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825" w:type="dxa"/>
            <w:gridSpan w:val="3"/>
            <w:tcBorders/>
            <w:shd w:fill="CCEEFF" w:val="clear"/>
            <w:vAlign w:val="center"/>
          </w:tcPr>
          <w:p>
            <w:pPr>
              <w:pStyle w:val="TableContents"/>
              <w:spacing w:before="0" w:after="0"/>
              <w:ind w:left="0" w:right="0" w:firstLine="30"/>
              <w:rPr/>
            </w:pPr>
            <w:r>
              <w:rPr/>
              <w:t> </w:t>
            </w:r>
          </w:p>
        </w:tc>
      </w:tr>
      <w:tr>
        <w:trPr/>
        <w:tc>
          <w:tcPr>
            <w:tcW w:w="4590" w:type="dxa"/>
            <w:tcBorders/>
            <w:shd w:fill="auto" w:val="clear"/>
            <w:vAlign w:val="center"/>
          </w:tcPr>
          <w:p>
            <w:pPr>
              <w:pStyle w:val="TableContents"/>
              <w:spacing w:before="0" w:after="0"/>
              <w:ind w:left="0" w:right="0" w:firstLine="30"/>
              <w:rPr>
                <w:rFonts w:ascii="inherit" w:hAnsi="inherit"/>
                <w:b/>
                <w:i/>
                <w:sz w:val="17"/>
              </w:rPr>
            </w:pPr>
            <w:r>
              <w:rPr>
                <w:rFonts w:ascii="inherit" w:hAnsi="inherit"/>
                <w:b/>
                <w:i/>
                <w:sz w:val="17"/>
              </w:rPr>
              <w:t>Operating expenses</w:t>
            </w:r>
          </w:p>
        </w:tc>
        <w:tc>
          <w:tcPr>
            <w:tcW w:w="270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825" w:type="dxa"/>
            <w:gridSpan w:val="3"/>
            <w:tcBorders/>
            <w:shd w:fill="auto" w:val="clear"/>
            <w:vAlign w:val="center"/>
          </w:tcPr>
          <w:p>
            <w:pPr>
              <w:pStyle w:val="TableContents"/>
              <w:spacing w:before="0" w:after="0"/>
              <w:ind w:left="0" w:right="0" w:firstLine="300"/>
              <w:rPr/>
            </w:pPr>
            <w:r>
              <w:rPr/>
              <w:t> </w:t>
            </w:r>
          </w:p>
        </w:tc>
      </w:tr>
      <w:tr>
        <w:trPr/>
        <w:tc>
          <w:tcPr>
            <w:tcW w:w="45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General and administrative</w:t>
            </w:r>
          </w:p>
        </w:tc>
        <w:tc>
          <w:tcPr>
            <w:tcW w:w="2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6,225</w:t>
            </w:r>
          </w:p>
        </w:tc>
        <w:tc>
          <w:tcPr>
            <w:tcW w:w="3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7,308</w:t>
            </w:r>
          </w:p>
        </w:tc>
        <w:tc>
          <w:tcPr>
            <w:tcW w:w="118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5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23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930</w:t>
            </w:r>
          </w:p>
        </w:tc>
        <w:tc>
          <w:tcPr>
            <w:tcW w:w="3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906</w:t>
            </w:r>
          </w:p>
        </w:tc>
        <w:tc>
          <w:tcPr>
            <w:tcW w:w="118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5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Property taxes</w:t>
            </w:r>
          </w:p>
        </w:tc>
        <w:tc>
          <w:tcPr>
            <w:tcW w:w="2387" w:type="dxa"/>
            <w:gridSpan w:val="2"/>
            <w:tcBorders/>
            <w:shd w:fill="CCEEFF" w:val="clear"/>
            <w:vAlign w:val="center"/>
          </w:tcPr>
          <w:p>
            <w:pPr>
              <w:pStyle w:val="TableContents"/>
              <w:spacing w:before="0" w:after="0"/>
              <w:jc w:val="right"/>
              <w:rPr/>
            </w:pPr>
            <w:r>
              <w:rPr/>
              <w:t>—</w:t>
            </w:r>
          </w:p>
        </w:tc>
        <w:tc>
          <w:tcPr>
            <w:tcW w:w="3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17,243</w:t>
            </w:r>
          </w:p>
        </w:tc>
        <w:tc>
          <w:tcPr>
            <w:tcW w:w="118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5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Golf operations</w:t>
            </w:r>
          </w:p>
        </w:tc>
        <w:tc>
          <w:tcPr>
            <w:tcW w:w="23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4,092</w:t>
            </w:r>
          </w:p>
        </w:tc>
        <w:tc>
          <w:tcPr>
            <w:tcW w:w="3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4,095</w:t>
            </w:r>
          </w:p>
        </w:tc>
        <w:tc>
          <w:tcPr>
            <w:tcW w:w="118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5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Transaction and acquisition expenses</w:t>
            </w:r>
          </w:p>
        </w:tc>
        <w:tc>
          <w:tcPr>
            <w:tcW w:w="238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889</w:t>
            </w:r>
          </w:p>
        </w:tc>
        <w:tc>
          <w:tcPr>
            <w:tcW w:w="31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3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189" w:type="dxa"/>
            <w:tcBorders>
              <w:bottom w:val="single" w:sz="2" w:space="0" w:color="000000"/>
            </w:tcBorders>
            <w:shd w:fill="CCEEFF" w:val="clear"/>
            <w:tcMar>
              <w:bottom w:w="28" w:type="dxa"/>
            </w:tcMar>
            <w:vAlign w:val="center"/>
          </w:tcPr>
          <w:p>
            <w:pPr>
              <w:pStyle w:val="TableContents"/>
              <w:spacing w:before="0" w:after="0"/>
              <w:ind w:left="0" w:right="0" w:firstLine="600"/>
              <w:jc w:val="left"/>
              <w:rPr>
                <w:rFonts w:ascii="inherit" w:hAnsi="inherit"/>
                <w:sz w:val="17"/>
              </w:rPr>
            </w:pPr>
            <w:r>
              <w:rPr>
                <w:rFonts w:ascii="inherit" w:hAnsi="inherit"/>
                <w:sz w:val="17"/>
              </w:rPr>
            </w:r>
          </w:p>
        </w:tc>
      </w:tr>
      <w:tr>
        <w:trPr/>
        <w:tc>
          <w:tcPr>
            <w:tcW w:w="45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operating expenses</w:t>
            </w:r>
          </w:p>
        </w:tc>
        <w:tc>
          <w:tcPr>
            <w:tcW w:w="2387"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12,136</w:t>
            </w:r>
          </w:p>
        </w:tc>
        <w:tc>
          <w:tcPr>
            <w:tcW w:w="313"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36"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29,552</w:t>
            </w:r>
          </w:p>
        </w:tc>
        <w:tc>
          <w:tcPr>
            <w:tcW w:w="118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income</w:t>
            </w:r>
          </w:p>
        </w:tc>
        <w:tc>
          <w:tcPr>
            <w:tcW w:w="2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201,866</w:t>
            </w:r>
          </w:p>
        </w:tc>
        <w:tc>
          <w:tcPr>
            <w:tcW w:w="3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188,724</w:t>
            </w:r>
          </w:p>
        </w:tc>
        <w:tc>
          <w:tcPr>
            <w:tcW w:w="11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90" w:type="dxa"/>
            <w:tcBorders/>
            <w:shd w:fill="auto" w:val="clear"/>
            <w:vAlign w:val="center"/>
          </w:tcPr>
          <w:p>
            <w:pPr>
              <w:pStyle w:val="TableContents"/>
              <w:spacing w:before="0" w:after="0"/>
              <w:ind w:left="0" w:right="0" w:firstLine="30"/>
              <w:rPr/>
            </w:pPr>
            <w:r>
              <w:rPr/>
              <w:t> </w:t>
            </w:r>
          </w:p>
        </w:tc>
        <w:tc>
          <w:tcPr>
            <w:tcW w:w="270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825" w:type="dxa"/>
            <w:gridSpan w:val="3"/>
            <w:tcBorders/>
            <w:shd w:fill="auto" w:val="clear"/>
            <w:vAlign w:val="center"/>
          </w:tcPr>
          <w:p>
            <w:pPr>
              <w:pStyle w:val="TableContents"/>
              <w:spacing w:before="0" w:after="0"/>
              <w:ind w:left="0" w:right="0" w:firstLine="300"/>
              <w:rPr/>
            </w:pPr>
            <w:r>
              <w:rPr/>
              <w:t> </w:t>
            </w:r>
          </w:p>
        </w:tc>
      </w:tr>
      <w:tr>
        <w:trPr/>
        <w:tc>
          <w:tcPr>
            <w:tcW w:w="45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2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(53,586</w:t>
            </w:r>
          </w:p>
        </w:tc>
        <w:tc>
          <w:tcPr>
            <w:tcW w:w="3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6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(52,875</w:t>
            </w:r>
          </w:p>
        </w:tc>
        <w:tc>
          <w:tcPr>
            <w:tcW w:w="118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45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w:t>
            </w:r>
          </w:p>
        </w:tc>
        <w:tc>
          <w:tcPr>
            <w:tcW w:w="23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5,167</w:t>
            </w:r>
          </w:p>
        </w:tc>
        <w:tc>
          <w:tcPr>
            <w:tcW w:w="3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1,678</w:t>
            </w:r>
          </w:p>
        </w:tc>
        <w:tc>
          <w:tcPr>
            <w:tcW w:w="118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5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from extinguishment of debt</w:t>
            </w:r>
          </w:p>
        </w:tc>
        <w:tc>
          <w:tcPr>
            <w:tcW w:w="238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31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3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(23,040</w:t>
            </w:r>
          </w:p>
        </w:tc>
        <w:tc>
          <w:tcPr>
            <w:tcW w:w="118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5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before income taxes</w:t>
            </w:r>
          </w:p>
        </w:tc>
        <w:tc>
          <w:tcPr>
            <w:tcW w:w="23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153,447</w:t>
            </w:r>
          </w:p>
        </w:tc>
        <w:tc>
          <w:tcPr>
            <w:tcW w:w="3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114,487</w:t>
            </w:r>
          </w:p>
        </w:tc>
        <w:tc>
          <w:tcPr>
            <w:tcW w:w="118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5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238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(521</w:t>
            </w:r>
          </w:p>
        </w:tc>
        <w:tc>
          <w:tcPr>
            <w:tcW w:w="31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63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(384</w:t>
            </w:r>
          </w:p>
        </w:tc>
        <w:tc>
          <w:tcPr>
            <w:tcW w:w="118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5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40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979" w:type="dxa"/>
            <w:tcBorders/>
            <w:shd w:fill="auto" w:val="clear"/>
            <w:vAlign w:val="center"/>
          </w:tcPr>
          <w:p>
            <w:pPr>
              <w:pStyle w:val="TableContents"/>
              <w:spacing w:before="0" w:after="0"/>
              <w:jc w:val="right"/>
              <w:rPr>
                <w:rFonts w:ascii="inherit" w:hAnsi="inherit"/>
                <w:sz w:val="17"/>
              </w:rPr>
            </w:pPr>
            <w:r>
              <w:rPr>
                <w:rFonts w:ascii="inherit" w:hAnsi="inherit"/>
                <w:sz w:val="17"/>
              </w:rPr>
              <w:t>152,926</w:t>
            </w:r>
          </w:p>
        </w:tc>
        <w:tc>
          <w:tcPr>
            <w:tcW w:w="3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7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62" w:type="dxa"/>
            <w:tcBorders/>
            <w:shd w:fill="auto" w:val="clear"/>
            <w:vAlign w:val="center"/>
          </w:tcPr>
          <w:p>
            <w:pPr>
              <w:pStyle w:val="TableContents"/>
              <w:spacing w:before="0" w:after="0"/>
              <w:jc w:val="right"/>
              <w:rPr>
                <w:rFonts w:ascii="inherit" w:hAnsi="inherit"/>
                <w:sz w:val="17"/>
              </w:rPr>
            </w:pPr>
            <w:r>
              <w:rPr>
                <w:rFonts w:ascii="inherit" w:hAnsi="inherit"/>
                <w:sz w:val="17"/>
              </w:rPr>
              <w:t>114,103</w:t>
            </w:r>
          </w:p>
        </w:tc>
        <w:tc>
          <w:tcPr>
            <w:tcW w:w="118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5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Less: Net income attributable to non-controlling interests</w:t>
            </w:r>
          </w:p>
        </w:tc>
        <w:tc>
          <w:tcPr>
            <w:tcW w:w="2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(2,077</w:t>
            </w:r>
          </w:p>
        </w:tc>
        <w:tc>
          <w:tcPr>
            <w:tcW w:w="3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6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(1,981</w:t>
            </w:r>
          </w:p>
        </w:tc>
        <w:tc>
          <w:tcPr>
            <w:tcW w:w="11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5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Net income attributable to common stockholders </w:t>
            </w:r>
          </w:p>
        </w:tc>
        <w:tc>
          <w:tcPr>
            <w:tcW w:w="40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97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150,849</w:t>
            </w:r>
          </w:p>
        </w:tc>
        <w:tc>
          <w:tcPr>
            <w:tcW w:w="31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7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6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112,122</w:t>
            </w:r>
          </w:p>
        </w:tc>
        <w:tc>
          <w:tcPr>
            <w:tcW w:w="118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90" w:type="dxa"/>
            <w:tcBorders/>
            <w:shd w:fill="CCEEFF" w:val="clear"/>
            <w:vAlign w:val="center"/>
          </w:tcPr>
          <w:p>
            <w:pPr>
              <w:pStyle w:val="TableContents"/>
              <w:spacing w:before="0" w:after="0"/>
              <w:ind w:left="0" w:right="0" w:firstLine="30"/>
              <w:rPr/>
            </w:pPr>
            <w:r>
              <w:rPr/>
              <w:t> </w:t>
            </w:r>
          </w:p>
        </w:tc>
        <w:tc>
          <w:tcPr>
            <w:tcW w:w="270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825" w:type="dxa"/>
            <w:gridSpan w:val="3"/>
            <w:tcBorders/>
            <w:shd w:fill="CCEEFF" w:val="clear"/>
            <w:vAlign w:val="center"/>
          </w:tcPr>
          <w:p>
            <w:pPr>
              <w:pStyle w:val="TableContents"/>
              <w:spacing w:before="0" w:after="0"/>
              <w:ind w:left="0" w:right="0" w:firstLine="30"/>
              <w:rPr/>
            </w:pPr>
            <w:r>
              <w:rPr/>
              <w:t> </w:t>
            </w:r>
          </w:p>
        </w:tc>
      </w:tr>
      <w:tr>
        <w:trPr/>
        <w:tc>
          <w:tcPr>
            <w:tcW w:w="4590" w:type="dxa"/>
            <w:tcBorders/>
            <w:shd w:fill="auto" w:val="clear"/>
            <w:vAlign w:val="center"/>
          </w:tcPr>
          <w:p>
            <w:pPr>
              <w:pStyle w:val="TableContents"/>
              <w:spacing w:before="0" w:after="0"/>
              <w:ind w:left="0" w:right="0" w:firstLine="30"/>
              <w:rPr>
                <w:rFonts w:ascii="inherit" w:hAnsi="inherit"/>
                <w:b/>
                <w:i/>
                <w:sz w:val="17"/>
              </w:rPr>
            </w:pPr>
            <w:r>
              <w:rPr>
                <w:rFonts w:ascii="inherit" w:hAnsi="inherit"/>
                <w:b/>
                <w:i/>
                <w:sz w:val="17"/>
              </w:rPr>
              <w:t xml:space="preserve">Net income per common share </w:t>
            </w:r>
          </w:p>
        </w:tc>
        <w:tc>
          <w:tcPr>
            <w:tcW w:w="270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825" w:type="dxa"/>
            <w:gridSpan w:val="3"/>
            <w:tcBorders/>
            <w:shd w:fill="auto" w:val="clear"/>
            <w:vAlign w:val="center"/>
          </w:tcPr>
          <w:p>
            <w:pPr>
              <w:pStyle w:val="TableContents"/>
              <w:spacing w:before="0" w:after="0"/>
              <w:ind w:left="0" w:right="0" w:firstLine="300"/>
              <w:rPr/>
            </w:pPr>
            <w:r>
              <w:rPr/>
              <w:t> </w:t>
            </w:r>
          </w:p>
        </w:tc>
      </w:tr>
      <w:tr>
        <w:trPr/>
        <w:tc>
          <w:tcPr>
            <w:tcW w:w="45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Basic </w:t>
            </w:r>
          </w:p>
        </w:tc>
        <w:tc>
          <w:tcPr>
            <w:tcW w:w="40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979" w:type="dxa"/>
            <w:tcBorders/>
            <w:shd w:fill="CCEEFF" w:val="clear"/>
            <w:vAlign w:val="center"/>
          </w:tcPr>
          <w:p>
            <w:pPr>
              <w:pStyle w:val="TableContents"/>
              <w:spacing w:before="0" w:after="0"/>
              <w:jc w:val="right"/>
              <w:rPr>
                <w:rFonts w:ascii="inherit" w:hAnsi="inherit"/>
                <w:sz w:val="17"/>
              </w:rPr>
            </w:pPr>
            <w:r>
              <w:rPr>
                <w:rFonts w:ascii="inherit" w:hAnsi="inherit"/>
                <w:sz w:val="17"/>
              </w:rPr>
              <w:t>0.37</w:t>
            </w:r>
          </w:p>
        </w:tc>
        <w:tc>
          <w:tcPr>
            <w:tcW w:w="3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7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62" w:type="dxa"/>
            <w:tcBorders/>
            <w:shd w:fill="CCEEFF" w:val="clear"/>
            <w:vAlign w:val="center"/>
          </w:tcPr>
          <w:p>
            <w:pPr>
              <w:pStyle w:val="TableContents"/>
              <w:spacing w:before="0" w:after="0"/>
              <w:jc w:val="right"/>
              <w:rPr>
                <w:rFonts w:ascii="inherit" w:hAnsi="inherit"/>
                <w:sz w:val="17"/>
              </w:rPr>
            </w:pPr>
            <w:r>
              <w:rPr>
                <w:rFonts w:ascii="inherit" w:hAnsi="inherit"/>
                <w:sz w:val="17"/>
              </w:rPr>
              <w:t>0.33</w:t>
            </w:r>
          </w:p>
        </w:tc>
        <w:tc>
          <w:tcPr>
            <w:tcW w:w="118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5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Diluted </w:t>
            </w:r>
          </w:p>
        </w:tc>
        <w:tc>
          <w:tcPr>
            <w:tcW w:w="40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979" w:type="dxa"/>
            <w:tcBorders/>
            <w:shd w:fill="auto" w:val="clear"/>
            <w:vAlign w:val="center"/>
          </w:tcPr>
          <w:p>
            <w:pPr>
              <w:pStyle w:val="TableContents"/>
              <w:spacing w:before="0" w:after="0"/>
              <w:jc w:val="right"/>
              <w:rPr>
                <w:rFonts w:ascii="inherit" w:hAnsi="inherit"/>
                <w:sz w:val="17"/>
              </w:rPr>
            </w:pPr>
            <w:r>
              <w:rPr>
                <w:rFonts w:ascii="inherit" w:hAnsi="inherit"/>
                <w:sz w:val="17"/>
              </w:rPr>
              <w:t>0.37</w:t>
            </w:r>
          </w:p>
        </w:tc>
        <w:tc>
          <w:tcPr>
            <w:tcW w:w="3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7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62" w:type="dxa"/>
            <w:tcBorders/>
            <w:shd w:fill="auto" w:val="clear"/>
            <w:vAlign w:val="center"/>
          </w:tcPr>
          <w:p>
            <w:pPr>
              <w:pStyle w:val="TableContents"/>
              <w:spacing w:before="0" w:after="0"/>
              <w:jc w:val="right"/>
              <w:rPr>
                <w:rFonts w:ascii="inherit" w:hAnsi="inherit"/>
                <w:sz w:val="17"/>
              </w:rPr>
            </w:pPr>
            <w:r>
              <w:rPr>
                <w:rFonts w:ascii="inherit" w:hAnsi="inherit"/>
                <w:sz w:val="17"/>
              </w:rPr>
              <w:t>0.33</w:t>
            </w:r>
          </w:p>
        </w:tc>
        <w:tc>
          <w:tcPr>
            <w:tcW w:w="1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90" w:type="dxa"/>
            <w:tcBorders/>
            <w:shd w:fill="CCEEFF" w:val="clear"/>
            <w:vAlign w:val="center"/>
          </w:tcPr>
          <w:p>
            <w:pPr>
              <w:pStyle w:val="TableContents"/>
              <w:spacing w:before="0" w:after="0"/>
              <w:ind w:left="0" w:right="0" w:firstLine="30"/>
              <w:rPr/>
            </w:pPr>
            <w:r>
              <w:rPr/>
              <w:t> </w:t>
            </w:r>
          </w:p>
        </w:tc>
        <w:tc>
          <w:tcPr>
            <w:tcW w:w="270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825" w:type="dxa"/>
            <w:gridSpan w:val="3"/>
            <w:tcBorders/>
            <w:shd w:fill="CCEEFF" w:val="clear"/>
            <w:vAlign w:val="center"/>
          </w:tcPr>
          <w:p>
            <w:pPr>
              <w:pStyle w:val="TableContents"/>
              <w:spacing w:before="0" w:after="0"/>
              <w:ind w:left="0" w:right="0" w:firstLine="300"/>
              <w:rPr/>
            </w:pPr>
            <w:r>
              <w:rPr/>
              <w:t> </w:t>
            </w:r>
          </w:p>
        </w:tc>
      </w:tr>
      <w:tr>
        <w:trPr/>
        <w:tc>
          <w:tcPr>
            <w:tcW w:w="45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Dividends declared per common share</w:t>
            </w:r>
          </w:p>
        </w:tc>
        <w:tc>
          <w:tcPr>
            <w:tcW w:w="40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979" w:type="dxa"/>
            <w:tcBorders/>
            <w:shd w:fill="auto" w:val="clear"/>
            <w:vAlign w:val="center"/>
          </w:tcPr>
          <w:p>
            <w:pPr>
              <w:pStyle w:val="TableContents"/>
              <w:spacing w:before="0" w:after="0"/>
              <w:jc w:val="right"/>
              <w:rPr>
                <w:rFonts w:ascii="inherit" w:hAnsi="inherit"/>
                <w:sz w:val="17"/>
              </w:rPr>
            </w:pPr>
            <w:r>
              <w:rPr>
                <w:rFonts w:ascii="inherit" w:hAnsi="inherit"/>
                <w:sz w:val="17"/>
              </w:rPr>
              <w:t>0.2875</w:t>
            </w:r>
          </w:p>
        </w:tc>
        <w:tc>
          <w:tcPr>
            <w:tcW w:w="3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7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62" w:type="dxa"/>
            <w:tcBorders/>
            <w:shd w:fill="auto" w:val="clear"/>
            <w:vAlign w:val="center"/>
          </w:tcPr>
          <w:p>
            <w:pPr>
              <w:pStyle w:val="TableContents"/>
              <w:spacing w:before="0" w:after="0"/>
              <w:jc w:val="right"/>
              <w:rPr>
                <w:rFonts w:ascii="inherit" w:hAnsi="inherit"/>
                <w:sz w:val="17"/>
              </w:rPr>
            </w:pPr>
            <w:r>
              <w:rPr>
                <w:rFonts w:ascii="inherit" w:hAnsi="inherit"/>
                <w:sz w:val="17"/>
              </w:rPr>
              <w:t>0.1600</w:t>
            </w:r>
          </w:p>
        </w:tc>
        <w:tc>
          <w:tcPr>
            <w:tcW w:w="1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90" w:type="dxa"/>
            <w:tcBorders/>
            <w:shd w:fill="CCEEFF" w:val="clear"/>
            <w:vAlign w:val="center"/>
          </w:tcPr>
          <w:p>
            <w:pPr>
              <w:pStyle w:val="TableContents"/>
              <w:spacing w:before="0" w:after="0"/>
              <w:ind w:left="0" w:right="0" w:firstLine="30"/>
              <w:rPr/>
            </w:pPr>
            <w:r>
              <w:rPr/>
              <w:t> </w:t>
            </w:r>
          </w:p>
        </w:tc>
        <w:tc>
          <w:tcPr>
            <w:tcW w:w="270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825" w:type="dxa"/>
            <w:gridSpan w:val="3"/>
            <w:tcBorders/>
            <w:shd w:fill="CCEEFF" w:val="clear"/>
            <w:vAlign w:val="center"/>
          </w:tcPr>
          <w:p>
            <w:pPr>
              <w:pStyle w:val="TableContents"/>
              <w:spacing w:before="0" w:after="0"/>
              <w:ind w:left="0" w:right="0" w:firstLine="30"/>
              <w:rPr/>
            </w:pPr>
            <w:r>
              <w:rPr/>
              <w:t> </w:t>
            </w:r>
          </w:p>
        </w:tc>
      </w:tr>
      <w:tr>
        <w:trPr/>
        <w:tc>
          <w:tcPr>
            <w:tcW w:w="4590" w:type="dxa"/>
            <w:tcBorders/>
            <w:shd w:fill="auto" w:val="clear"/>
            <w:vAlign w:val="center"/>
          </w:tcPr>
          <w:p>
            <w:pPr>
              <w:pStyle w:val="TableContents"/>
              <w:spacing w:before="0" w:after="0"/>
              <w:ind w:left="0" w:right="0" w:firstLine="30"/>
              <w:rPr>
                <w:rFonts w:ascii="inherit" w:hAnsi="inherit"/>
                <w:b/>
                <w:i/>
                <w:sz w:val="17"/>
              </w:rPr>
            </w:pPr>
            <w:r>
              <w:rPr>
                <w:rFonts w:ascii="inherit" w:hAnsi="inherit"/>
                <w:b/>
                <w:i/>
                <w:sz w:val="17"/>
              </w:rPr>
              <w:t>Weighted average number of common shares outstanding</w:t>
            </w:r>
          </w:p>
        </w:tc>
        <w:tc>
          <w:tcPr>
            <w:tcW w:w="270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825" w:type="dxa"/>
            <w:gridSpan w:val="3"/>
            <w:tcBorders/>
            <w:shd w:fill="auto" w:val="clear"/>
            <w:vAlign w:val="center"/>
          </w:tcPr>
          <w:p>
            <w:pPr>
              <w:pStyle w:val="TableContents"/>
              <w:spacing w:before="0" w:after="0"/>
              <w:ind w:left="0" w:right="0" w:firstLine="300"/>
              <w:rPr/>
            </w:pPr>
            <w:r>
              <w:rPr/>
              <w:t> </w:t>
            </w:r>
          </w:p>
        </w:tc>
      </w:tr>
      <w:tr>
        <w:trPr/>
        <w:tc>
          <w:tcPr>
            <w:tcW w:w="45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Basic</w:t>
            </w:r>
          </w:p>
        </w:tc>
        <w:tc>
          <w:tcPr>
            <w:tcW w:w="23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405,733,656</w:t>
            </w:r>
          </w:p>
        </w:tc>
        <w:tc>
          <w:tcPr>
            <w:tcW w:w="3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342,900,842</w:t>
            </w:r>
          </w:p>
        </w:tc>
        <w:tc>
          <w:tcPr>
            <w:tcW w:w="118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5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Diluted</w:t>
            </w:r>
          </w:p>
        </w:tc>
        <w:tc>
          <w:tcPr>
            <w:tcW w:w="23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406,035,025</w:t>
            </w:r>
          </w:p>
        </w:tc>
        <w:tc>
          <w:tcPr>
            <w:tcW w:w="3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343,056,532</w:t>
            </w:r>
          </w:p>
        </w:tc>
        <w:tc>
          <w:tcPr>
            <w:tcW w:w="1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90" w:type="dxa"/>
            <w:tcBorders/>
            <w:shd w:fill="CCEEFF" w:val="clear"/>
            <w:vAlign w:val="center"/>
          </w:tcPr>
          <w:p>
            <w:pPr>
              <w:pStyle w:val="TableContents"/>
              <w:spacing w:before="0" w:after="0"/>
              <w:ind w:left="0" w:right="0" w:firstLine="30"/>
              <w:rPr/>
            </w:pPr>
            <w:r>
              <w:rPr/>
              <w:t> </w:t>
            </w:r>
          </w:p>
        </w:tc>
        <w:tc>
          <w:tcPr>
            <w:tcW w:w="270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825" w:type="dxa"/>
            <w:gridSpan w:val="3"/>
            <w:tcBorders/>
            <w:shd w:fill="CCEEFF" w:val="clear"/>
            <w:vAlign w:val="center"/>
          </w:tcPr>
          <w:p>
            <w:pPr>
              <w:pStyle w:val="TableContents"/>
              <w:spacing w:before="0" w:after="0"/>
              <w:ind w:left="0" w:right="0" w:firstLine="30"/>
              <w:rPr/>
            </w:pPr>
            <w:r>
              <w:rPr/>
              <w:t> </w:t>
            </w:r>
          </w:p>
        </w:tc>
      </w:tr>
      <w:tr>
        <w:trPr/>
        <w:tc>
          <w:tcPr>
            <w:tcW w:w="4590" w:type="dxa"/>
            <w:tcBorders/>
            <w:shd w:fill="auto" w:val="clear"/>
            <w:vAlign w:val="center"/>
          </w:tcPr>
          <w:p>
            <w:pPr>
              <w:pStyle w:val="TableContents"/>
              <w:spacing w:before="0" w:after="0"/>
              <w:ind w:left="0" w:right="0" w:firstLine="30"/>
              <w:rPr>
                <w:rFonts w:ascii="inherit" w:hAnsi="inherit"/>
                <w:b/>
                <w:i/>
                <w:sz w:val="17"/>
              </w:rPr>
            </w:pPr>
            <w:r>
              <w:rPr>
                <w:rFonts w:ascii="inherit" w:hAnsi="inherit"/>
                <w:b/>
                <w:i/>
                <w:sz w:val="17"/>
              </w:rPr>
              <w:t>Other comprehensive income</w:t>
            </w:r>
          </w:p>
        </w:tc>
        <w:tc>
          <w:tcPr>
            <w:tcW w:w="270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825" w:type="dxa"/>
            <w:gridSpan w:val="3"/>
            <w:tcBorders/>
            <w:shd w:fill="auto" w:val="clear"/>
            <w:vAlign w:val="center"/>
          </w:tcPr>
          <w:p>
            <w:pPr>
              <w:pStyle w:val="TableContents"/>
              <w:spacing w:before="0" w:after="0"/>
              <w:ind w:left="0" w:right="0" w:firstLine="30"/>
              <w:rPr/>
            </w:pPr>
            <w:r>
              <w:rPr/>
              <w:t> </w:t>
            </w:r>
          </w:p>
        </w:tc>
      </w:tr>
      <w:tr>
        <w:trPr/>
        <w:tc>
          <w:tcPr>
            <w:tcW w:w="45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Net income attributable to common stockholders </w:t>
            </w:r>
          </w:p>
        </w:tc>
        <w:tc>
          <w:tcPr>
            <w:tcW w:w="40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979" w:type="dxa"/>
            <w:tcBorders/>
            <w:shd w:fill="CCEEFF" w:val="clear"/>
            <w:vAlign w:val="center"/>
          </w:tcPr>
          <w:p>
            <w:pPr>
              <w:pStyle w:val="TableContents"/>
              <w:spacing w:before="0" w:after="0"/>
              <w:jc w:val="right"/>
              <w:rPr>
                <w:rFonts w:ascii="inherit" w:hAnsi="inherit"/>
                <w:sz w:val="17"/>
              </w:rPr>
            </w:pPr>
            <w:r>
              <w:rPr>
                <w:rFonts w:ascii="inherit" w:hAnsi="inherit"/>
                <w:sz w:val="17"/>
              </w:rPr>
              <w:t>150,849</w:t>
            </w:r>
          </w:p>
        </w:tc>
        <w:tc>
          <w:tcPr>
            <w:tcW w:w="3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7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62" w:type="dxa"/>
            <w:tcBorders/>
            <w:shd w:fill="CCEEFF" w:val="clear"/>
            <w:vAlign w:val="center"/>
          </w:tcPr>
          <w:p>
            <w:pPr>
              <w:pStyle w:val="TableContents"/>
              <w:spacing w:before="0" w:after="0"/>
              <w:jc w:val="right"/>
              <w:rPr>
                <w:rFonts w:ascii="inherit" w:hAnsi="inherit"/>
                <w:sz w:val="17"/>
              </w:rPr>
            </w:pPr>
            <w:r>
              <w:rPr>
                <w:rFonts w:ascii="inherit" w:hAnsi="inherit"/>
                <w:sz w:val="17"/>
              </w:rPr>
              <w:t>112,122</w:t>
            </w:r>
          </w:p>
        </w:tc>
        <w:tc>
          <w:tcPr>
            <w:tcW w:w="118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5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Unrealized loss on cash flow hedges</w:t>
            </w:r>
          </w:p>
        </w:tc>
        <w:tc>
          <w:tcPr>
            <w:tcW w:w="23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(17,191</w:t>
            </w:r>
          </w:p>
        </w:tc>
        <w:tc>
          <w:tcPr>
            <w:tcW w:w="3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636" w:type="dxa"/>
            <w:gridSpan w:val="2"/>
            <w:tcBorders/>
            <w:shd w:fill="auto" w:val="clear"/>
            <w:vAlign w:val="center"/>
          </w:tcPr>
          <w:p>
            <w:pPr>
              <w:pStyle w:val="TableContents"/>
              <w:spacing w:before="0" w:after="0"/>
              <w:jc w:val="right"/>
              <w:rPr/>
            </w:pPr>
            <w:r>
              <w:rPr/>
              <w:t>—</w:t>
            </w:r>
          </w:p>
        </w:tc>
        <w:tc>
          <w:tcPr>
            <w:tcW w:w="1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Comprehensive income attributable to common stockholders</w:t>
            </w:r>
          </w:p>
        </w:tc>
        <w:tc>
          <w:tcPr>
            <w:tcW w:w="40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97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133,658</w:t>
            </w:r>
          </w:p>
        </w:tc>
        <w:tc>
          <w:tcPr>
            <w:tcW w:w="31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7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6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112,122</w:t>
            </w:r>
          </w:p>
        </w:tc>
        <w:tc>
          <w:tcPr>
            <w:tcW w:w="118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t>See accompanying Notes to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lineRule="auto" w:line="288" w:before="0" w:after="0"/>
        <w:jc w:val="left"/>
        <w:rPr/>
      </w:pPr>
      <w:hyperlink w:anchor="s7181E430E8A9506B896277AC8CF177C4">
        <w:bookmarkStart w:id="9" w:name="sC68F1A59C9C950B190C88E9CF8B7B09F"/>
        <w:bookmarkEnd w:id="9"/>
        <w:r>
          <w:rPr>
            <w:rStyle w:val="InternetLink"/>
            <w:rFonts w:ascii="inherit" w:hAnsi="inherit"/>
            <w:sz w:val="17"/>
          </w:rPr>
          <w:t>Table of Contents</w:t>
        </w:r>
      </w:hyperlink>
    </w:p>
    <w:p>
      <w:pPr>
        <w:pStyle w:val="TextBody"/>
        <w:spacing w:lineRule="auto" w:line="288" w:before="0" w:after="0"/>
        <w:jc w:val="center"/>
        <w:rPr>
          <w:rFonts w:ascii="inherit" w:hAnsi="inherit"/>
          <w:b/>
          <w:sz w:val="18"/>
        </w:rPr>
      </w:pPr>
      <w:r>
        <w:rPr>
          <w:rFonts w:ascii="inherit" w:hAnsi="inherit"/>
          <w:b/>
          <w:sz w:val="18"/>
        </w:rPr>
        <w:t>VICI PROPERTIES INC.</w:t>
      </w:r>
    </w:p>
    <w:p>
      <w:pPr>
        <w:pStyle w:val="TextBody"/>
        <w:spacing w:lineRule="auto" w:line="288" w:before="0" w:after="0"/>
        <w:jc w:val="center"/>
        <w:rPr>
          <w:rFonts w:ascii="inherit" w:hAnsi="inherit"/>
          <w:b/>
          <w:sz w:val="18"/>
        </w:rPr>
      </w:pPr>
      <w:r>
        <w:rPr>
          <w:rFonts w:ascii="inherit" w:hAnsi="inherit"/>
          <w:b/>
          <w:sz w:val="18"/>
        </w:rPr>
        <w:t>CONSOLIDATED STATEMENTS OF STOCKHOLDERS’ EQUITY</w:t>
      </w:r>
    </w:p>
    <w:p>
      <w:pPr>
        <w:pStyle w:val="TextBody"/>
        <w:spacing w:lineRule="auto" w:line="288" w:before="0" w:after="0"/>
        <w:jc w:val="center"/>
        <w:rPr>
          <w:rFonts w:ascii="inherit" w:hAnsi="inherit"/>
          <w:b/>
          <w:sz w:val="18"/>
        </w:rPr>
      </w:pPr>
      <w:r>
        <w:rPr>
          <w:rFonts w:ascii="inherit" w:hAnsi="inherit"/>
          <w:b/>
          <w:sz w:val="18"/>
        </w:rPr>
        <w:t>(UNAUDITED)</w:t>
      </w:r>
    </w:p>
    <w:p>
      <w:pPr>
        <w:pStyle w:val="TextBody"/>
        <w:spacing w:lineRule="auto" w:line="288" w:before="0" w:after="0"/>
        <w:jc w:val="center"/>
        <w:rPr>
          <w:rFonts w:ascii="inherit" w:hAnsi="inherit"/>
          <w:b/>
          <w:sz w:val="18"/>
        </w:rPr>
      </w:pPr>
      <w:r>
        <w:rPr>
          <w:rFonts w:ascii="inherit" w:hAnsi="inherit"/>
          <w:b/>
          <w:sz w:val="18"/>
        </w:rPr>
        <w:t>(In thousands)</w:t>
      </w:r>
    </w:p>
    <w:p>
      <w:pPr>
        <w:pStyle w:val="TextBody"/>
        <w:spacing w:before="0" w:after="0"/>
        <w:rPr/>
      </w:pPr>
      <w:r>
        <w:rPr/>
      </w:r>
    </w:p>
    <w:tbl>
      <w:tblPr>
        <w:tblW w:w="10205" w:type="dxa"/>
        <w:jc w:val="center"/>
        <w:tblInd w:w="0" w:type="dxa"/>
        <w:tblCellMar>
          <w:top w:w="0" w:type="dxa"/>
          <w:left w:w="0" w:type="dxa"/>
          <w:bottom w:w="0" w:type="dxa"/>
          <w:right w:w="0" w:type="dxa"/>
        </w:tblCellMar>
      </w:tblPr>
      <w:tblGrid>
        <w:gridCol w:w="1564"/>
        <w:gridCol w:w="151"/>
        <w:gridCol w:w="586"/>
        <w:gridCol w:w="42"/>
        <w:gridCol w:w="90"/>
        <w:gridCol w:w="133"/>
        <w:gridCol w:w="895"/>
        <w:gridCol w:w="36"/>
        <w:gridCol w:w="90"/>
        <w:gridCol w:w="212"/>
        <w:gridCol w:w="1115"/>
        <w:gridCol w:w="215"/>
        <w:gridCol w:w="90"/>
        <w:gridCol w:w="122"/>
        <w:gridCol w:w="676"/>
        <w:gridCol w:w="122"/>
        <w:gridCol w:w="90"/>
        <w:gridCol w:w="144"/>
        <w:gridCol w:w="972"/>
        <w:gridCol w:w="145"/>
        <w:gridCol w:w="90"/>
        <w:gridCol w:w="195"/>
        <w:gridCol w:w="917"/>
        <w:gridCol w:w="196"/>
        <w:gridCol w:w="90"/>
        <w:gridCol w:w="137"/>
        <w:gridCol w:w="922"/>
        <w:gridCol w:w="168"/>
      </w:tblGrid>
      <w:tr>
        <w:trPr/>
        <w:tc>
          <w:tcPr>
            <w:tcW w:w="10205" w:type="dxa"/>
            <w:gridSpan w:val="28"/>
            <w:tcBorders/>
            <w:shd w:fill="auto" w:val="clear"/>
            <w:vAlign w:val="center"/>
          </w:tcPr>
          <w:p>
            <w:pPr>
              <w:pStyle w:val="TableContents"/>
              <w:spacing w:before="0" w:after="283"/>
              <w:rPr>
                <w:sz w:val="4"/>
                <w:szCs w:val="4"/>
              </w:rPr>
            </w:pPr>
            <w:r>
              <w:rPr>
                <w:sz w:val="4"/>
                <w:szCs w:val="4"/>
              </w:rPr>
            </w:r>
          </w:p>
        </w:tc>
      </w:tr>
      <w:tr>
        <w:trPr/>
        <w:tc>
          <w:tcPr>
            <w:tcW w:w="1564"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4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3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564" w:type="dxa"/>
            <w:tcBorders/>
            <w:shd w:fill="auto" w:val="clear"/>
            <w:vAlign w:val="center"/>
          </w:tcPr>
          <w:p>
            <w:pPr>
              <w:pStyle w:val="TableContents"/>
              <w:spacing w:before="0" w:after="0"/>
              <w:ind w:left="0" w:right="0" w:firstLine="30"/>
              <w:rPr/>
            </w:pPr>
            <w:r>
              <w:rPr/>
              <w:t> </w:t>
            </w:r>
          </w:p>
        </w:tc>
        <w:tc>
          <w:tcPr>
            <w:tcW w:w="779"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Common Stock </w:t>
            </w:r>
          </w:p>
        </w:tc>
        <w:tc>
          <w:tcPr>
            <w:tcW w:w="90" w:type="dxa"/>
            <w:tcBorders/>
            <w:shd w:fill="auto" w:val="clear"/>
            <w:vAlign w:val="center"/>
          </w:tcPr>
          <w:p>
            <w:pPr>
              <w:pStyle w:val="TableContents"/>
              <w:spacing w:before="0" w:after="0"/>
              <w:ind w:left="0" w:right="0" w:firstLine="30"/>
              <w:rPr/>
            </w:pPr>
            <w:r>
              <w:rPr/>
              <w:t> </w:t>
            </w:r>
          </w:p>
        </w:tc>
        <w:tc>
          <w:tcPr>
            <w:tcW w:w="1064"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Additional Paid-in Capital</w:t>
            </w:r>
          </w:p>
        </w:tc>
        <w:tc>
          <w:tcPr>
            <w:tcW w:w="90" w:type="dxa"/>
            <w:tcBorders/>
            <w:shd w:fill="auto" w:val="clear"/>
            <w:vAlign w:val="center"/>
          </w:tcPr>
          <w:p>
            <w:pPr>
              <w:pStyle w:val="TableContents"/>
              <w:spacing w:before="0" w:after="0"/>
              <w:ind w:left="0" w:right="0" w:firstLine="30"/>
              <w:rPr/>
            </w:pPr>
            <w:r>
              <w:rPr/>
              <w:t> </w:t>
            </w:r>
          </w:p>
        </w:tc>
        <w:tc>
          <w:tcPr>
            <w:tcW w:w="1542"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Accumulated Other Comprehensive Income</w:t>
            </w:r>
          </w:p>
        </w:tc>
        <w:tc>
          <w:tcPr>
            <w:tcW w:w="90" w:type="dxa"/>
            <w:tcBorders/>
            <w:shd w:fill="auto" w:val="clear"/>
            <w:vAlign w:val="center"/>
          </w:tcPr>
          <w:p>
            <w:pPr>
              <w:pStyle w:val="TableContents"/>
              <w:spacing w:before="0" w:after="0"/>
              <w:ind w:left="0" w:right="0" w:firstLine="30"/>
              <w:rPr/>
            </w:pPr>
            <w:r>
              <w:rPr/>
              <w:t> </w:t>
            </w:r>
          </w:p>
        </w:tc>
        <w:tc>
          <w:tcPr>
            <w:tcW w:w="920"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Retained Earnings</w:t>
            </w:r>
          </w:p>
        </w:tc>
        <w:tc>
          <w:tcPr>
            <w:tcW w:w="90" w:type="dxa"/>
            <w:tcBorders/>
            <w:shd w:fill="auto" w:val="clear"/>
            <w:vAlign w:val="center"/>
          </w:tcPr>
          <w:p>
            <w:pPr>
              <w:pStyle w:val="TableContents"/>
              <w:spacing w:before="0" w:after="0"/>
              <w:ind w:left="0" w:right="0" w:firstLine="30"/>
              <w:rPr/>
            </w:pPr>
            <w:r>
              <w:rPr/>
              <w:t> </w:t>
            </w:r>
          </w:p>
        </w:tc>
        <w:tc>
          <w:tcPr>
            <w:tcW w:w="1261"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Total VICI Stockholders’ Equity</w:t>
            </w:r>
          </w:p>
        </w:tc>
        <w:tc>
          <w:tcPr>
            <w:tcW w:w="90" w:type="dxa"/>
            <w:tcBorders/>
            <w:shd w:fill="auto" w:val="clear"/>
            <w:vAlign w:val="center"/>
          </w:tcPr>
          <w:p>
            <w:pPr>
              <w:pStyle w:val="TableContents"/>
              <w:spacing w:before="0" w:after="0"/>
              <w:ind w:left="0" w:right="0" w:firstLine="30"/>
              <w:rPr/>
            </w:pPr>
            <w:r>
              <w:rPr/>
              <w:t> </w:t>
            </w:r>
          </w:p>
        </w:tc>
        <w:tc>
          <w:tcPr>
            <w:tcW w:w="1308"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Non-controlling Interests</w:t>
            </w:r>
          </w:p>
        </w:tc>
        <w:tc>
          <w:tcPr>
            <w:tcW w:w="90" w:type="dxa"/>
            <w:tcBorders/>
            <w:shd w:fill="auto" w:val="clear"/>
            <w:vAlign w:val="center"/>
          </w:tcPr>
          <w:p>
            <w:pPr>
              <w:pStyle w:val="TableContents"/>
              <w:spacing w:before="0" w:after="0"/>
              <w:ind w:left="0" w:right="0" w:firstLine="30"/>
              <w:rPr/>
            </w:pPr>
            <w:r>
              <w:rPr/>
              <w:t> </w:t>
            </w:r>
          </w:p>
        </w:tc>
        <w:tc>
          <w:tcPr>
            <w:tcW w:w="1227"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Total Stockholders’ Equity</w:t>
            </w:r>
          </w:p>
        </w:tc>
      </w:tr>
      <w:tr>
        <w:trPr/>
        <w:tc>
          <w:tcPr>
            <w:tcW w:w="156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Balance as of December 31, 2017</w:t>
            </w:r>
          </w:p>
        </w:tc>
        <w:tc>
          <w:tcPr>
            <w:tcW w:w="151"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586"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3,003</w:t>
            </w:r>
          </w:p>
        </w:tc>
        <w:tc>
          <w:tcPr>
            <w:tcW w:w="4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3"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89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4,645,824</w:t>
            </w:r>
          </w:p>
        </w:tc>
        <w:tc>
          <w:tcPr>
            <w:tcW w:w="3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12"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1115"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21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2"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676"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42,662</w:t>
            </w:r>
          </w:p>
        </w:tc>
        <w:tc>
          <w:tcPr>
            <w:tcW w:w="12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4"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972"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4,691,489</w:t>
            </w:r>
          </w:p>
        </w:tc>
        <w:tc>
          <w:tcPr>
            <w:tcW w:w="14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9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91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84,875</w:t>
            </w:r>
          </w:p>
        </w:tc>
        <w:tc>
          <w:tcPr>
            <w:tcW w:w="19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7"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922"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4,776,364</w:t>
            </w:r>
          </w:p>
        </w:tc>
        <w:tc>
          <w:tcPr>
            <w:tcW w:w="16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6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income</w:t>
            </w:r>
          </w:p>
        </w:tc>
        <w:tc>
          <w:tcPr>
            <w:tcW w:w="737" w:type="dxa"/>
            <w:gridSpan w:val="2"/>
            <w:tcBorders/>
            <w:shd w:fill="auto" w:val="clear"/>
            <w:vAlign w:val="center"/>
          </w:tcPr>
          <w:p>
            <w:pPr>
              <w:pStyle w:val="TableContents"/>
              <w:spacing w:before="0" w:after="0"/>
              <w:jc w:val="right"/>
              <w:rPr/>
            </w:pPr>
            <w:r>
              <w:rPr/>
              <w:t>—</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28" w:type="dxa"/>
            <w:gridSpan w:val="2"/>
            <w:tcBorders/>
            <w:shd w:fill="auto" w:val="clear"/>
            <w:vAlign w:val="center"/>
          </w:tcPr>
          <w:p>
            <w:pPr>
              <w:pStyle w:val="TableContents"/>
              <w:spacing w:before="0" w:after="0"/>
              <w:jc w:val="right"/>
              <w:rPr/>
            </w:pPr>
            <w:r>
              <w:rPr/>
              <w:t>—</w:t>
            </w:r>
          </w:p>
        </w:tc>
        <w:tc>
          <w:tcPr>
            <w:tcW w:w="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pPr>
            <w:r>
              <w:rPr/>
              <w:t>—</w:t>
            </w:r>
          </w:p>
        </w:tc>
        <w:tc>
          <w:tcPr>
            <w:tcW w:w="2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9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112,122</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1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112,122</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1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1,981</w:t>
            </w:r>
          </w:p>
        </w:tc>
        <w:tc>
          <w:tcPr>
            <w:tcW w:w="1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114,103</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6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Issuance of common stock, net</w:t>
            </w:r>
          </w:p>
        </w:tc>
        <w:tc>
          <w:tcPr>
            <w:tcW w:w="73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695</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2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1,306,424</w:t>
            </w:r>
          </w:p>
        </w:tc>
        <w:tc>
          <w:tcPr>
            <w:tcW w:w="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pPr>
            <w:r>
              <w:rPr/>
              <w:t>—</w:t>
            </w:r>
          </w:p>
        </w:tc>
        <w:tc>
          <w:tcPr>
            <w:tcW w:w="2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98" w:type="dxa"/>
            <w:gridSpan w:val="2"/>
            <w:tcBorders/>
            <w:shd w:fill="CCEEFF" w:val="clear"/>
            <w:vAlign w:val="center"/>
          </w:tcPr>
          <w:p>
            <w:pPr>
              <w:pStyle w:val="TableContents"/>
              <w:spacing w:before="0" w:after="0"/>
              <w:jc w:val="right"/>
              <w:rPr/>
            </w:pPr>
            <w:r>
              <w:rPr/>
              <w:t>—</w:t>
            </w:r>
          </w:p>
        </w:tc>
        <w:tc>
          <w:tcPr>
            <w:tcW w:w="1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1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1,307,119</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12" w:type="dxa"/>
            <w:gridSpan w:val="2"/>
            <w:tcBorders/>
            <w:shd w:fill="CCEEFF" w:val="clear"/>
            <w:vAlign w:val="center"/>
          </w:tcPr>
          <w:p>
            <w:pPr>
              <w:pStyle w:val="TableContents"/>
              <w:spacing w:before="0" w:after="0"/>
              <w:jc w:val="right"/>
              <w:rPr/>
            </w:pPr>
            <w:r>
              <w:rPr/>
              <w:t>—</w:t>
            </w:r>
          </w:p>
        </w:tc>
        <w:tc>
          <w:tcPr>
            <w:tcW w:w="1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1,307,119</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6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Distribution to non-controlling interests</w:t>
            </w:r>
          </w:p>
        </w:tc>
        <w:tc>
          <w:tcPr>
            <w:tcW w:w="737" w:type="dxa"/>
            <w:gridSpan w:val="2"/>
            <w:tcBorders/>
            <w:shd w:fill="auto" w:val="clear"/>
            <w:vAlign w:val="center"/>
          </w:tcPr>
          <w:p>
            <w:pPr>
              <w:pStyle w:val="TableContents"/>
              <w:spacing w:before="0" w:after="0"/>
              <w:jc w:val="right"/>
              <w:rPr/>
            </w:pPr>
            <w:r>
              <w:rPr/>
              <w:t>—</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28" w:type="dxa"/>
            <w:gridSpan w:val="2"/>
            <w:tcBorders/>
            <w:shd w:fill="auto" w:val="clear"/>
            <w:vAlign w:val="center"/>
          </w:tcPr>
          <w:p>
            <w:pPr>
              <w:pStyle w:val="TableContents"/>
              <w:spacing w:before="0" w:after="0"/>
              <w:jc w:val="right"/>
              <w:rPr/>
            </w:pPr>
            <w:r>
              <w:rPr/>
              <w:t>—</w:t>
            </w:r>
          </w:p>
        </w:tc>
        <w:tc>
          <w:tcPr>
            <w:tcW w:w="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pPr>
            <w:r>
              <w:rPr/>
              <w:t>—</w:t>
            </w:r>
          </w:p>
        </w:tc>
        <w:tc>
          <w:tcPr>
            <w:tcW w:w="2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98" w:type="dxa"/>
            <w:gridSpan w:val="2"/>
            <w:tcBorders/>
            <w:shd w:fill="auto" w:val="clear"/>
            <w:vAlign w:val="center"/>
          </w:tcPr>
          <w:p>
            <w:pPr>
              <w:pStyle w:val="TableContents"/>
              <w:spacing w:before="0" w:after="0"/>
              <w:jc w:val="right"/>
              <w:rPr/>
            </w:pPr>
            <w:r>
              <w:rPr/>
              <w:t>—</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16" w:type="dxa"/>
            <w:gridSpan w:val="2"/>
            <w:tcBorders/>
            <w:shd w:fill="auto" w:val="clear"/>
            <w:vAlign w:val="center"/>
          </w:tcPr>
          <w:p>
            <w:pPr>
              <w:pStyle w:val="TableContents"/>
              <w:spacing w:before="0" w:after="0"/>
              <w:jc w:val="right"/>
              <w:rPr/>
            </w:pPr>
            <w:r>
              <w:rPr/>
              <w:t>—</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1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(3,856</w:t>
            </w:r>
          </w:p>
        </w:tc>
        <w:tc>
          <w:tcPr>
            <w:tcW w:w="19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105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(3,856</w:t>
            </w:r>
          </w:p>
        </w:tc>
        <w:tc>
          <w:tcPr>
            <w:tcW w:w="16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156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Dividends declared</w:t>
            </w:r>
          </w:p>
        </w:tc>
        <w:tc>
          <w:tcPr>
            <w:tcW w:w="737" w:type="dxa"/>
            <w:gridSpan w:val="2"/>
            <w:tcBorders/>
            <w:shd w:fill="CCEEFF" w:val="clear"/>
            <w:vAlign w:val="center"/>
          </w:tcPr>
          <w:p>
            <w:pPr>
              <w:pStyle w:val="TableContents"/>
              <w:spacing w:before="0" w:after="0"/>
              <w:jc w:val="right"/>
              <w:rPr/>
            </w:pPr>
            <w:r>
              <w:rPr/>
              <w:t>—</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28" w:type="dxa"/>
            <w:gridSpan w:val="2"/>
            <w:tcBorders/>
            <w:shd w:fill="CCEEFF" w:val="clear"/>
            <w:vAlign w:val="center"/>
          </w:tcPr>
          <w:p>
            <w:pPr>
              <w:pStyle w:val="TableContents"/>
              <w:spacing w:before="0" w:after="0"/>
              <w:jc w:val="right"/>
              <w:rPr/>
            </w:pPr>
            <w:r>
              <w:rPr/>
              <w:t>—</w:t>
            </w:r>
          </w:p>
        </w:tc>
        <w:tc>
          <w:tcPr>
            <w:tcW w:w="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pPr>
            <w:r>
              <w:rPr/>
              <w:t>—</w:t>
            </w:r>
          </w:p>
        </w:tc>
        <w:tc>
          <w:tcPr>
            <w:tcW w:w="2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9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(59,221</w:t>
            </w:r>
          </w:p>
        </w:tc>
        <w:tc>
          <w:tcPr>
            <w:tcW w:w="122"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11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(59,221</w:t>
            </w:r>
          </w:p>
        </w:tc>
        <w:tc>
          <w:tcPr>
            <w:tcW w:w="14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112" w:type="dxa"/>
            <w:gridSpan w:val="2"/>
            <w:tcBorders/>
            <w:shd w:fill="CCEEFF" w:val="clear"/>
            <w:vAlign w:val="center"/>
          </w:tcPr>
          <w:p>
            <w:pPr>
              <w:pStyle w:val="TableContents"/>
              <w:spacing w:before="0" w:after="0"/>
              <w:jc w:val="right"/>
              <w:rPr/>
            </w:pPr>
            <w:r>
              <w:rPr/>
              <w:t>—</w:t>
            </w:r>
          </w:p>
        </w:tc>
        <w:tc>
          <w:tcPr>
            <w:tcW w:w="1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(59,221</w:t>
            </w:r>
          </w:p>
        </w:tc>
        <w:tc>
          <w:tcPr>
            <w:tcW w:w="16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156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Share-based compensation, net of forfeitures</w:t>
            </w:r>
          </w:p>
        </w:tc>
        <w:tc>
          <w:tcPr>
            <w:tcW w:w="73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3</w:t>
            </w:r>
          </w:p>
        </w:tc>
        <w:tc>
          <w:tcPr>
            <w:tcW w:w="4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2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388</w:t>
            </w:r>
          </w:p>
        </w:tc>
        <w:tc>
          <w:tcPr>
            <w:tcW w:w="3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2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21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98"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2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1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391</w:t>
            </w:r>
          </w:p>
        </w:tc>
        <w:tc>
          <w:tcPr>
            <w:tcW w:w="14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1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391</w:t>
            </w:r>
          </w:p>
        </w:tc>
        <w:tc>
          <w:tcPr>
            <w:tcW w:w="16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6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Balance as of March 31, 2018</w:t>
            </w:r>
          </w:p>
        </w:tc>
        <w:tc>
          <w:tcPr>
            <w:tcW w:w="15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8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3,701</w:t>
            </w:r>
          </w:p>
        </w:tc>
        <w:tc>
          <w:tcPr>
            <w:tcW w:w="4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5,952,636</w:t>
            </w:r>
          </w:p>
        </w:tc>
        <w:tc>
          <w:tcPr>
            <w:tcW w:w="3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1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11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21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7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95,563</w:t>
            </w:r>
          </w:p>
        </w:tc>
        <w:tc>
          <w:tcPr>
            <w:tcW w:w="12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7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6,051,900</w:t>
            </w:r>
          </w:p>
        </w:tc>
        <w:tc>
          <w:tcPr>
            <w:tcW w:w="14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1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83,000</w:t>
            </w:r>
          </w:p>
        </w:tc>
        <w:tc>
          <w:tcPr>
            <w:tcW w:w="19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2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6,134,900</w:t>
            </w:r>
          </w:p>
        </w:tc>
        <w:tc>
          <w:tcPr>
            <w:tcW w:w="16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64" w:type="dxa"/>
            <w:tcBorders/>
            <w:shd w:fill="auto" w:val="clear"/>
            <w:vAlign w:val="center"/>
          </w:tcPr>
          <w:p>
            <w:pPr>
              <w:pStyle w:val="TableContents"/>
              <w:spacing w:before="0" w:after="0"/>
              <w:ind w:left="0" w:right="0" w:firstLine="30"/>
              <w:rPr/>
            </w:pPr>
            <w:r>
              <w:rPr/>
              <w:t> </w:t>
            </w:r>
          </w:p>
        </w:tc>
        <w:tc>
          <w:tcPr>
            <w:tcW w:w="77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4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6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0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27" w:type="dxa"/>
            <w:gridSpan w:val="3"/>
            <w:tcBorders/>
            <w:shd w:fill="auto" w:val="clear"/>
            <w:vAlign w:val="center"/>
          </w:tcPr>
          <w:p>
            <w:pPr>
              <w:pStyle w:val="TableContents"/>
              <w:spacing w:before="0" w:after="0"/>
              <w:ind w:left="0" w:right="0" w:firstLine="30"/>
              <w:rPr/>
            </w:pPr>
            <w:r>
              <w:rPr/>
              <w:t> </w:t>
            </w:r>
          </w:p>
        </w:tc>
      </w:tr>
      <w:tr>
        <w:trPr/>
        <w:tc>
          <w:tcPr>
            <w:tcW w:w="156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Balance as of December 31, 2018</w:t>
            </w:r>
          </w:p>
        </w:tc>
        <w:tc>
          <w:tcPr>
            <w:tcW w:w="15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86" w:type="dxa"/>
            <w:tcBorders/>
            <w:shd w:fill="CCEEFF" w:val="clear"/>
            <w:vAlign w:val="center"/>
          </w:tcPr>
          <w:p>
            <w:pPr>
              <w:pStyle w:val="TableContents"/>
              <w:spacing w:before="0" w:after="0"/>
              <w:jc w:val="right"/>
              <w:rPr>
                <w:rFonts w:ascii="inherit" w:hAnsi="inherit"/>
                <w:sz w:val="15"/>
              </w:rPr>
            </w:pPr>
            <w:r>
              <w:rPr>
                <w:rFonts w:ascii="inherit" w:hAnsi="inherit"/>
                <w:sz w:val="15"/>
              </w:rPr>
              <w:t>4,047</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95" w:type="dxa"/>
            <w:tcBorders/>
            <w:shd w:fill="CCEEFF" w:val="clear"/>
            <w:vAlign w:val="center"/>
          </w:tcPr>
          <w:p>
            <w:pPr>
              <w:pStyle w:val="TableContents"/>
              <w:spacing w:before="0" w:after="0"/>
              <w:jc w:val="right"/>
              <w:rPr>
                <w:rFonts w:ascii="inherit" w:hAnsi="inherit"/>
                <w:sz w:val="15"/>
              </w:rPr>
            </w:pPr>
            <w:r>
              <w:rPr>
                <w:rFonts w:ascii="inherit" w:hAnsi="inherit"/>
                <w:sz w:val="15"/>
              </w:rPr>
              <w:t>6,648,430</w:t>
            </w:r>
          </w:p>
        </w:tc>
        <w:tc>
          <w:tcPr>
            <w:tcW w:w="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1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115" w:type="dxa"/>
            <w:tcBorders/>
            <w:shd w:fill="CCEEFF" w:val="clear"/>
            <w:vAlign w:val="center"/>
          </w:tcPr>
          <w:p>
            <w:pPr>
              <w:pStyle w:val="TableContents"/>
              <w:spacing w:before="0" w:after="0"/>
              <w:jc w:val="right"/>
              <w:rPr>
                <w:rFonts w:ascii="inherit" w:hAnsi="inherit"/>
                <w:sz w:val="15"/>
              </w:rPr>
            </w:pPr>
            <w:r>
              <w:rPr>
                <w:rFonts w:ascii="inherit" w:hAnsi="inherit"/>
                <w:sz w:val="15"/>
              </w:rPr>
              <w:t>(22,124</w:t>
            </w:r>
          </w:p>
        </w:tc>
        <w:tc>
          <w:tcPr>
            <w:tcW w:w="21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6" w:type="dxa"/>
            <w:tcBorders/>
            <w:shd w:fill="CCEEFF" w:val="clear"/>
            <w:vAlign w:val="center"/>
          </w:tcPr>
          <w:p>
            <w:pPr>
              <w:pStyle w:val="TableContents"/>
              <w:spacing w:before="0" w:after="0"/>
              <w:jc w:val="right"/>
              <w:rPr>
                <w:rFonts w:ascii="inherit" w:hAnsi="inherit"/>
                <w:sz w:val="15"/>
              </w:rPr>
            </w:pPr>
            <w:r>
              <w:rPr>
                <w:rFonts w:ascii="inherit" w:hAnsi="inherit"/>
                <w:sz w:val="15"/>
              </w:rPr>
              <w:t>187,096</w:t>
            </w:r>
          </w:p>
        </w:tc>
        <w:tc>
          <w:tcPr>
            <w:tcW w:w="1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972" w:type="dxa"/>
            <w:tcBorders/>
            <w:shd w:fill="CCEEFF" w:val="clear"/>
            <w:vAlign w:val="center"/>
          </w:tcPr>
          <w:p>
            <w:pPr>
              <w:pStyle w:val="TableContents"/>
              <w:spacing w:before="0" w:after="0"/>
              <w:jc w:val="right"/>
              <w:rPr>
                <w:rFonts w:ascii="inherit" w:hAnsi="inherit"/>
                <w:sz w:val="15"/>
              </w:rPr>
            </w:pPr>
            <w:r>
              <w:rPr>
                <w:rFonts w:ascii="inherit" w:hAnsi="inherit"/>
                <w:sz w:val="15"/>
              </w:rPr>
              <w:t>6,817,449</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95"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917" w:type="dxa"/>
            <w:tcBorders/>
            <w:shd w:fill="CCEEFF" w:val="clear"/>
            <w:vAlign w:val="center"/>
          </w:tcPr>
          <w:p>
            <w:pPr>
              <w:pStyle w:val="TableContents"/>
              <w:spacing w:before="0" w:after="0"/>
              <w:jc w:val="right"/>
              <w:rPr>
                <w:rFonts w:ascii="inherit" w:hAnsi="inherit"/>
                <w:sz w:val="15"/>
              </w:rPr>
            </w:pPr>
            <w:r>
              <w:rPr>
                <w:rFonts w:ascii="inherit" w:hAnsi="inherit"/>
                <w:sz w:val="15"/>
              </w:rPr>
              <w:t>83,573</w:t>
            </w:r>
          </w:p>
        </w:tc>
        <w:tc>
          <w:tcPr>
            <w:tcW w:w="1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922" w:type="dxa"/>
            <w:tcBorders/>
            <w:shd w:fill="CCEEFF" w:val="clear"/>
            <w:vAlign w:val="center"/>
          </w:tcPr>
          <w:p>
            <w:pPr>
              <w:pStyle w:val="TableContents"/>
              <w:spacing w:before="0" w:after="0"/>
              <w:jc w:val="right"/>
              <w:rPr>
                <w:rFonts w:ascii="inherit" w:hAnsi="inherit"/>
                <w:sz w:val="15"/>
              </w:rPr>
            </w:pPr>
            <w:r>
              <w:rPr>
                <w:rFonts w:ascii="inherit" w:hAnsi="inherit"/>
                <w:sz w:val="15"/>
              </w:rPr>
              <w:t>6,901,022</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6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income</w:t>
            </w:r>
          </w:p>
        </w:tc>
        <w:tc>
          <w:tcPr>
            <w:tcW w:w="737" w:type="dxa"/>
            <w:gridSpan w:val="2"/>
            <w:tcBorders/>
            <w:shd w:fill="auto" w:val="clear"/>
            <w:vAlign w:val="center"/>
          </w:tcPr>
          <w:p>
            <w:pPr>
              <w:pStyle w:val="TableContents"/>
              <w:spacing w:before="0" w:after="0"/>
              <w:jc w:val="right"/>
              <w:rPr/>
            </w:pPr>
            <w:r>
              <w:rPr/>
              <w:t>—</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28" w:type="dxa"/>
            <w:gridSpan w:val="2"/>
            <w:tcBorders/>
            <w:shd w:fill="auto" w:val="clear"/>
            <w:vAlign w:val="center"/>
          </w:tcPr>
          <w:p>
            <w:pPr>
              <w:pStyle w:val="TableContents"/>
              <w:spacing w:before="0" w:after="0"/>
              <w:jc w:val="right"/>
              <w:rPr/>
            </w:pPr>
            <w:r>
              <w:rPr/>
              <w:t>—</w:t>
            </w:r>
          </w:p>
        </w:tc>
        <w:tc>
          <w:tcPr>
            <w:tcW w:w="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pPr>
            <w:r>
              <w:rPr/>
              <w:t>—</w:t>
            </w:r>
          </w:p>
        </w:tc>
        <w:tc>
          <w:tcPr>
            <w:tcW w:w="2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9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150,849</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1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150,849</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1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2,077</w:t>
            </w:r>
          </w:p>
        </w:tc>
        <w:tc>
          <w:tcPr>
            <w:tcW w:w="1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152,926</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6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Issuance of common stock, net</w:t>
            </w:r>
          </w:p>
        </w:tc>
        <w:tc>
          <w:tcPr>
            <w:tcW w:w="73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62</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2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128,203</w:t>
            </w:r>
          </w:p>
        </w:tc>
        <w:tc>
          <w:tcPr>
            <w:tcW w:w="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pPr>
            <w:r>
              <w:rPr/>
              <w:t>—</w:t>
            </w:r>
          </w:p>
        </w:tc>
        <w:tc>
          <w:tcPr>
            <w:tcW w:w="2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98" w:type="dxa"/>
            <w:gridSpan w:val="2"/>
            <w:tcBorders/>
            <w:shd w:fill="CCEEFF" w:val="clear"/>
            <w:vAlign w:val="center"/>
          </w:tcPr>
          <w:p>
            <w:pPr>
              <w:pStyle w:val="TableContents"/>
              <w:spacing w:before="0" w:after="0"/>
              <w:jc w:val="right"/>
              <w:rPr/>
            </w:pPr>
            <w:r>
              <w:rPr/>
              <w:t>—</w:t>
            </w:r>
          </w:p>
        </w:tc>
        <w:tc>
          <w:tcPr>
            <w:tcW w:w="1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1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128,265</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12" w:type="dxa"/>
            <w:gridSpan w:val="2"/>
            <w:tcBorders/>
            <w:shd w:fill="CCEEFF" w:val="clear"/>
            <w:vAlign w:val="center"/>
          </w:tcPr>
          <w:p>
            <w:pPr>
              <w:pStyle w:val="TableContents"/>
              <w:spacing w:before="0" w:after="0"/>
              <w:jc w:val="right"/>
              <w:rPr/>
            </w:pPr>
            <w:r>
              <w:rPr/>
              <w:t>—</w:t>
            </w:r>
          </w:p>
        </w:tc>
        <w:tc>
          <w:tcPr>
            <w:tcW w:w="1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128,265</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6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Distributions to non-controlling interests</w:t>
            </w:r>
          </w:p>
        </w:tc>
        <w:tc>
          <w:tcPr>
            <w:tcW w:w="737" w:type="dxa"/>
            <w:gridSpan w:val="2"/>
            <w:tcBorders/>
            <w:shd w:fill="auto" w:val="clear"/>
            <w:vAlign w:val="center"/>
          </w:tcPr>
          <w:p>
            <w:pPr>
              <w:pStyle w:val="TableContents"/>
              <w:spacing w:before="0" w:after="0"/>
              <w:jc w:val="right"/>
              <w:rPr/>
            </w:pPr>
            <w:r>
              <w:rPr/>
              <w:t>—</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28" w:type="dxa"/>
            <w:gridSpan w:val="2"/>
            <w:tcBorders/>
            <w:shd w:fill="auto" w:val="clear"/>
            <w:vAlign w:val="center"/>
          </w:tcPr>
          <w:p>
            <w:pPr>
              <w:pStyle w:val="TableContents"/>
              <w:spacing w:before="0" w:after="0"/>
              <w:jc w:val="right"/>
              <w:rPr/>
            </w:pPr>
            <w:r>
              <w:rPr/>
              <w:t>—</w:t>
            </w:r>
          </w:p>
        </w:tc>
        <w:tc>
          <w:tcPr>
            <w:tcW w:w="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pPr>
            <w:r>
              <w:rPr/>
              <w:t>—</w:t>
            </w:r>
          </w:p>
        </w:tc>
        <w:tc>
          <w:tcPr>
            <w:tcW w:w="2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98" w:type="dxa"/>
            <w:gridSpan w:val="2"/>
            <w:tcBorders/>
            <w:shd w:fill="auto" w:val="clear"/>
            <w:vAlign w:val="center"/>
          </w:tcPr>
          <w:p>
            <w:pPr>
              <w:pStyle w:val="TableContents"/>
              <w:spacing w:before="0" w:after="0"/>
              <w:jc w:val="right"/>
              <w:rPr/>
            </w:pPr>
            <w:r>
              <w:rPr/>
              <w:t>—</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16" w:type="dxa"/>
            <w:gridSpan w:val="2"/>
            <w:tcBorders/>
            <w:shd w:fill="auto" w:val="clear"/>
            <w:vAlign w:val="center"/>
          </w:tcPr>
          <w:p>
            <w:pPr>
              <w:pStyle w:val="TableContents"/>
              <w:spacing w:before="0" w:after="0"/>
              <w:jc w:val="right"/>
              <w:rPr/>
            </w:pPr>
            <w:r>
              <w:rPr/>
              <w:t>—</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1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(2,031</w:t>
            </w:r>
          </w:p>
        </w:tc>
        <w:tc>
          <w:tcPr>
            <w:tcW w:w="19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105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(2,031</w:t>
            </w:r>
          </w:p>
        </w:tc>
        <w:tc>
          <w:tcPr>
            <w:tcW w:w="16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156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Dividends declared</w:t>
            </w:r>
          </w:p>
        </w:tc>
        <w:tc>
          <w:tcPr>
            <w:tcW w:w="737" w:type="dxa"/>
            <w:gridSpan w:val="2"/>
            <w:tcBorders/>
            <w:shd w:fill="CCEEFF" w:val="clear"/>
            <w:vAlign w:val="center"/>
          </w:tcPr>
          <w:p>
            <w:pPr>
              <w:pStyle w:val="TableContents"/>
              <w:spacing w:before="0" w:after="0"/>
              <w:jc w:val="right"/>
              <w:rPr/>
            </w:pPr>
            <w:r>
              <w:rPr/>
              <w:t>—</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28" w:type="dxa"/>
            <w:gridSpan w:val="2"/>
            <w:tcBorders/>
            <w:shd w:fill="CCEEFF" w:val="clear"/>
            <w:vAlign w:val="center"/>
          </w:tcPr>
          <w:p>
            <w:pPr>
              <w:pStyle w:val="TableContents"/>
              <w:spacing w:before="0" w:after="0"/>
              <w:jc w:val="right"/>
              <w:rPr/>
            </w:pPr>
            <w:r>
              <w:rPr/>
              <w:t>—</w:t>
            </w:r>
          </w:p>
        </w:tc>
        <w:tc>
          <w:tcPr>
            <w:tcW w:w="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pPr>
            <w:r>
              <w:rPr/>
              <w:t>—</w:t>
            </w:r>
          </w:p>
        </w:tc>
        <w:tc>
          <w:tcPr>
            <w:tcW w:w="2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9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(118,154</w:t>
            </w:r>
          </w:p>
        </w:tc>
        <w:tc>
          <w:tcPr>
            <w:tcW w:w="122"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11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(118,154</w:t>
            </w:r>
          </w:p>
        </w:tc>
        <w:tc>
          <w:tcPr>
            <w:tcW w:w="14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112" w:type="dxa"/>
            <w:gridSpan w:val="2"/>
            <w:tcBorders/>
            <w:shd w:fill="CCEEFF" w:val="clear"/>
            <w:vAlign w:val="center"/>
          </w:tcPr>
          <w:p>
            <w:pPr>
              <w:pStyle w:val="TableContents"/>
              <w:spacing w:before="0" w:after="0"/>
              <w:jc w:val="right"/>
              <w:rPr/>
            </w:pPr>
            <w:r>
              <w:rPr/>
              <w:t>—</w:t>
            </w:r>
          </w:p>
        </w:tc>
        <w:tc>
          <w:tcPr>
            <w:tcW w:w="1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(118,154</w:t>
            </w:r>
          </w:p>
        </w:tc>
        <w:tc>
          <w:tcPr>
            <w:tcW w:w="16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156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Share-based compensation, net of forfeitures</w:t>
            </w:r>
          </w:p>
        </w:tc>
        <w:tc>
          <w:tcPr>
            <w:tcW w:w="73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2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1,050</w:t>
            </w:r>
          </w:p>
        </w:tc>
        <w:tc>
          <w:tcPr>
            <w:tcW w:w="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pPr>
            <w:r>
              <w:rPr/>
              <w:t>—</w:t>
            </w:r>
          </w:p>
        </w:tc>
        <w:tc>
          <w:tcPr>
            <w:tcW w:w="2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98" w:type="dxa"/>
            <w:gridSpan w:val="2"/>
            <w:tcBorders/>
            <w:shd w:fill="auto" w:val="clear"/>
            <w:vAlign w:val="center"/>
          </w:tcPr>
          <w:p>
            <w:pPr>
              <w:pStyle w:val="TableContents"/>
              <w:spacing w:before="0" w:after="0"/>
              <w:jc w:val="right"/>
              <w:rPr/>
            </w:pPr>
            <w:r>
              <w:rPr/>
              <w:t>—</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1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1,051</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12" w:type="dxa"/>
            <w:gridSpan w:val="2"/>
            <w:tcBorders/>
            <w:shd w:fill="auto" w:val="clear"/>
            <w:vAlign w:val="center"/>
          </w:tcPr>
          <w:p>
            <w:pPr>
              <w:pStyle w:val="TableContents"/>
              <w:spacing w:before="0" w:after="0"/>
              <w:jc w:val="right"/>
              <w:rPr/>
            </w:pPr>
            <w:r>
              <w:rPr/>
              <w:t>—</w:t>
            </w:r>
          </w:p>
        </w:tc>
        <w:tc>
          <w:tcPr>
            <w:tcW w:w="1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1,051</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6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Unrealized loss on cash flow hedges</w:t>
            </w:r>
          </w:p>
        </w:tc>
        <w:tc>
          <w:tcPr>
            <w:tcW w:w="73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2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3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2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(17,191</w:t>
            </w:r>
          </w:p>
        </w:tc>
        <w:tc>
          <w:tcPr>
            <w:tcW w:w="21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9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2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1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(17,191</w:t>
            </w:r>
          </w:p>
        </w:tc>
        <w:tc>
          <w:tcPr>
            <w:tcW w:w="14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11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(17,191</w:t>
            </w:r>
          </w:p>
        </w:tc>
        <w:tc>
          <w:tcPr>
            <w:tcW w:w="16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156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Balance as of March 31, 2019</w:t>
            </w:r>
          </w:p>
        </w:tc>
        <w:tc>
          <w:tcPr>
            <w:tcW w:w="15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8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4,110</w:t>
            </w:r>
          </w:p>
        </w:tc>
        <w:tc>
          <w:tcPr>
            <w:tcW w:w="4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6,777,683</w:t>
            </w:r>
          </w:p>
        </w:tc>
        <w:tc>
          <w:tcPr>
            <w:tcW w:w="3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11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(39,315</w:t>
            </w:r>
          </w:p>
        </w:tc>
        <w:tc>
          <w:tcPr>
            <w:tcW w:w="21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12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7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219,791</w:t>
            </w:r>
          </w:p>
        </w:tc>
        <w:tc>
          <w:tcPr>
            <w:tcW w:w="12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7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6,962,269</w:t>
            </w:r>
          </w:p>
        </w:tc>
        <w:tc>
          <w:tcPr>
            <w:tcW w:w="14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1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83,619</w:t>
            </w:r>
          </w:p>
        </w:tc>
        <w:tc>
          <w:tcPr>
            <w:tcW w:w="19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2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7,045,888</w:t>
            </w:r>
          </w:p>
        </w:tc>
        <w:tc>
          <w:tcPr>
            <w:tcW w:w="16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t>See accompanying Notes to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w:t>
      </w:r>
      <w:r>
        <w:br w:type="page"/>
      </w:r>
    </w:p>
    <w:p>
      <w:pPr>
        <w:pStyle w:val="TextBody"/>
        <w:spacing w:lineRule="auto" w:line="288" w:before="0" w:after="0"/>
        <w:jc w:val="left"/>
        <w:rPr/>
      </w:pPr>
      <w:hyperlink w:anchor="s7181E430E8A9506B896277AC8CF177C4">
        <w:bookmarkStart w:id="10" w:name="s5A278C5031B8576291C7ACDF3277D0CA"/>
        <w:bookmarkEnd w:id="10"/>
        <w:r>
          <w:rPr>
            <w:rStyle w:val="InternetLink"/>
            <w:rFonts w:ascii="inherit" w:hAnsi="inherit"/>
            <w:sz w:val="17"/>
          </w:rPr>
          <w:t>Table of Contents</w:t>
        </w:r>
      </w:hyperlink>
    </w:p>
    <w:p>
      <w:pPr>
        <w:pStyle w:val="TextBody"/>
        <w:spacing w:lineRule="auto" w:line="288" w:before="0" w:after="0"/>
        <w:jc w:val="center"/>
        <w:rPr>
          <w:rFonts w:ascii="inherit" w:hAnsi="inherit"/>
          <w:b/>
          <w:sz w:val="18"/>
        </w:rPr>
      </w:pPr>
      <w:r>
        <w:rPr>
          <w:rFonts w:ascii="inherit" w:hAnsi="inherit"/>
          <w:b/>
          <w:sz w:val="18"/>
        </w:rPr>
        <w:t>VICI PROPERTIES INC.</w:t>
      </w:r>
    </w:p>
    <w:p>
      <w:pPr>
        <w:pStyle w:val="TextBody"/>
        <w:spacing w:lineRule="auto" w:line="288" w:before="0" w:after="0"/>
        <w:jc w:val="center"/>
        <w:rPr>
          <w:rFonts w:ascii="inherit" w:hAnsi="inherit"/>
          <w:b/>
          <w:sz w:val="18"/>
        </w:rPr>
      </w:pPr>
      <w:r>
        <w:rPr>
          <w:rFonts w:ascii="inherit" w:hAnsi="inherit"/>
          <w:b/>
          <w:sz w:val="18"/>
        </w:rPr>
        <w:t>CONSOLIDATED STATEMENTS OF CASH FLOWS</w:t>
      </w:r>
    </w:p>
    <w:p>
      <w:pPr>
        <w:pStyle w:val="TextBody"/>
        <w:spacing w:lineRule="auto" w:line="288" w:before="0" w:after="0"/>
        <w:jc w:val="center"/>
        <w:rPr>
          <w:rFonts w:ascii="inherit" w:hAnsi="inherit"/>
          <w:b/>
          <w:sz w:val="18"/>
        </w:rPr>
      </w:pPr>
      <w:r>
        <w:rPr>
          <w:rFonts w:ascii="inherit" w:hAnsi="inherit"/>
          <w:b/>
          <w:sz w:val="18"/>
        </w:rPr>
        <w:t>(UNAUDITED)</w:t>
      </w:r>
    </w:p>
    <w:p>
      <w:pPr>
        <w:pStyle w:val="TextBody"/>
        <w:spacing w:lineRule="auto" w:line="288" w:before="0" w:after="0"/>
        <w:jc w:val="center"/>
        <w:rPr>
          <w:rFonts w:ascii="inherit" w:hAnsi="inherit"/>
          <w:b/>
          <w:sz w:val="18"/>
        </w:rPr>
      </w:pPr>
      <w:r>
        <w:rPr>
          <w:rFonts w:ascii="inherit" w:hAnsi="inherit"/>
          <w:b/>
          <w:sz w:val="18"/>
        </w:rPr>
        <w:t>(In thousands)</w:t>
      </w:r>
    </w:p>
    <w:p>
      <w:pPr>
        <w:pStyle w:val="TextBody"/>
        <w:spacing w:before="0" w:after="0"/>
        <w:rPr/>
      </w:pPr>
      <w:r>
        <w:rPr/>
      </w:r>
    </w:p>
    <w:tbl>
      <w:tblPr>
        <w:tblW w:w="10205" w:type="dxa"/>
        <w:jc w:val="center"/>
        <w:tblInd w:w="0" w:type="dxa"/>
        <w:tblCellMar>
          <w:top w:w="0" w:type="dxa"/>
          <w:left w:w="0" w:type="dxa"/>
          <w:bottom w:w="0" w:type="dxa"/>
          <w:right w:w="0" w:type="dxa"/>
        </w:tblCellMar>
      </w:tblPr>
      <w:tblGrid>
        <w:gridCol w:w="5141"/>
        <w:gridCol w:w="324"/>
        <w:gridCol w:w="1801"/>
        <w:gridCol w:w="284"/>
        <w:gridCol w:w="90"/>
        <w:gridCol w:w="247"/>
        <w:gridCol w:w="1329"/>
        <w:gridCol w:w="989"/>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5141"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801"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41" w:type="dxa"/>
            <w:tcBorders/>
            <w:shd w:fill="auto" w:val="clear"/>
            <w:vAlign w:val="center"/>
          </w:tcPr>
          <w:p>
            <w:pPr>
              <w:pStyle w:val="TableContents"/>
              <w:spacing w:before="0" w:after="0"/>
              <w:ind w:left="0" w:right="0" w:firstLine="30"/>
              <w:rPr/>
            </w:pPr>
            <w:r>
              <w:rPr/>
              <w:t> </w:t>
            </w:r>
          </w:p>
        </w:tc>
        <w:tc>
          <w:tcPr>
            <w:tcW w:w="240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Three Months Ended March 31, 2019</w:t>
            </w:r>
          </w:p>
        </w:tc>
        <w:tc>
          <w:tcPr>
            <w:tcW w:w="90" w:type="dxa"/>
            <w:tcBorders/>
            <w:shd w:fill="auto" w:val="clear"/>
            <w:vAlign w:val="center"/>
          </w:tcPr>
          <w:p>
            <w:pPr>
              <w:pStyle w:val="TableContents"/>
              <w:spacing w:before="0" w:after="0"/>
              <w:ind w:left="0" w:right="0" w:firstLine="30"/>
              <w:rPr/>
            </w:pPr>
            <w:r>
              <w:rPr/>
              <w:t> </w:t>
            </w:r>
          </w:p>
        </w:tc>
        <w:tc>
          <w:tcPr>
            <w:tcW w:w="256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Three Months Ended March 31, 2018</w:t>
            </w:r>
          </w:p>
        </w:tc>
      </w:tr>
      <w:tr>
        <w:trPr/>
        <w:tc>
          <w:tcPr>
            <w:tcW w:w="5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flows from operating activities</w:t>
            </w:r>
          </w:p>
        </w:tc>
        <w:tc>
          <w:tcPr>
            <w:tcW w:w="240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565" w:type="dxa"/>
            <w:gridSpan w:val="3"/>
            <w:tcBorders/>
            <w:shd w:fill="CCEEFF" w:val="clear"/>
            <w:vAlign w:val="center"/>
          </w:tcPr>
          <w:p>
            <w:pPr>
              <w:pStyle w:val="TableContents"/>
              <w:spacing w:before="0" w:after="0"/>
              <w:ind w:left="0" w:right="0" w:firstLine="300"/>
              <w:rPr/>
            </w:pPr>
            <w:r>
              <w:rPr/>
              <w:t> </w:t>
            </w:r>
          </w:p>
        </w:tc>
      </w:tr>
      <w:tr>
        <w:trPr/>
        <w:tc>
          <w:tcPr>
            <w:tcW w:w="5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32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801" w:type="dxa"/>
            <w:tcBorders/>
            <w:shd w:fill="auto" w:val="clear"/>
            <w:vAlign w:val="center"/>
          </w:tcPr>
          <w:p>
            <w:pPr>
              <w:pStyle w:val="TableContents"/>
              <w:spacing w:before="0" w:after="0"/>
              <w:jc w:val="right"/>
              <w:rPr>
                <w:rFonts w:ascii="inherit" w:hAnsi="inherit"/>
                <w:sz w:val="17"/>
              </w:rPr>
            </w:pPr>
            <w:r>
              <w:rPr>
                <w:rFonts w:ascii="inherit" w:hAnsi="inherit"/>
                <w:sz w:val="17"/>
              </w:rPr>
              <w:t>152,926</w:t>
            </w:r>
          </w:p>
        </w:tc>
        <w:tc>
          <w:tcPr>
            <w:tcW w:w="2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4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29" w:type="dxa"/>
            <w:tcBorders/>
            <w:shd w:fill="auto" w:val="clear"/>
            <w:vAlign w:val="center"/>
          </w:tcPr>
          <w:p>
            <w:pPr>
              <w:pStyle w:val="TableContents"/>
              <w:spacing w:before="0" w:after="0"/>
              <w:jc w:val="right"/>
              <w:rPr>
                <w:rFonts w:ascii="inherit" w:hAnsi="inherit"/>
                <w:sz w:val="17"/>
              </w:rPr>
            </w:pPr>
            <w:r>
              <w:rPr>
                <w:rFonts w:ascii="inherit" w:hAnsi="inherit"/>
                <w:sz w:val="17"/>
              </w:rPr>
              <w:t>114,103</w:t>
            </w:r>
          </w:p>
        </w:tc>
        <w:tc>
          <w:tcPr>
            <w:tcW w:w="98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Adjustments to reconcile net income to cash flows provided by operating activities:</w:t>
            </w:r>
          </w:p>
        </w:tc>
        <w:tc>
          <w:tcPr>
            <w:tcW w:w="240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565" w:type="dxa"/>
            <w:gridSpan w:val="3"/>
            <w:tcBorders/>
            <w:shd w:fill="CCEEFF" w:val="clear"/>
            <w:vAlign w:val="center"/>
          </w:tcPr>
          <w:p>
            <w:pPr>
              <w:pStyle w:val="TableContents"/>
              <w:spacing w:before="0" w:after="0"/>
              <w:ind w:left="0" w:right="0" w:firstLine="420"/>
              <w:rPr/>
            </w:pPr>
            <w:r>
              <w:rPr/>
              <w:t> </w:t>
            </w:r>
          </w:p>
        </w:tc>
      </w:tr>
      <w:tr>
        <w:trPr/>
        <w:tc>
          <w:tcPr>
            <w:tcW w:w="5141" w:type="dxa"/>
            <w:tcBorders/>
            <w:shd w:fill="auto" w:val="clear"/>
            <w:vAlign w:val="center"/>
          </w:tcPr>
          <w:p>
            <w:pPr>
              <w:pStyle w:val="TableContents"/>
              <w:spacing w:before="0" w:after="0"/>
              <w:ind w:left="0" w:right="0" w:firstLine="30"/>
              <w:jc w:val="left"/>
              <w:rPr/>
            </w:pPr>
            <w:r>
              <w:rPr/>
              <w:t>   </w:t>
            </w:r>
            <w:r>
              <w:rPr>
                <w:rFonts w:ascii="inherit" w:hAnsi="inherit"/>
                <w:sz w:val="17"/>
              </w:rPr>
              <w:t>Direct financing and sales-type lease adjustments</w:t>
            </w:r>
          </w:p>
        </w:tc>
        <w:tc>
          <w:tcPr>
            <w:tcW w:w="2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(2,512</w:t>
            </w:r>
          </w:p>
        </w:tc>
        <w:tc>
          <w:tcPr>
            <w:tcW w:w="2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5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(12,914</w:t>
            </w:r>
          </w:p>
        </w:tc>
        <w:tc>
          <w:tcPr>
            <w:tcW w:w="98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5141" w:type="dxa"/>
            <w:tcBorders/>
            <w:shd w:fill="CCEEFF" w:val="clear"/>
            <w:vAlign w:val="center"/>
          </w:tcPr>
          <w:p>
            <w:pPr>
              <w:pStyle w:val="TableContents"/>
              <w:spacing w:before="0" w:after="0"/>
              <w:ind w:left="0" w:right="0" w:firstLine="30"/>
              <w:jc w:val="left"/>
              <w:rPr/>
            </w:pPr>
            <w:r>
              <w:rPr/>
              <w:t>   </w:t>
            </w:r>
            <w:r>
              <w:rPr>
                <w:rFonts w:ascii="inherit" w:hAnsi="inherit"/>
                <w:sz w:val="17"/>
              </w:rPr>
              <w:t>Stock-based compensation</w:t>
            </w:r>
          </w:p>
        </w:tc>
        <w:tc>
          <w:tcPr>
            <w:tcW w:w="2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1,051</w:t>
            </w:r>
          </w:p>
        </w:tc>
        <w:tc>
          <w:tcPr>
            <w:tcW w:w="2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391</w:t>
            </w:r>
          </w:p>
        </w:tc>
        <w:tc>
          <w:tcPr>
            <w:tcW w:w="98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141" w:type="dxa"/>
            <w:tcBorders/>
            <w:shd w:fill="auto" w:val="clear"/>
            <w:vAlign w:val="center"/>
          </w:tcPr>
          <w:p>
            <w:pPr>
              <w:pStyle w:val="TableContents"/>
              <w:spacing w:before="0" w:after="0"/>
              <w:ind w:left="0" w:right="0" w:firstLine="30"/>
              <w:jc w:val="left"/>
              <w:rPr/>
            </w:pPr>
            <w:r>
              <w:rPr/>
              <w:t>   </w:t>
            </w:r>
            <w:r>
              <w:rPr>
                <w:rFonts w:ascii="inherit" w:hAnsi="inherit"/>
                <w:sz w:val="17"/>
              </w:rPr>
              <w:t xml:space="preserve">Depreciation </w:t>
            </w:r>
          </w:p>
        </w:tc>
        <w:tc>
          <w:tcPr>
            <w:tcW w:w="2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930</w:t>
            </w:r>
          </w:p>
        </w:tc>
        <w:tc>
          <w:tcPr>
            <w:tcW w:w="2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906</w:t>
            </w:r>
          </w:p>
        </w:tc>
        <w:tc>
          <w:tcPr>
            <w:tcW w:w="98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141" w:type="dxa"/>
            <w:tcBorders/>
            <w:shd w:fill="CCEEFF" w:val="clear"/>
            <w:vAlign w:val="center"/>
          </w:tcPr>
          <w:p>
            <w:pPr>
              <w:pStyle w:val="TableContents"/>
              <w:spacing w:before="0" w:after="0"/>
              <w:ind w:left="0" w:right="0" w:firstLine="30"/>
              <w:jc w:val="left"/>
              <w:rPr/>
            </w:pPr>
            <w:r>
              <w:rPr/>
              <w:t>   </w:t>
            </w:r>
            <w:r>
              <w:rPr>
                <w:rFonts w:ascii="inherit" w:hAnsi="inherit"/>
                <w:sz w:val="17"/>
              </w:rPr>
              <w:t>Amortization of debt issuance costs and original issue discount</w:t>
            </w:r>
          </w:p>
        </w:tc>
        <w:tc>
          <w:tcPr>
            <w:tcW w:w="2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1,465</w:t>
            </w:r>
          </w:p>
        </w:tc>
        <w:tc>
          <w:tcPr>
            <w:tcW w:w="2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1,494</w:t>
            </w:r>
          </w:p>
        </w:tc>
        <w:tc>
          <w:tcPr>
            <w:tcW w:w="98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141" w:type="dxa"/>
            <w:tcBorders/>
            <w:shd w:fill="auto" w:val="clear"/>
            <w:vAlign w:val="center"/>
          </w:tcPr>
          <w:p>
            <w:pPr>
              <w:pStyle w:val="TableContents"/>
              <w:spacing w:before="0" w:after="0"/>
              <w:ind w:left="0" w:right="0" w:firstLine="30"/>
              <w:jc w:val="left"/>
              <w:rPr/>
            </w:pPr>
            <w:r>
              <w:rPr/>
              <w:t>   </w:t>
            </w:r>
            <w:r>
              <w:rPr>
                <w:rFonts w:ascii="inherit" w:hAnsi="inherit"/>
                <w:sz w:val="17"/>
              </w:rPr>
              <w:t>Loss on extinguishment of debt</w:t>
            </w:r>
          </w:p>
        </w:tc>
        <w:tc>
          <w:tcPr>
            <w:tcW w:w="2125" w:type="dxa"/>
            <w:gridSpan w:val="2"/>
            <w:tcBorders/>
            <w:shd w:fill="auto" w:val="clear"/>
            <w:vAlign w:val="center"/>
          </w:tcPr>
          <w:p>
            <w:pPr>
              <w:pStyle w:val="TableContents"/>
              <w:spacing w:before="0" w:after="0"/>
              <w:jc w:val="right"/>
              <w:rPr/>
            </w:pPr>
            <w:r>
              <w:rPr/>
              <w:t>—</w:t>
            </w:r>
          </w:p>
        </w:tc>
        <w:tc>
          <w:tcPr>
            <w:tcW w:w="2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23,040</w:t>
            </w:r>
          </w:p>
        </w:tc>
        <w:tc>
          <w:tcPr>
            <w:tcW w:w="98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Change in operating assets and liabilities:</w:t>
            </w:r>
          </w:p>
        </w:tc>
        <w:tc>
          <w:tcPr>
            <w:tcW w:w="240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565" w:type="dxa"/>
            <w:gridSpan w:val="3"/>
            <w:tcBorders/>
            <w:shd w:fill="CCEEFF" w:val="clear"/>
            <w:vAlign w:val="center"/>
          </w:tcPr>
          <w:p>
            <w:pPr>
              <w:pStyle w:val="TableContents"/>
              <w:spacing w:before="0" w:after="0"/>
              <w:ind w:left="0" w:right="0" w:firstLine="420"/>
              <w:rPr/>
            </w:pPr>
            <w:r>
              <w:rPr/>
              <w:t> </w:t>
            </w:r>
          </w:p>
        </w:tc>
      </w:tr>
      <w:tr>
        <w:trPr/>
        <w:tc>
          <w:tcPr>
            <w:tcW w:w="5141" w:type="dxa"/>
            <w:tcBorders/>
            <w:shd w:fill="auto" w:val="clear"/>
            <w:vAlign w:val="center"/>
          </w:tcPr>
          <w:p>
            <w:pPr>
              <w:pStyle w:val="TableContents"/>
              <w:spacing w:before="0" w:after="0"/>
              <w:ind w:left="0" w:right="0" w:firstLine="30"/>
              <w:jc w:val="left"/>
              <w:rPr/>
            </w:pPr>
            <w:r>
              <w:rPr/>
              <w:t>   </w:t>
            </w:r>
            <w:r>
              <w:rPr>
                <w:rFonts w:ascii="inherit" w:hAnsi="inherit"/>
                <w:sz w:val="17"/>
              </w:rPr>
              <w:t>Other assets</w:t>
            </w:r>
          </w:p>
        </w:tc>
        <w:tc>
          <w:tcPr>
            <w:tcW w:w="2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(3,215</w:t>
            </w:r>
          </w:p>
        </w:tc>
        <w:tc>
          <w:tcPr>
            <w:tcW w:w="2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5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200</w:t>
            </w:r>
          </w:p>
        </w:tc>
        <w:tc>
          <w:tcPr>
            <w:tcW w:w="98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141" w:type="dxa"/>
            <w:tcBorders/>
            <w:shd w:fill="CCEEFF" w:val="clear"/>
            <w:vAlign w:val="center"/>
          </w:tcPr>
          <w:p>
            <w:pPr>
              <w:pStyle w:val="TableContents"/>
              <w:spacing w:before="0" w:after="0"/>
              <w:ind w:left="0" w:right="0" w:firstLine="30"/>
              <w:jc w:val="left"/>
              <w:rPr/>
            </w:pPr>
            <w:r>
              <w:rPr/>
              <w:t>   </w:t>
            </w:r>
            <w:r>
              <w:rPr>
                <w:rFonts w:ascii="inherit" w:hAnsi="inherit"/>
                <w:sz w:val="17"/>
              </w:rPr>
              <w:t>Accrued interest</w:t>
            </w:r>
          </w:p>
        </w:tc>
        <w:tc>
          <w:tcPr>
            <w:tcW w:w="2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10,518</w:t>
            </w:r>
          </w:p>
        </w:tc>
        <w:tc>
          <w:tcPr>
            <w:tcW w:w="2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3,792</w:t>
            </w:r>
          </w:p>
        </w:tc>
        <w:tc>
          <w:tcPr>
            <w:tcW w:w="98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141" w:type="dxa"/>
            <w:tcBorders/>
            <w:shd w:fill="auto" w:val="clear"/>
            <w:vAlign w:val="center"/>
          </w:tcPr>
          <w:p>
            <w:pPr>
              <w:pStyle w:val="TableContents"/>
              <w:spacing w:before="0" w:after="0"/>
              <w:ind w:left="0" w:right="0" w:firstLine="30"/>
              <w:jc w:val="left"/>
              <w:rPr/>
            </w:pPr>
            <w:r>
              <w:rPr/>
              <w:t>   </w:t>
            </w:r>
            <w:r>
              <w:rPr>
                <w:rFonts w:ascii="inherit" w:hAnsi="inherit"/>
                <w:sz w:val="17"/>
              </w:rPr>
              <w:t>Deferred revenue</w:t>
            </w:r>
          </w:p>
        </w:tc>
        <w:tc>
          <w:tcPr>
            <w:tcW w:w="2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(43,250</w:t>
            </w:r>
          </w:p>
        </w:tc>
        <w:tc>
          <w:tcPr>
            <w:tcW w:w="2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5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(7,188</w:t>
            </w:r>
          </w:p>
        </w:tc>
        <w:tc>
          <w:tcPr>
            <w:tcW w:w="98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5141" w:type="dxa"/>
            <w:tcBorders/>
            <w:shd w:fill="CCEEFF" w:val="clear"/>
            <w:vAlign w:val="center"/>
          </w:tcPr>
          <w:p>
            <w:pPr>
              <w:pStyle w:val="TableContents"/>
              <w:spacing w:before="0" w:after="0"/>
              <w:ind w:left="0" w:right="0" w:firstLine="30"/>
              <w:jc w:val="left"/>
              <w:rPr/>
            </w:pPr>
            <w:r>
              <w:rPr/>
              <w:t>   </w:t>
            </w:r>
            <w:r>
              <w:rPr>
                <w:rFonts w:ascii="inherit" w:hAnsi="inherit"/>
                <w:sz w:val="17"/>
              </w:rPr>
              <w:t>Other liabilities</w:t>
            </w:r>
          </w:p>
        </w:tc>
        <w:tc>
          <w:tcPr>
            <w:tcW w:w="2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(2,271</w:t>
            </w:r>
          </w:p>
        </w:tc>
        <w:tc>
          <w:tcPr>
            <w:tcW w:w="2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5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(1,341</w:t>
            </w:r>
          </w:p>
        </w:tc>
        <w:tc>
          <w:tcPr>
            <w:tcW w:w="9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operating activities</w:t>
            </w:r>
          </w:p>
        </w:tc>
        <w:tc>
          <w:tcPr>
            <w:tcW w:w="212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115,642</w:t>
            </w:r>
          </w:p>
        </w:tc>
        <w:tc>
          <w:tcPr>
            <w:tcW w:w="284"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76"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122,483</w:t>
            </w:r>
          </w:p>
        </w:tc>
        <w:tc>
          <w:tcPr>
            <w:tcW w:w="98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141" w:type="dxa"/>
            <w:tcBorders/>
            <w:shd w:fill="CCEEFF" w:val="clear"/>
            <w:vAlign w:val="center"/>
          </w:tcPr>
          <w:p>
            <w:pPr>
              <w:pStyle w:val="TableContents"/>
              <w:spacing w:before="0" w:after="0"/>
              <w:ind w:left="0" w:right="0" w:firstLine="30"/>
              <w:rPr/>
            </w:pPr>
            <w:r>
              <w:rPr/>
              <w:t> </w:t>
            </w:r>
          </w:p>
        </w:tc>
        <w:tc>
          <w:tcPr>
            <w:tcW w:w="240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565" w:type="dxa"/>
            <w:gridSpan w:val="3"/>
            <w:tcBorders/>
            <w:shd w:fill="CCEEFF" w:val="clear"/>
            <w:vAlign w:val="center"/>
          </w:tcPr>
          <w:p>
            <w:pPr>
              <w:pStyle w:val="TableContents"/>
              <w:spacing w:before="0" w:after="0"/>
              <w:ind w:left="0" w:right="0" w:firstLine="30"/>
              <w:rPr/>
            </w:pPr>
            <w:r>
              <w:rPr/>
              <w:t> </w:t>
            </w:r>
          </w:p>
        </w:tc>
      </w:tr>
      <w:tr>
        <w:trPr/>
        <w:tc>
          <w:tcPr>
            <w:tcW w:w="5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 flows from investing activities</w:t>
            </w:r>
          </w:p>
        </w:tc>
        <w:tc>
          <w:tcPr>
            <w:tcW w:w="240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565" w:type="dxa"/>
            <w:gridSpan w:val="3"/>
            <w:tcBorders/>
            <w:shd w:fill="auto" w:val="clear"/>
            <w:vAlign w:val="center"/>
          </w:tcPr>
          <w:p>
            <w:pPr>
              <w:pStyle w:val="TableContents"/>
              <w:spacing w:before="0" w:after="0"/>
              <w:ind w:left="0" w:right="0" w:firstLine="300"/>
              <w:rPr/>
            </w:pPr>
            <w:r>
              <w:rPr/>
              <w:t> </w:t>
            </w:r>
          </w:p>
        </w:tc>
      </w:tr>
      <w:tr>
        <w:trPr/>
        <w:tc>
          <w:tcPr>
            <w:tcW w:w="5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Investments in direct financing and sales-type leases</w:t>
            </w:r>
          </w:p>
        </w:tc>
        <w:tc>
          <w:tcPr>
            <w:tcW w:w="2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(264,527</w:t>
            </w:r>
          </w:p>
        </w:tc>
        <w:tc>
          <w:tcPr>
            <w:tcW w:w="2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576" w:type="dxa"/>
            <w:gridSpan w:val="2"/>
            <w:tcBorders/>
            <w:shd w:fill="CCEEFF" w:val="clear"/>
            <w:vAlign w:val="center"/>
          </w:tcPr>
          <w:p>
            <w:pPr>
              <w:pStyle w:val="TableContents"/>
              <w:spacing w:before="0" w:after="0"/>
              <w:jc w:val="right"/>
              <w:rPr/>
            </w:pPr>
            <w:r>
              <w:rPr/>
              <w:t>—</w:t>
            </w:r>
          </w:p>
        </w:tc>
        <w:tc>
          <w:tcPr>
            <w:tcW w:w="98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Capitalized transaction costs</w:t>
            </w:r>
          </w:p>
        </w:tc>
        <w:tc>
          <w:tcPr>
            <w:tcW w:w="2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(485</w:t>
            </w:r>
          </w:p>
        </w:tc>
        <w:tc>
          <w:tcPr>
            <w:tcW w:w="2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576" w:type="dxa"/>
            <w:gridSpan w:val="2"/>
            <w:tcBorders/>
            <w:shd w:fill="auto" w:val="clear"/>
            <w:vAlign w:val="center"/>
          </w:tcPr>
          <w:p>
            <w:pPr>
              <w:pStyle w:val="TableContents"/>
              <w:spacing w:before="0" w:after="0"/>
              <w:jc w:val="right"/>
              <w:rPr/>
            </w:pPr>
            <w:r>
              <w:rPr/>
              <w:t>—</w:t>
            </w:r>
          </w:p>
        </w:tc>
        <w:tc>
          <w:tcPr>
            <w:tcW w:w="98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Investments in short-term investments</w:t>
            </w:r>
          </w:p>
        </w:tc>
        <w:tc>
          <w:tcPr>
            <w:tcW w:w="2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(24,783</w:t>
            </w:r>
          </w:p>
        </w:tc>
        <w:tc>
          <w:tcPr>
            <w:tcW w:w="2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576" w:type="dxa"/>
            <w:gridSpan w:val="2"/>
            <w:tcBorders/>
            <w:shd w:fill="CCEEFF" w:val="clear"/>
            <w:vAlign w:val="center"/>
          </w:tcPr>
          <w:p>
            <w:pPr>
              <w:pStyle w:val="TableContents"/>
              <w:spacing w:before="0" w:after="0"/>
              <w:jc w:val="right"/>
              <w:rPr/>
            </w:pPr>
            <w:r>
              <w:rPr/>
              <w:t>—</w:t>
            </w:r>
          </w:p>
        </w:tc>
        <w:tc>
          <w:tcPr>
            <w:tcW w:w="98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Maturities of short-term investments</w:t>
            </w:r>
          </w:p>
        </w:tc>
        <w:tc>
          <w:tcPr>
            <w:tcW w:w="2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188,782</w:t>
            </w:r>
          </w:p>
        </w:tc>
        <w:tc>
          <w:tcPr>
            <w:tcW w:w="2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76" w:type="dxa"/>
            <w:gridSpan w:val="2"/>
            <w:tcBorders/>
            <w:shd w:fill="auto" w:val="clear"/>
            <w:vAlign w:val="center"/>
          </w:tcPr>
          <w:p>
            <w:pPr>
              <w:pStyle w:val="TableContents"/>
              <w:spacing w:before="0" w:after="0"/>
              <w:jc w:val="right"/>
              <w:rPr/>
            </w:pPr>
            <w:r>
              <w:rPr/>
              <w:t>—</w:t>
            </w:r>
          </w:p>
        </w:tc>
        <w:tc>
          <w:tcPr>
            <w:tcW w:w="98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Proceeds from sale of land</w:t>
            </w:r>
          </w:p>
        </w:tc>
        <w:tc>
          <w:tcPr>
            <w:tcW w:w="2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1,044</w:t>
            </w:r>
          </w:p>
        </w:tc>
        <w:tc>
          <w:tcPr>
            <w:tcW w:w="2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76" w:type="dxa"/>
            <w:gridSpan w:val="2"/>
            <w:tcBorders/>
            <w:shd w:fill="CCEEFF" w:val="clear"/>
            <w:vAlign w:val="center"/>
          </w:tcPr>
          <w:p>
            <w:pPr>
              <w:pStyle w:val="TableContents"/>
              <w:spacing w:before="0" w:after="0"/>
              <w:jc w:val="right"/>
              <w:rPr/>
            </w:pPr>
            <w:r>
              <w:rPr/>
              <w:t>—</w:t>
            </w:r>
          </w:p>
        </w:tc>
        <w:tc>
          <w:tcPr>
            <w:tcW w:w="98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Acquisition of property and equipment</w:t>
            </w:r>
          </w:p>
        </w:tc>
        <w:tc>
          <w:tcPr>
            <w:tcW w:w="212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(1,191</w:t>
            </w:r>
          </w:p>
        </w:tc>
        <w:tc>
          <w:tcPr>
            <w:tcW w:w="28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57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(345</w:t>
            </w:r>
          </w:p>
        </w:tc>
        <w:tc>
          <w:tcPr>
            <w:tcW w:w="98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used in investing activities</w:t>
            </w:r>
          </w:p>
        </w:tc>
        <w:tc>
          <w:tcPr>
            <w:tcW w:w="212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(101,160</w:t>
            </w:r>
          </w:p>
        </w:tc>
        <w:tc>
          <w:tcPr>
            <w:tcW w:w="284"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57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(345</w:t>
            </w:r>
          </w:p>
        </w:tc>
        <w:tc>
          <w:tcPr>
            <w:tcW w:w="98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141" w:type="dxa"/>
            <w:tcBorders/>
            <w:shd w:fill="auto" w:val="clear"/>
            <w:vAlign w:val="center"/>
          </w:tcPr>
          <w:p>
            <w:pPr>
              <w:pStyle w:val="TableContents"/>
              <w:spacing w:before="0" w:after="0"/>
              <w:ind w:left="0" w:right="0" w:firstLine="30"/>
              <w:rPr/>
            </w:pPr>
            <w:r>
              <w:rPr/>
              <w:t> </w:t>
            </w:r>
          </w:p>
        </w:tc>
        <w:tc>
          <w:tcPr>
            <w:tcW w:w="240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565" w:type="dxa"/>
            <w:gridSpan w:val="3"/>
            <w:tcBorders/>
            <w:shd w:fill="auto" w:val="clear"/>
            <w:vAlign w:val="center"/>
          </w:tcPr>
          <w:p>
            <w:pPr>
              <w:pStyle w:val="TableContents"/>
              <w:spacing w:before="0" w:after="0"/>
              <w:ind w:left="0" w:right="0" w:firstLine="30"/>
              <w:rPr/>
            </w:pPr>
            <w:r>
              <w:rPr/>
              <w:t> </w:t>
            </w:r>
          </w:p>
        </w:tc>
      </w:tr>
      <w:tr>
        <w:trPr/>
        <w:tc>
          <w:tcPr>
            <w:tcW w:w="5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flows from financing activities</w:t>
            </w:r>
          </w:p>
        </w:tc>
        <w:tc>
          <w:tcPr>
            <w:tcW w:w="240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565" w:type="dxa"/>
            <w:gridSpan w:val="3"/>
            <w:tcBorders/>
            <w:shd w:fill="CCEEFF" w:val="clear"/>
            <w:vAlign w:val="center"/>
          </w:tcPr>
          <w:p>
            <w:pPr>
              <w:pStyle w:val="TableContents"/>
              <w:spacing w:before="0" w:after="0"/>
              <w:ind w:left="0" w:right="0" w:firstLine="300"/>
              <w:rPr/>
            </w:pPr>
            <w:r>
              <w:rPr/>
              <w:t> </w:t>
            </w:r>
          </w:p>
        </w:tc>
      </w:tr>
      <w:tr>
        <w:trPr/>
        <w:tc>
          <w:tcPr>
            <w:tcW w:w="5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Proceeds from offering of common stock, net</w:t>
            </w:r>
          </w:p>
        </w:tc>
        <w:tc>
          <w:tcPr>
            <w:tcW w:w="21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128,085</w:t>
            </w:r>
          </w:p>
        </w:tc>
        <w:tc>
          <w:tcPr>
            <w:tcW w:w="2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1,307,119</w:t>
            </w:r>
          </w:p>
        </w:tc>
        <w:tc>
          <w:tcPr>
            <w:tcW w:w="98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Payment of Term Loan B Facility</w:t>
            </w:r>
          </w:p>
        </w:tc>
        <w:tc>
          <w:tcPr>
            <w:tcW w:w="2125" w:type="dxa"/>
            <w:gridSpan w:val="2"/>
            <w:tcBorders/>
            <w:shd w:fill="CCEEFF" w:val="clear"/>
            <w:vAlign w:val="center"/>
          </w:tcPr>
          <w:p>
            <w:pPr>
              <w:pStyle w:val="TableContents"/>
              <w:spacing w:before="0" w:after="0"/>
              <w:jc w:val="right"/>
              <w:rPr/>
            </w:pPr>
            <w:r>
              <w:rPr/>
              <w:t>—</w:t>
            </w:r>
          </w:p>
        </w:tc>
        <w:tc>
          <w:tcPr>
            <w:tcW w:w="2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(100,000</w:t>
            </w:r>
          </w:p>
        </w:tc>
        <w:tc>
          <w:tcPr>
            <w:tcW w:w="98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Payment of Revolving Credit Facility</w:t>
            </w:r>
          </w:p>
        </w:tc>
        <w:tc>
          <w:tcPr>
            <w:tcW w:w="2125" w:type="dxa"/>
            <w:gridSpan w:val="2"/>
            <w:tcBorders/>
            <w:shd w:fill="auto" w:val="clear"/>
            <w:vAlign w:val="center"/>
          </w:tcPr>
          <w:p>
            <w:pPr>
              <w:pStyle w:val="TableContents"/>
              <w:spacing w:before="0" w:after="0"/>
              <w:jc w:val="right"/>
              <w:rPr/>
            </w:pPr>
            <w:r>
              <w:rPr/>
              <w:t>—</w:t>
            </w:r>
          </w:p>
        </w:tc>
        <w:tc>
          <w:tcPr>
            <w:tcW w:w="2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(300,000</w:t>
            </w:r>
          </w:p>
        </w:tc>
        <w:tc>
          <w:tcPr>
            <w:tcW w:w="98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Payment of Second Lien Notes</w:t>
            </w:r>
          </w:p>
        </w:tc>
        <w:tc>
          <w:tcPr>
            <w:tcW w:w="2125" w:type="dxa"/>
            <w:gridSpan w:val="2"/>
            <w:tcBorders/>
            <w:shd w:fill="CCEEFF" w:val="clear"/>
            <w:vAlign w:val="center"/>
          </w:tcPr>
          <w:p>
            <w:pPr>
              <w:pStyle w:val="TableContents"/>
              <w:spacing w:before="0" w:after="0"/>
              <w:jc w:val="right"/>
              <w:rPr/>
            </w:pPr>
            <w:r>
              <w:rPr/>
              <w:t>—</w:t>
            </w:r>
          </w:p>
        </w:tc>
        <w:tc>
          <w:tcPr>
            <w:tcW w:w="2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(290,058</w:t>
            </w:r>
          </w:p>
        </w:tc>
        <w:tc>
          <w:tcPr>
            <w:tcW w:w="98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Debt issuance costs</w:t>
            </w:r>
          </w:p>
        </w:tc>
        <w:tc>
          <w:tcPr>
            <w:tcW w:w="2125" w:type="dxa"/>
            <w:gridSpan w:val="2"/>
            <w:tcBorders/>
            <w:shd w:fill="auto" w:val="clear"/>
            <w:vAlign w:val="center"/>
          </w:tcPr>
          <w:p>
            <w:pPr>
              <w:pStyle w:val="TableContents"/>
              <w:spacing w:before="0" w:after="0"/>
              <w:jc w:val="right"/>
              <w:rPr/>
            </w:pPr>
            <w:r>
              <w:rPr/>
              <w:t>—</w:t>
            </w:r>
          </w:p>
        </w:tc>
        <w:tc>
          <w:tcPr>
            <w:tcW w:w="2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(726</w:t>
            </w:r>
          </w:p>
        </w:tc>
        <w:tc>
          <w:tcPr>
            <w:tcW w:w="98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Distributions to non-controlling interests</w:t>
            </w:r>
          </w:p>
        </w:tc>
        <w:tc>
          <w:tcPr>
            <w:tcW w:w="2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(2,031</w:t>
            </w:r>
          </w:p>
        </w:tc>
        <w:tc>
          <w:tcPr>
            <w:tcW w:w="2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5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(3,856</w:t>
            </w:r>
          </w:p>
        </w:tc>
        <w:tc>
          <w:tcPr>
            <w:tcW w:w="98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Dividends paid</w:t>
            </w:r>
          </w:p>
        </w:tc>
        <w:tc>
          <w:tcPr>
            <w:tcW w:w="212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(116,341</w:t>
            </w:r>
          </w:p>
        </w:tc>
        <w:tc>
          <w:tcPr>
            <w:tcW w:w="28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57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98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financing activities</w:t>
            </w:r>
          </w:p>
        </w:tc>
        <w:tc>
          <w:tcPr>
            <w:tcW w:w="2125"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9,713</w:t>
            </w:r>
          </w:p>
        </w:tc>
        <w:tc>
          <w:tcPr>
            <w:tcW w:w="284"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76"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612,479</w:t>
            </w:r>
          </w:p>
        </w:tc>
        <w:tc>
          <w:tcPr>
            <w:tcW w:w="989"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141" w:type="dxa"/>
            <w:tcBorders/>
            <w:shd w:fill="auto" w:val="clear"/>
            <w:vAlign w:val="center"/>
          </w:tcPr>
          <w:p>
            <w:pPr>
              <w:pStyle w:val="TableContents"/>
              <w:spacing w:before="0" w:after="0"/>
              <w:ind w:left="0" w:right="0" w:firstLine="30"/>
              <w:rPr/>
            </w:pPr>
            <w:r>
              <w:rPr/>
              <w:t> </w:t>
            </w:r>
          </w:p>
        </w:tc>
        <w:tc>
          <w:tcPr>
            <w:tcW w:w="240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565" w:type="dxa"/>
            <w:gridSpan w:val="3"/>
            <w:tcBorders/>
            <w:shd w:fill="auto" w:val="clear"/>
            <w:vAlign w:val="center"/>
          </w:tcPr>
          <w:p>
            <w:pPr>
              <w:pStyle w:val="TableContents"/>
              <w:spacing w:before="0" w:after="0"/>
              <w:ind w:left="0" w:right="0" w:firstLine="30"/>
              <w:rPr/>
            </w:pPr>
            <w:r>
              <w:rPr/>
              <w:t> </w:t>
            </w:r>
          </w:p>
        </w:tc>
      </w:tr>
      <w:tr>
        <w:trPr/>
        <w:tc>
          <w:tcPr>
            <w:tcW w:w="5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increase in cash, cash equivalents and restricted cash</w:t>
            </w:r>
          </w:p>
        </w:tc>
        <w:tc>
          <w:tcPr>
            <w:tcW w:w="21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24,195</w:t>
            </w:r>
          </w:p>
        </w:tc>
        <w:tc>
          <w:tcPr>
            <w:tcW w:w="2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734,617</w:t>
            </w:r>
          </w:p>
        </w:tc>
        <w:tc>
          <w:tcPr>
            <w:tcW w:w="9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 cash equivalents and restricted cash, beginning of period</w:t>
            </w:r>
          </w:p>
        </w:tc>
        <w:tc>
          <w:tcPr>
            <w:tcW w:w="212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598,447</w:t>
            </w:r>
          </w:p>
        </w:tc>
        <w:tc>
          <w:tcPr>
            <w:tcW w:w="28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7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197,406</w:t>
            </w:r>
          </w:p>
        </w:tc>
        <w:tc>
          <w:tcPr>
            <w:tcW w:w="98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cash equivalents and restricted cash, end of period</w:t>
            </w:r>
          </w:p>
        </w:tc>
        <w:tc>
          <w:tcPr>
            <w:tcW w:w="32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80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622,642</w:t>
            </w:r>
          </w:p>
        </w:tc>
        <w:tc>
          <w:tcPr>
            <w:tcW w:w="28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4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2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932,023</w:t>
            </w:r>
          </w:p>
        </w:tc>
        <w:tc>
          <w:tcPr>
            <w:tcW w:w="98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141" w:type="dxa"/>
            <w:tcBorders/>
            <w:shd w:fill="auto" w:val="clear"/>
            <w:vAlign w:val="center"/>
          </w:tcPr>
          <w:p>
            <w:pPr>
              <w:pStyle w:val="TableContents"/>
              <w:spacing w:before="0" w:after="0"/>
              <w:ind w:left="0" w:right="0" w:firstLine="30"/>
              <w:rPr/>
            </w:pPr>
            <w:r>
              <w:rPr/>
              <w:t> </w:t>
            </w:r>
          </w:p>
        </w:tc>
        <w:tc>
          <w:tcPr>
            <w:tcW w:w="240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565" w:type="dxa"/>
            <w:gridSpan w:val="3"/>
            <w:tcBorders/>
            <w:shd w:fill="auto" w:val="clear"/>
            <w:vAlign w:val="center"/>
          </w:tcPr>
          <w:p>
            <w:pPr>
              <w:pStyle w:val="TableContents"/>
              <w:spacing w:before="0" w:after="0"/>
              <w:ind w:left="0" w:right="0" w:firstLine="30"/>
              <w:rPr/>
            </w:pPr>
            <w:r>
              <w:rPr/>
              <w:t> </w:t>
            </w:r>
          </w:p>
        </w:tc>
      </w:tr>
      <w:tr>
        <w:trPr/>
        <w:tc>
          <w:tcPr>
            <w:tcW w:w="5141"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Supplemental cash flow information:</w:t>
            </w:r>
          </w:p>
        </w:tc>
        <w:tc>
          <w:tcPr>
            <w:tcW w:w="240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565" w:type="dxa"/>
            <w:gridSpan w:val="3"/>
            <w:tcBorders/>
            <w:shd w:fill="CCEEFF" w:val="clear"/>
            <w:vAlign w:val="center"/>
          </w:tcPr>
          <w:p>
            <w:pPr>
              <w:pStyle w:val="TableContents"/>
              <w:spacing w:before="0" w:after="0"/>
              <w:ind w:left="0" w:right="0" w:firstLine="300"/>
              <w:rPr/>
            </w:pPr>
            <w:r>
              <w:rPr/>
              <w:t> </w:t>
            </w:r>
          </w:p>
        </w:tc>
      </w:tr>
      <w:tr>
        <w:trPr/>
        <w:tc>
          <w:tcPr>
            <w:tcW w:w="5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Cash paid for interest </w:t>
            </w:r>
          </w:p>
        </w:tc>
        <w:tc>
          <w:tcPr>
            <w:tcW w:w="32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801" w:type="dxa"/>
            <w:tcBorders/>
            <w:shd w:fill="auto" w:val="clear"/>
            <w:vAlign w:val="center"/>
          </w:tcPr>
          <w:p>
            <w:pPr>
              <w:pStyle w:val="TableContents"/>
              <w:spacing w:before="0" w:after="0"/>
              <w:jc w:val="right"/>
              <w:rPr>
                <w:rFonts w:ascii="inherit" w:hAnsi="inherit"/>
                <w:sz w:val="17"/>
              </w:rPr>
            </w:pPr>
            <w:r>
              <w:rPr>
                <w:rFonts w:ascii="inherit" w:hAnsi="inherit"/>
                <w:sz w:val="17"/>
              </w:rPr>
              <w:t>41,601</w:t>
            </w:r>
          </w:p>
        </w:tc>
        <w:tc>
          <w:tcPr>
            <w:tcW w:w="2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4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29" w:type="dxa"/>
            <w:tcBorders/>
            <w:shd w:fill="auto" w:val="clear"/>
            <w:vAlign w:val="center"/>
          </w:tcPr>
          <w:p>
            <w:pPr>
              <w:pStyle w:val="TableContents"/>
              <w:spacing w:before="0" w:after="0"/>
              <w:jc w:val="right"/>
              <w:rPr>
                <w:rFonts w:ascii="inherit" w:hAnsi="inherit"/>
                <w:sz w:val="17"/>
              </w:rPr>
            </w:pPr>
            <w:r>
              <w:rPr>
                <w:rFonts w:ascii="inherit" w:hAnsi="inherit"/>
                <w:sz w:val="17"/>
              </w:rPr>
              <w:t>47,135</w:t>
            </w:r>
          </w:p>
        </w:tc>
        <w:tc>
          <w:tcPr>
            <w:tcW w:w="98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paid for income taxes</w:t>
            </w:r>
          </w:p>
        </w:tc>
        <w:tc>
          <w:tcPr>
            <w:tcW w:w="32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801" w:type="dxa"/>
            <w:tcBorders/>
            <w:shd w:fill="CCEEFF" w:val="clear"/>
            <w:vAlign w:val="center"/>
          </w:tcPr>
          <w:p>
            <w:pPr>
              <w:pStyle w:val="TableContents"/>
              <w:spacing w:before="0" w:after="0"/>
              <w:jc w:val="right"/>
              <w:rPr>
                <w:rFonts w:ascii="inherit" w:hAnsi="inherit"/>
                <w:sz w:val="17"/>
              </w:rPr>
            </w:pPr>
            <w:r>
              <w:rPr>
                <w:rFonts w:ascii="inherit" w:hAnsi="inherit"/>
                <w:sz w:val="17"/>
              </w:rPr>
              <w:t>700</w:t>
            </w:r>
          </w:p>
        </w:tc>
        <w:tc>
          <w:tcPr>
            <w:tcW w:w="2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4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29" w:type="dxa"/>
            <w:tcBorders/>
            <w:shd w:fill="CCEEFF" w:val="clear"/>
            <w:vAlign w:val="center"/>
          </w:tcPr>
          <w:p>
            <w:pPr>
              <w:pStyle w:val="TableContents"/>
              <w:spacing w:before="0" w:after="0"/>
              <w:jc w:val="right"/>
              <w:rPr/>
            </w:pPr>
            <w:r>
              <w:rPr/>
              <w:t>—</w:t>
            </w:r>
          </w:p>
        </w:tc>
        <w:tc>
          <w:tcPr>
            <w:tcW w:w="9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141"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Supplemental non-cash investing and financing activity:</w:t>
            </w:r>
          </w:p>
        </w:tc>
        <w:tc>
          <w:tcPr>
            <w:tcW w:w="240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565" w:type="dxa"/>
            <w:gridSpan w:val="3"/>
            <w:tcBorders/>
            <w:shd w:fill="auto" w:val="clear"/>
            <w:vAlign w:val="center"/>
          </w:tcPr>
          <w:p>
            <w:pPr>
              <w:pStyle w:val="TableContents"/>
              <w:spacing w:before="0" w:after="0"/>
              <w:ind w:left="0" w:right="0" w:firstLine="300"/>
              <w:rPr/>
            </w:pPr>
            <w:r>
              <w:rPr/>
              <w:t> </w:t>
            </w:r>
          </w:p>
        </w:tc>
      </w:tr>
      <w:tr>
        <w:trPr/>
        <w:tc>
          <w:tcPr>
            <w:tcW w:w="5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Dividends declared, not paid </w:t>
            </w:r>
          </w:p>
        </w:tc>
        <w:tc>
          <w:tcPr>
            <w:tcW w:w="32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801" w:type="dxa"/>
            <w:tcBorders/>
            <w:shd w:fill="CCEEFF" w:val="clear"/>
            <w:vAlign w:val="center"/>
          </w:tcPr>
          <w:p>
            <w:pPr>
              <w:pStyle w:val="TableContents"/>
              <w:spacing w:before="0" w:after="0"/>
              <w:jc w:val="right"/>
              <w:rPr>
                <w:rFonts w:ascii="inherit" w:hAnsi="inherit"/>
                <w:sz w:val="17"/>
              </w:rPr>
            </w:pPr>
            <w:r>
              <w:rPr>
                <w:rFonts w:ascii="inherit" w:hAnsi="inherit"/>
                <w:sz w:val="17"/>
              </w:rPr>
              <w:t>118,154</w:t>
            </w:r>
          </w:p>
        </w:tc>
        <w:tc>
          <w:tcPr>
            <w:tcW w:w="2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4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29" w:type="dxa"/>
            <w:tcBorders/>
            <w:shd w:fill="CCEEFF" w:val="clear"/>
            <w:vAlign w:val="center"/>
          </w:tcPr>
          <w:p>
            <w:pPr>
              <w:pStyle w:val="TableContents"/>
              <w:spacing w:before="0" w:after="0"/>
              <w:jc w:val="right"/>
              <w:rPr/>
            </w:pPr>
            <w:r>
              <w:rPr/>
              <w:t>—</w:t>
            </w:r>
          </w:p>
        </w:tc>
        <w:tc>
          <w:tcPr>
            <w:tcW w:w="98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Right-of-use asset and lease liability recorded upon adoption of ASC 842</w:t>
            </w:r>
          </w:p>
        </w:tc>
        <w:tc>
          <w:tcPr>
            <w:tcW w:w="32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801" w:type="dxa"/>
            <w:tcBorders/>
            <w:shd w:fill="auto" w:val="clear"/>
            <w:vAlign w:val="center"/>
          </w:tcPr>
          <w:p>
            <w:pPr>
              <w:pStyle w:val="TableContents"/>
              <w:spacing w:before="0" w:after="0"/>
              <w:jc w:val="right"/>
              <w:rPr>
                <w:rFonts w:ascii="inherit" w:hAnsi="inherit"/>
                <w:sz w:val="17"/>
              </w:rPr>
            </w:pPr>
            <w:r>
              <w:rPr>
                <w:rFonts w:ascii="inherit" w:hAnsi="inherit"/>
                <w:sz w:val="17"/>
              </w:rPr>
              <w:t>11,133</w:t>
            </w:r>
          </w:p>
        </w:tc>
        <w:tc>
          <w:tcPr>
            <w:tcW w:w="2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4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29" w:type="dxa"/>
            <w:tcBorders/>
            <w:shd w:fill="auto" w:val="clear"/>
            <w:vAlign w:val="center"/>
          </w:tcPr>
          <w:p>
            <w:pPr>
              <w:pStyle w:val="TableContents"/>
              <w:spacing w:before="0" w:after="0"/>
              <w:jc w:val="right"/>
              <w:rPr/>
            </w:pPr>
            <w:r>
              <w:rPr/>
              <w:t>—</w:t>
            </w:r>
          </w:p>
        </w:tc>
        <w:tc>
          <w:tcPr>
            <w:tcW w:w="989"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t>See accompanying Notes to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w:t>
      </w:r>
      <w:r>
        <w:br w:type="page"/>
      </w:r>
    </w:p>
    <w:p>
      <w:pPr>
        <w:pStyle w:val="TextBody"/>
        <w:spacing w:lineRule="auto" w:line="288" w:before="0" w:after="0"/>
        <w:jc w:val="left"/>
        <w:rPr/>
      </w:pPr>
      <w:hyperlink w:anchor="s7181E430E8A9506B896277AC8CF177C4">
        <w:bookmarkStart w:id="11" w:name="s28E6BB845B185EBA87620FD3B35D1E91"/>
        <w:bookmarkEnd w:id="11"/>
        <w:r>
          <w:rPr>
            <w:rStyle w:val="InternetLink"/>
            <w:rFonts w:ascii="inherit" w:hAnsi="inherit"/>
            <w:sz w:val="17"/>
          </w:rPr>
          <w:t>Table of Contents</w:t>
        </w:r>
      </w:hyperlink>
    </w:p>
    <w:p>
      <w:pPr>
        <w:pStyle w:val="TextBody"/>
        <w:spacing w:lineRule="auto" w:line="288" w:before="0" w:after="0"/>
        <w:jc w:val="center"/>
        <w:rPr>
          <w:rFonts w:ascii="inherit" w:hAnsi="inherit"/>
          <w:b/>
          <w:sz w:val="18"/>
        </w:rPr>
      </w:pPr>
      <w:r>
        <w:rPr>
          <w:rFonts w:ascii="inherit" w:hAnsi="inherit"/>
          <w:b/>
          <w:sz w:val="18"/>
        </w:rPr>
        <w:t>VICI PROPERTIES INC.</w:t>
      </w:r>
    </w:p>
    <w:p>
      <w:pPr>
        <w:pStyle w:val="TextBody"/>
        <w:spacing w:lineRule="auto" w:line="288" w:before="0" w:after="0"/>
        <w:jc w:val="center"/>
        <w:rPr>
          <w:rFonts w:ascii="inherit" w:hAnsi="inherit"/>
          <w:b/>
          <w:sz w:val="18"/>
        </w:rPr>
      </w:pPr>
      <w:r>
        <w:rPr>
          <w:rFonts w:ascii="inherit" w:hAnsi="inherit"/>
          <w:b/>
          <w:sz w:val="18"/>
        </w:rPr>
        <w:t>NOTES TO CONSOLIDATED FINANCIAL STATEMENTS</w:t>
      </w:r>
    </w:p>
    <w:p>
      <w:pPr>
        <w:pStyle w:val="TextBody"/>
        <w:spacing w:lineRule="auto" w:line="288" w:before="0" w:after="0"/>
        <w:jc w:val="center"/>
        <w:rPr>
          <w:rFonts w:ascii="inherit" w:hAnsi="inherit"/>
          <w:b/>
          <w:sz w:val="18"/>
        </w:rPr>
      </w:pPr>
      <w:r>
        <w:rPr>
          <w:rFonts w:ascii="inherit" w:hAnsi="inherit"/>
          <w:b/>
          <w:sz w:val="18"/>
        </w:rPr>
        <w:t>(UNAUDITED)</w:t>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i/>
          <w:sz w:val="17"/>
        </w:rPr>
      </w:pPr>
      <w:bookmarkStart w:id="12" w:name="sDA4023077A1350A7A407CE303252694E"/>
      <w:bookmarkEnd w:id="12"/>
      <w:r>
        <w:rPr>
          <w:rFonts w:ascii="inherit" w:hAnsi="inherit"/>
          <w:i/>
          <w:sz w:val="17"/>
        </w:rPr>
        <w:t xml:space="preserve">In these notes, the words ”VICI,” the “Company,” “we,” “our,” and “us” refer to VICI Properties Inc. and its subsidiaries, on a consolidated basis, unless otherwise stated or the context requires otherwise. </w:t>
      </w:r>
    </w:p>
    <w:p>
      <w:pPr>
        <w:pStyle w:val="TextBody"/>
        <w:spacing w:lineRule="auto" w:line="288" w:before="0" w:after="0"/>
        <w:jc w:val="both"/>
        <w:rPr>
          <w:rFonts w:ascii="inherit" w:hAnsi="inherit"/>
          <w:i/>
          <w:sz w:val="17"/>
        </w:rPr>
      </w:pPr>
      <w:r>
        <w:rPr>
          <w:rFonts w:ascii="inherit" w:hAnsi="inherit"/>
          <w:i/>
          <w:sz w:val="17"/>
        </w:rPr>
        <w:t>We refer to (i) our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pStyle w:val="TextBody"/>
        <w:spacing w:lineRule="auto" w:line="288" w:before="0" w:after="0"/>
        <w:jc w:val="both"/>
        <w:rPr/>
      </w:pPr>
      <w:r>
        <w:rPr/>
        <w:t>“</w:t>
      </w:r>
      <w:r>
        <w:rPr>
          <w:rFonts w:ascii="inherit" w:hAnsi="inherit"/>
          <w:i/>
          <w:sz w:val="17"/>
        </w:rPr>
        <w:t xml:space="preserve">Caesars” refers to Caesars Entertainment Corporation, a Delaware corporation, and its subsidiaries. </w:t>
      </w:r>
    </w:p>
    <w:p>
      <w:pPr>
        <w:pStyle w:val="TextBody"/>
        <w:spacing w:lineRule="auto" w:line="288" w:before="0" w:after="0"/>
        <w:jc w:val="both"/>
        <w:rPr/>
      </w:pPr>
      <w:r>
        <w:rPr/>
        <w:t>“</w:t>
      </w:r>
      <w:r>
        <w:rPr>
          <w:rFonts w:ascii="inherit" w:hAnsi="inherit"/>
          <w:i/>
          <w:sz w:val="17"/>
        </w:rPr>
        <w:t>Caesars Lease Agreements” refers collectively to the CPLV Lease Agreement, the Non-CPLV Lease Agreement, the Joliet Lease Agreement and the HLV Lease Agreement, unless the context otherwise requires.</w:t>
      </w:r>
    </w:p>
    <w:p>
      <w:pPr>
        <w:pStyle w:val="TextBody"/>
        <w:spacing w:lineRule="auto" w:line="288" w:before="0" w:after="0"/>
        <w:jc w:val="both"/>
        <w:rPr/>
      </w:pPr>
      <w:r>
        <w:rPr/>
        <w:t>“</w:t>
      </w:r>
      <w:r>
        <w:rPr>
          <w:rFonts w:ascii="inherit" w:hAnsi="inherit"/>
          <w:i/>
          <w:sz w:val="17"/>
        </w:rPr>
        <w:t>CEOC” refers to Caesars Entertainment Operating Company, Inc., a Delaware corporation, and its subsidiaries, prior to the Formation Date, and following the Formation Date, CEOC, LLC, a Delaware limited liability company and its subsidiaries. CEOC is a subsidiary of Caesars.</w:t>
      </w:r>
    </w:p>
    <w:p>
      <w:pPr>
        <w:pStyle w:val="TextBody"/>
        <w:spacing w:lineRule="auto" w:line="288" w:before="0" w:after="0"/>
        <w:jc w:val="both"/>
        <w:rPr/>
      </w:pPr>
      <w:r>
        <w:rPr/>
        <w:t>“</w:t>
      </w:r>
      <w:r>
        <w:rPr>
          <w:rFonts w:ascii="inherit" w:hAnsi="inherit"/>
          <w:i/>
          <w:sz w:val="17"/>
        </w:rPr>
        <w:t>CPLV CMBS Debt” refers to $1.55 billion</w:t>
      </w:r>
      <w:r>
        <w:rPr>
          <w:sz w:val="17"/>
        </w:rPr>
        <w:t xml:space="preserve"> </w:t>
      </w:r>
      <w:r>
        <w:rPr>
          <w:rFonts w:ascii="inherit" w:hAnsi="inherit"/>
          <w:i/>
          <w:sz w:val="17"/>
        </w:rPr>
        <w:t>of asset-level real estate mortgage financing of Caesars Palace Las Vegas, incurred by a subsidiary of the Operating Partnership on October 6, 2017.</w:t>
      </w:r>
    </w:p>
    <w:p>
      <w:pPr>
        <w:pStyle w:val="TextBody"/>
        <w:spacing w:lineRule="auto" w:line="288" w:before="0" w:after="0"/>
        <w:jc w:val="both"/>
        <w:rPr/>
      </w:pPr>
      <w:r>
        <w:rPr/>
        <w:t>“</w:t>
      </w:r>
      <w:r>
        <w:rPr>
          <w:rFonts w:ascii="inherit" w:hAnsi="inherit"/>
          <w:i/>
          <w:sz w:val="17"/>
        </w:rPr>
        <w:t>CPLV Lease Agreement” refers to the lease agreement for Caesars Palace Las Vegas, as amended from time to time.</w:t>
      </w:r>
    </w:p>
    <w:p>
      <w:pPr>
        <w:pStyle w:val="TextBody"/>
        <w:spacing w:lineRule="auto" w:line="288" w:before="0" w:after="0"/>
        <w:jc w:val="both"/>
        <w:rPr/>
      </w:pPr>
      <w:r>
        <w:rPr/>
        <w:t>“</w:t>
      </w:r>
      <w:r>
        <w:rPr>
          <w:rFonts w:ascii="inherit" w:hAnsi="inherit"/>
          <w:i/>
          <w:sz w:val="17"/>
        </w:rPr>
        <w:t>Eastside Property” refers to 18.4</w:t>
      </w:r>
      <w:r>
        <w:rPr>
          <w:sz w:val="17"/>
        </w:rPr>
        <w:t xml:space="preserve"> </w:t>
      </w:r>
      <w:r>
        <w:rPr>
          <w:rFonts w:ascii="inherit" w:hAnsi="inherit"/>
          <w:i/>
          <w:sz w:val="17"/>
        </w:rPr>
        <w:t>acres of property located in Las Vegas, Nevada, east of Harrah’s Las Vegas that we sold to Caesars in December 2017.</w:t>
      </w:r>
    </w:p>
    <w:p>
      <w:pPr>
        <w:pStyle w:val="TextBody"/>
        <w:spacing w:lineRule="auto" w:line="288" w:before="0" w:after="0"/>
        <w:jc w:val="both"/>
        <w:rPr/>
      </w:pPr>
      <w:r>
        <w:rPr/>
        <w:t>“</w:t>
      </w:r>
      <w:r>
        <w:rPr>
          <w:rFonts w:ascii="inherit" w:hAnsi="inherit"/>
          <w:i/>
          <w:sz w:val="17"/>
        </w:rPr>
        <w:t xml:space="preserve">Formation Date” refers to October 6, 2017. </w:t>
      </w:r>
    </w:p>
    <w:p>
      <w:pPr>
        <w:pStyle w:val="TextBody"/>
        <w:spacing w:lineRule="auto" w:line="288" w:before="0" w:after="0"/>
        <w:jc w:val="both"/>
        <w:rPr/>
      </w:pPr>
      <w:r>
        <w:rPr/>
        <w:t>“</w:t>
      </w:r>
      <w:r>
        <w:rPr>
          <w:rFonts w:ascii="inherit" w:hAnsi="inherit"/>
          <w:i/>
          <w:sz w:val="17"/>
        </w:rPr>
        <w:t>Greektown” refers to the real estate assets associated with the Greektown Casino-Hotel, located in Detroit, Michigan. On November 13, 2018, we entered into definitive agreements to acquire all of the land and real estate assets associated with Greektown,</w:t>
      </w:r>
    </w:p>
    <w:p>
      <w:pPr>
        <w:pStyle w:val="TextBody"/>
        <w:spacing w:lineRule="auto" w:line="288" w:before="0" w:after="0"/>
        <w:jc w:val="left"/>
        <w:rPr/>
      </w:pPr>
      <w:r>
        <w:rPr/>
        <w:t>“</w:t>
      </w:r>
      <w:r>
        <w:rPr>
          <w:rFonts w:ascii="inherit" w:hAnsi="inherit"/>
          <w:i/>
          <w:sz w:val="17"/>
        </w:rPr>
        <w:t xml:space="preserve">HLV Lease Agreement” refers to the lease agreement for the Harrah’s Las Vegas facilities, as amended from time to time. </w:t>
      </w:r>
    </w:p>
    <w:p>
      <w:pPr>
        <w:pStyle w:val="TextBody"/>
        <w:spacing w:lineRule="auto" w:line="288" w:before="0" w:after="0"/>
        <w:jc w:val="left"/>
        <w:rPr/>
      </w:pPr>
      <w:r>
        <w:rPr/>
        <w:t>“</w:t>
      </w:r>
      <w:r>
        <w:rPr>
          <w:rFonts w:ascii="inherit" w:hAnsi="inherit"/>
          <w:i/>
          <w:sz w:val="17"/>
        </w:rPr>
        <w:t xml:space="preserve">Joliet Lease Agreement” refers to the lease agreement for the facilities in Joliet, Illinois, as amended from time to time. </w:t>
      </w:r>
    </w:p>
    <w:p>
      <w:pPr>
        <w:pStyle w:val="TextBody"/>
        <w:spacing w:lineRule="auto" w:line="288" w:before="0" w:after="0"/>
        <w:jc w:val="both"/>
        <w:rPr/>
      </w:pPr>
      <w:r>
        <w:rPr/>
        <w:t>“</w:t>
      </w:r>
      <w:r>
        <w:rPr>
          <w:rFonts w:ascii="inherit" w:hAnsi="inherit"/>
          <w:i/>
          <w:sz w:val="17"/>
        </w:rPr>
        <w:t xml:space="preserve">Lease Agreements” refer collectively to the Caesars Lease Agreements and the Margaritaville Lease Agreement, unless the context otherwise requires. </w:t>
      </w:r>
    </w:p>
    <w:p>
      <w:pPr>
        <w:pStyle w:val="TextBody"/>
        <w:spacing w:lineRule="auto" w:line="288" w:before="0" w:after="0"/>
        <w:jc w:val="left"/>
        <w:rPr/>
      </w:pPr>
      <w:r>
        <w:rPr/>
        <w:t>“</w:t>
      </w:r>
      <w:r>
        <w:rPr>
          <w:rFonts w:ascii="inherit" w:hAnsi="inherit"/>
          <w:i/>
          <w:sz w:val="17"/>
        </w:rPr>
        <w:t>Margaritaville Lease Agreement” refers to the lease agreement for Margaritaville Resort Casino.</w:t>
      </w:r>
    </w:p>
    <w:p>
      <w:pPr>
        <w:pStyle w:val="TextBody"/>
        <w:spacing w:lineRule="auto" w:line="288" w:before="0" w:after="0"/>
        <w:jc w:val="left"/>
        <w:rPr/>
      </w:pPr>
      <w:r>
        <w:rPr/>
        <w:t>“</w:t>
      </w:r>
      <w:r>
        <w:rPr>
          <w:rFonts w:ascii="inherit" w:hAnsi="inherit"/>
          <w:i/>
          <w:sz w:val="17"/>
        </w:rPr>
        <w:t xml:space="preserve">Margaritaville Resort Casino” refers to the real estate of Margaritaville Resort Casino, located in Bossier City, Louisiana, which we purchased on January 2, 2019. </w:t>
      </w:r>
    </w:p>
    <w:p>
      <w:pPr>
        <w:pStyle w:val="TextBody"/>
        <w:spacing w:lineRule="auto" w:line="288" w:before="0" w:after="0"/>
        <w:jc w:val="both"/>
        <w:rPr/>
      </w:pPr>
      <w:r>
        <w:rPr/>
        <w:t>“</w:t>
      </w:r>
      <w:r>
        <w:rPr>
          <w:rFonts w:ascii="inherit" w:hAnsi="inherit"/>
          <w:i/>
          <w:sz w:val="17"/>
        </w:rPr>
        <w:t>Non-CPLV Lease Agreement” refers to the lease agreement for regional properties leased to Caesars other than the facilities in Joliet, Illinois, as amended from time to time.</w:t>
      </w:r>
    </w:p>
    <w:p>
      <w:pPr>
        <w:pStyle w:val="TextBody"/>
        <w:spacing w:lineRule="auto" w:line="288" w:before="0" w:after="0"/>
        <w:jc w:val="both"/>
        <w:rPr/>
      </w:pPr>
      <w:r>
        <w:rPr/>
        <w:t>“</w:t>
      </w:r>
      <w:r>
        <w:rPr>
          <w:rFonts w:ascii="inherit" w:hAnsi="inherit"/>
          <w:i/>
          <w:sz w:val="17"/>
        </w:rPr>
        <w:t>Operating Partnership” refers to VICI Properties L.P., a Delaware limited partnership and a wholly owned subsidiary of VICI.</w:t>
      </w:r>
    </w:p>
    <w:p>
      <w:pPr>
        <w:pStyle w:val="TextBody"/>
        <w:spacing w:lineRule="auto" w:line="288" w:before="0" w:after="0"/>
        <w:jc w:val="both"/>
        <w:rPr/>
      </w:pPr>
      <w:r>
        <w:rPr/>
        <w:t>“</w:t>
      </w:r>
      <w:r>
        <w:rPr>
          <w:rFonts w:ascii="inherit" w:hAnsi="inherit"/>
          <w:i/>
          <w:sz w:val="17"/>
        </w:rPr>
        <w:t>Penn National” refers to Penn National Gaming, Inc. and its subsidiaries.</w:t>
      </w:r>
    </w:p>
    <w:p>
      <w:pPr>
        <w:pStyle w:val="TextBody"/>
        <w:spacing w:lineRule="auto" w:line="288" w:before="0" w:after="0"/>
        <w:jc w:val="left"/>
        <w:rPr/>
      </w:pPr>
      <w:r>
        <w:rPr/>
        <w:t>“</w:t>
      </w:r>
      <w:r>
        <w:rPr>
          <w:rFonts w:ascii="inherit" w:hAnsi="inherit"/>
          <w:i/>
          <w:sz w:val="17"/>
        </w:rPr>
        <w:t xml:space="preserve">Revolving Credit Facility” refers to the five-year first lien revolving credit facility entered into by VICI PropCo in December 2017. </w:t>
      </w:r>
    </w:p>
    <w:p>
      <w:pPr>
        <w:pStyle w:val="TextBody"/>
        <w:spacing w:lineRule="auto" w:line="288" w:before="0" w:after="0"/>
        <w:jc w:val="left"/>
        <w:rPr/>
      </w:pPr>
      <w:r>
        <w:rPr/>
        <w:t>“</w:t>
      </w:r>
      <w:r>
        <w:rPr>
          <w:rFonts w:ascii="inherit" w:hAnsi="inherit"/>
          <w:i/>
          <w:sz w:val="17"/>
        </w:rPr>
        <w:t>Second Lien Notes” refers to $766.9 million</w:t>
      </w:r>
      <w:r>
        <w:rPr>
          <w:sz w:val="17"/>
        </w:rPr>
        <w:t xml:space="preserve"> </w:t>
      </w:r>
      <w:r>
        <w:rPr>
          <w:rFonts w:ascii="inherit" w:hAnsi="inherit"/>
          <w:i/>
          <w:sz w:val="17"/>
        </w:rPr>
        <w:t>aggregate principal amount of 8.0%</w:t>
      </w:r>
      <w:r>
        <w:rPr>
          <w:sz w:val="17"/>
        </w:rPr>
        <w:t xml:space="preserve"> </w:t>
      </w:r>
      <w:r>
        <w:rPr>
          <w:rFonts w:ascii="inherit" w:hAnsi="inherit"/>
          <w:i/>
          <w:sz w:val="17"/>
        </w:rPr>
        <w:t>second priority senior secured notes due 2023 issued by a subsidiary of the Operating Partnership in October 2017, of which approximately $498.5 million</w:t>
      </w:r>
      <w:r>
        <w:rPr>
          <w:sz w:val="17"/>
        </w:rPr>
        <w:t xml:space="preserve"> </w:t>
      </w:r>
      <w:r>
        <w:rPr>
          <w:rFonts w:ascii="inherit" w:hAnsi="inherit"/>
          <w:i/>
          <w:sz w:val="17"/>
        </w:rPr>
        <w:t xml:space="preserve">aggregate principal amount remains outstanding.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w:t>
      </w:r>
      <w:r>
        <w:br w:type="page"/>
      </w:r>
    </w:p>
    <w:p>
      <w:pPr>
        <w:pStyle w:val="TextBody"/>
        <w:spacing w:lineRule="auto" w:line="288" w:before="0" w:after="0"/>
        <w:jc w:val="left"/>
        <w:rPr/>
      </w:pPr>
      <w:hyperlink w:anchor="s7181E430E8A9506B896277AC8CF177C4">
        <w:r>
          <w:rPr>
            <w:rStyle w:val="InternetLink"/>
            <w:rFonts w:ascii="inherit" w:hAnsi="inherit"/>
            <w:sz w:val="17"/>
          </w:rPr>
          <w:t>Table of Contents</w:t>
        </w:r>
      </w:hyperlink>
    </w:p>
    <w:p>
      <w:pPr>
        <w:pStyle w:val="TextBody"/>
        <w:spacing w:lineRule="auto" w:line="288" w:before="0" w:after="0"/>
        <w:jc w:val="center"/>
        <w:rPr>
          <w:rFonts w:ascii="inherit" w:hAnsi="inherit"/>
          <w:b/>
          <w:sz w:val="18"/>
        </w:rPr>
      </w:pPr>
      <w:r>
        <w:rPr>
          <w:rFonts w:ascii="inherit" w:hAnsi="inherit"/>
          <w:b/>
          <w:sz w:val="18"/>
        </w:rPr>
        <w:t>VICI PROPERTIES INC.</w:t>
      </w:r>
    </w:p>
    <w:p>
      <w:pPr>
        <w:pStyle w:val="TextBody"/>
        <w:spacing w:lineRule="auto" w:line="288" w:before="0" w:after="0"/>
        <w:jc w:val="center"/>
        <w:rPr>
          <w:rFonts w:ascii="inherit" w:hAnsi="inherit"/>
          <w:b/>
          <w:sz w:val="18"/>
        </w:rPr>
      </w:pPr>
      <w:r>
        <w:rPr>
          <w:rFonts w:ascii="inherit" w:hAnsi="inherit"/>
          <w:b/>
          <w:sz w:val="18"/>
        </w:rPr>
        <w:t>NOTES TO CONSOLIDATED FINANCIAL STATEMENTS (Continued)</w:t>
      </w:r>
    </w:p>
    <w:p>
      <w:pPr>
        <w:pStyle w:val="TextBody"/>
        <w:spacing w:lineRule="auto" w:line="288" w:before="0" w:after="0"/>
        <w:jc w:val="center"/>
        <w:rPr>
          <w:rFonts w:ascii="inherit" w:hAnsi="inherit"/>
          <w:b/>
          <w:sz w:val="18"/>
        </w:rPr>
      </w:pPr>
      <w:r>
        <w:rPr>
          <w:rFonts w:ascii="inherit" w:hAnsi="inherit"/>
          <w:b/>
          <w:sz w:val="18"/>
        </w:rPr>
        <w:t>(UNAUDITED)</w:t>
      </w:r>
    </w:p>
    <w:p>
      <w:pPr>
        <w:pStyle w:val="TextBody"/>
        <w:spacing w:before="0" w:after="0"/>
        <w:rPr/>
      </w:pPr>
      <w:r>
        <w:rPr/>
      </w:r>
    </w:p>
    <w:p>
      <w:pPr>
        <w:pStyle w:val="TextBody"/>
        <w:spacing w:lineRule="auto" w:line="288" w:before="0" w:after="0"/>
        <w:jc w:val="both"/>
        <w:rPr/>
      </w:pPr>
      <w:r>
        <w:rPr/>
        <w:t>“</w:t>
      </w:r>
      <w:r>
        <w:rPr>
          <w:rFonts w:ascii="inherit" w:hAnsi="inherit"/>
          <w:i/>
          <w:sz w:val="17"/>
        </w:rPr>
        <w:t>Term Loan B Facility” refers to the seven-year senior secured first lien term loan B facility entered into by VICI PropCo in December 2017.</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pPr>
      <w:r>
        <w:rPr/>
        <w:t>“</w:t>
      </w:r>
      <w:r>
        <w:rPr>
          <w:rFonts w:ascii="inherit" w:hAnsi="inherit"/>
          <w:i/>
          <w:sz w:val="17"/>
        </w:rPr>
        <w:t>VICI Golf” refers to VICI Golf LLC, a Delaware limited liability company that is the owner and operator of our golf segment business.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pPr>
      <w:r>
        <w:rPr/>
        <w:t>“</w:t>
      </w:r>
      <w:r>
        <w:rPr>
          <w:rFonts w:ascii="inherit" w:hAnsi="inherit"/>
          <w:i/>
          <w:sz w:val="17"/>
        </w:rPr>
        <w:t xml:space="preserve">VICI PropCo” refers to VICI Properties 1 LLC, a Delaware limited liability company and an indirect wholly-owned subsidiary of VICI. </w:t>
      </w:r>
    </w:p>
    <w:p>
      <w:pPr>
        <w:pStyle w:val="TextBody"/>
        <w:spacing w:lineRule="auto" w:line="288" w:before="0" w:after="0"/>
        <w:jc w:val="both"/>
        <w:rPr>
          <w:sz w:val="20"/>
        </w:rPr>
      </w:pPr>
      <w:r>
        <w:rPr>
          <w:rFonts w:ascii="inherit" w:hAnsi="inherit"/>
          <w:b/>
          <w:sz w:val="20"/>
        </w:rPr>
        <w:t>Note 1</w:t>
      </w:r>
      <w:r>
        <w:rPr>
          <w:sz w:val="20"/>
        </w:rPr>
        <w:t xml:space="preserve"> — </w:t>
      </w:r>
      <w:r>
        <w:rPr>
          <w:rFonts w:ascii="inherit" w:hAnsi="inherit"/>
          <w:b/>
          <w:sz w:val="20"/>
        </w:rPr>
        <w:t>Business and Organization</w:t>
      </w:r>
      <w:r>
        <w:rPr>
          <w:sz w:val="20"/>
        </w:rPr>
        <w:t xml:space="preserve"> </w:t>
      </w:r>
    </w:p>
    <w:p>
      <w:pPr>
        <w:pStyle w:val="TextBody"/>
        <w:spacing w:lineRule="auto" w:line="288" w:before="0" w:after="0"/>
        <w:jc w:val="both"/>
        <w:rPr>
          <w:rFonts w:ascii="inherit" w:hAnsi="inherit"/>
          <w:b/>
          <w:i/>
          <w:sz w:val="17"/>
        </w:rPr>
      </w:pPr>
      <w:r>
        <w:rPr>
          <w:rFonts w:ascii="inherit" w:hAnsi="inherit"/>
          <w:b/>
          <w:i/>
          <w:sz w:val="17"/>
        </w:rPr>
        <w:t xml:space="preserve">Business </w:t>
      </w:r>
    </w:p>
    <w:p>
      <w:pPr>
        <w:pStyle w:val="TextBody"/>
        <w:spacing w:lineRule="auto" w:line="288" w:before="0" w:after="0"/>
        <w:jc w:val="both"/>
        <w:rPr>
          <w:sz w:val="17"/>
        </w:rPr>
      </w:pPr>
      <w:r>
        <w:rPr>
          <w:rFonts w:ascii="inherit" w:hAnsi="inherit"/>
          <w:sz w:val="17"/>
        </w:rPr>
        <w:t>We are a Maryland corporation that is primarily engaged in the business of owning and acquiring gaming, hospitality and entertainment destinations, subject to long-term triple net leases. Our national, geographically diverse portfolio consists of 22</w:t>
      </w:r>
      <w:r>
        <w:rPr>
          <w:sz w:val="17"/>
        </w:rPr>
        <w:t xml:space="preserve"> </w:t>
      </w:r>
      <w:r>
        <w:rPr>
          <w:rFonts w:ascii="inherit" w:hAnsi="inherit"/>
          <w:sz w:val="17"/>
        </w:rPr>
        <w:t>market-leading properties, including Caesars Palace Las Vegas and Harrah’s Las Vegas. As of March 31, 2019, we leased all of our properties to subsidiaries of Caesars with the exception of Margaritaville Resort Casino, which we lease to Penn National. We also own and operate four</w:t>
      </w:r>
      <w:r>
        <w:rPr>
          <w:sz w:val="17"/>
        </w:rPr>
        <w:t xml:space="preserve"> </w:t>
      </w:r>
      <w:r>
        <w:rPr>
          <w:rFonts w:ascii="inherit" w:hAnsi="inherit"/>
          <w:sz w:val="17"/>
        </w:rPr>
        <w:t xml:space="preserve">championship golf courses located near certain of our properties. </w:t>
      </w:r>
    </w:p>
    <w:p>
      <w:pPr>
        <w:pStyle w:val="TextBody"/>
        <w:spacing w:lineRule="auto" w:line="288" w:before="0" w:after="0"/>
        <w:jc w:val="both"/>
        <w:rPr>
          <w:rFonts w:ascii="inherit" w:hAnsi="inherit"/>
          <w:sz w:val="17"/>
        </w:rPr>
      </w:pPr>
      <w:r>
        <w:rPr>
          <w:rFonts w:ascii="inherit" w:hAnsi="inherit"/>
          <w:sz w:val="17"/>
        </w:rPr>
        <w:t>We conduct our operations as a real estate investment trust (“REIT”) for U.S. federal income tax purposes. We generally will not be subject to U.S. federal income taxes on our taxable income to the extent that we annually distribute all of our net taxable income to stockholders and maintain our qualification as a REIT. We conduct our real property business through our Operating Partnership and our golf course business, through a taxable REIT subsidiary (a “TRS”), VICI Golf.</w:t>
      </w:r>
    </w:p>
    <w:p>
      <w:pPr>
        <w:pStyle w:val="TextBody"/>
        <w:spacing w:lineRule="auto" w:line="288" w:before="0" w:after="0"/>
        <w:jc w:val="both"/>
        <w:rPr>
          <w:sz w:val="20"/>
        </w:rPr>
      </w:pPr>
      <w:bookmarkStart w:id="13" w:name="s10B3AB04AE4C5A5EA4260D9A5419BD2B"/>
      <w:bookmarkEnd w:id="13"/>
      <w:r>
        <w:rPr>
          <w:rFonts w:ascii="inherit" w:hAnsi="inherit"/>
          <w:b/>
          <w:sz w:val="20"/>
        </w:rPr>
        <w:t>Note 2</w:t>
      </w:r>
      <w:r>
        <w:rPr>
          <w:sz w:val="20"/>
        </w:rPr>
        <w:t xml:space="preserve"> — </w:t>
      </w:r>
      <w:r>
        <w:rPr>
          <w:rFonts w:ascii="inherit" w:hAnsi="inherit"/>
          <w:b/>
          <w:sz w:val="20"/>
        </w:rPr>
        <w:t>Summary of Significant Accounting Policies</w:t>
      </w:r>
      <w:r>
        <w:rPr>
          <w:sz w:val="20"/>
        </w:rPr>
        <w:t xml:space="preserve"> </w:t>
      </w:r>
    </w:p>
    <w:p>
      <w:pPr>
        <w:pStyle w:val="TextBody"/>
        <w:spacing w:lineRule="auto" w:line="288" w:before="0" w:after="0"/>
        <w:jc w:val="both"/>
        <w:rPr>
          <w:rFonts w:ascii="inherit" w:hAnsi="inherit"/>
          <w:b/>
          <w:i/>
          <w:sz w:val="17"/>
        </w:rPr>
      </w:pPr>
      <w:r>
        <w:rPr>
          <w:rFonts w:ascii="inherit" w:hAnsi="inherit"/>
          <w:b/>
          <w:i/>
          <w:sz w:val="17"/>
        </w:rPr>
        <w:t>Basis of Presentation</w:t>
      </w:r>
    </w:p>
    <w:p>
      <w:pPr>
        <w:pStyle w:val="TextBody"/>
        <w:spacing w:lineRule="auto" w:line="288" w:before="0" w:after="0"/>
        <w:jc w:val="both"/>
        <w:rPr>
          <w:rFonts w:ascii="inherit" w:hAnsi="inherit"/>
          <w:sz w:val="17"/>
        </w:rPr>
      </w:pPr>
      <w:r>
        <w:rPr>
          <w:rFonts w:ascii="inherit" w:hAnsi="inherit"/>
          <w:sz w:val="17"/>
        </w:rPr>
        <w:t xml:space="preserve">The accompanying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The consolidated financial statements, including the notes thereto, are unaudited and exclude some of the disclosures and information normally required in audited financial statements. </w:t>
      </w:r>
    </w:p>
    <w:p>
      <w:pPr>
        <w:pStyle w:val="TextBody"/>
        <w:spacing w:lineRule="auto" w:line="288" w:before="0" w:after="0"/>
        <w:jc w:val="both"/>
        <w:rPr>
          <w:rFonts w:ascii="inherit" w:hAnsi="inherit"/>
          <w:sz w:val="17"/>
        </w:rPr>
      </w:pPr>
      <w:r>
        <w:rPr>
          <w:rFonts w:ascii="inherit" w:hAnsi="inherit"/>
          <w:sz w:val="17"/>
        </w:rPr>
        <w:t>We believe the disclosures made are adequate to prevent the information presented from being misleading. However, the accompanying unaudited consolidated financial statements and related notes should be read in conjunction with the audited financial statements and notes thereto included in our most recent Annual Report on Form 10-K and as updated from time to time in our other filings with the SEC.</w:t>
      </w:r>
    </w:p>
    <w:p>
      <w:pPr>
        <w:pStyle w:val="TextBody"/>
        <w:spacing w:lineRule="auto" w:line="288" w:before="0" w:after="0"/>
        <w:jc w:val="both"/>
        <w:rPr>
          <w:rFonts w:ascii="inherit" w:hAnsi="inherit"/>
          <w:sz w:val="17"/>
        </w:rPr>
      </w:pPr>
      <w:r>
        <w:rPr>
          <w:rFonts w:ascii="inherit" w:hAnsi="inherit"/>
          <w:sz w:val="17"/>
        </w:rPr>
        <w:t>All adjustments (consisting of normal recurring accruals) considered necessary for a fair statement of results for the interim period have been included.</w:t>
      </w:r>
    </w:p>
    <w:p>
      <w:pPr>
        <w:pStyle w:val="TextBody"/>
        <w:spacing w:lineRule="auto" w:line="288" w:before="0" w:after="0"/>
        <w:jc w:val="both"/>
        <w:rPr>
          <w:rFonts w:ascii="inherit" w:hAnsi="inherit"/>
          <w:b/>
          <w:i/>
          <w:sz w:val="17"/>
        </w:rPr>
      </w:pPr>
      <w:r>
        <w:rPr>
          <w:rFonts w:ascii="inherit" w:hAnsi="inherit"/>
          <w:b/>
          <w:i/>
          <w:sz w:val="17"/>
        </w:rPr>
        <w:t>Use of Estimates</w:t>
      </w:r>
    </w:p>
    <w:p>
      <w:pPr>
        <w:pStyle w:val="TextBody"/>
        <w:spacing w:lineRule="auto" w:line="288" w:before="0" w:after="0"/>
        <w:jc w:val="both"/>
        <w:rPr>
          <w:rFonts w:ascii="inherit" w:hAnsi="inherit"/>
          <w:sz w:val="17"/>
        </w:rPr>
      </w:pPr>
      <w:r>
        <w:rPr>
          <w:rFonts w:ascii="inherit" w:hAnsi="inherit"/>
          <w:sz w:val="17"/>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from these estimates.</w:t>
      </w:r>
    </w:p>
    <w:p>
      <w:pPr>
        <w:pStyle w:val="TextBody"/>
        <w:spacing w:lineRule="auto" w:line="288" w:before="0" w:after="0"/>
        <w:jc w:val="both"/>
        <w:rPr>
          <w:sz w:val="17"/>
        </w:rPr>
      </w:pPr>
      <w:r>
        <w:rPr>
          <w:rFonts w:ascii="inherit" w:hAnsi="inherit"/>
          <w:sz w:val="17"/>
        </w:rPr>
        <w:t>Operating results for the three months ended March 31, 2019</w:t>
      </w:r>
      <w:r>
        <w:rPr>
          <w:sz w:val="17"/>
        </w:rPr>
        <w:t xml:space="preserve"> </w:t>
      </w:r>
      <w:r>
        <w:rPr>
          <w:rFonts w:ascii="inherit" w:hAnsi="inherit"/>
          <w:sz w:val="17"/>
        </w:rPr>
        <w:t>are not necessarily indicative of the results that may be expected for the year ending December 31, 2019.</w:t>
      </w:r>
    </w:p>
    <w:p>
      <w:pPr>
        <w:pStyle w:val="TextBody"/>
        <w:spacing w:lineRule="auto" w:line="288" w:before="0" w:after="0"/>
        <w:jc w:val="both"/>
        <w:rPr>
          <w:rFonts w:ascii="inherit" w:hAnsi="inherit"/>
          <w:b/>
          <w:i/>
          <w:sz w:val="17"/>
        </w:rPr>
      </w:pPr>
      <w:r>
        <w:rPr>
          <w:rFonts w:ascii="inherit" w:hAnsi="inherit"/>
          <w:b/>
          <w:i/>
          <w:sz w:val="17"/>
        </w:rPr>
        <w:t>Principles of Consolidation and Non-controlling Interest</w:t>
      </w:r>
    </w:p>
    <w:p>
      <w:pPr>
        <w:pStyle w:val="TextBody"/>
        <w:spacing w:lineRule="auto" w:line="288" w:before="0" w:after="0"/>
        <w:jc w:val="both"/>
        <w:rPr>
          <w:rFonts w:ascii="inherit" w:hAnsi="inherit"/>
          <w:sz w:val="17"/>
        </w:rPr>
      </w:pPr>
      <w:r>
        <w:rPr>
          <w:rFonts w:ascii="inherit" w:hAnsi="inherit"/>
          <w:sz w:val="17"/>
        </w:rPr>
        <w:t xml:space="preserve">The accompanying consolidated Financial Statements include our accounts and the accounts of our Operating Partnership, and the subsidiaries in which we or our Operating Partnership has a controlling interest, which includes a single variable interest entity (“VIE”) where we are the primary beneficiary. All intercompany accounts and transactions have been eliminated in consolidation.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w:t>
      </w:r>
      <w:r>
        <w:br w:type="page"/>
      </w:r>
    </w:p>
    <w:p>
      <w:pPr>
        <w:pStyle w:val="TextBody"/>
        <w:spacing w:lineRule="auto" w:line="288" w:before="0" w:after="0"/>
        <w:jc w:val="left"/>
        <w:rPr/>
      </w:pPr>
      <w:hyperlink w:anchor="s7181E430E8A9506B896277AC8CF177C4">
        <w:r>
          <w:rPr>
            <w:rStyle w:val="InternetLink"/>
            <w:rFonts w:ascii="inherit" w:hAnsi="inherit"/>
            <w:sz w:val="17"/>
          </w:rPr>
          <w:t>Table of Contents</w:t>
        </w:r>
      </w:hyperlink>
    </w:p>
    <w:p>
      <w:pPr>
        <w:pStyle w:val="TextBody"/>
        <w:spacing w:lineRule="auto" w:line="288" w:before="0" w:after="0"/>
        <w:jc w:val="center"/>
        <w:rPr>
          <w:rFonts w:ascii="inherit" w:hAnsi="inherit"/>
          <w:b/>
          <w:sz w:val="18"/>
        </w:rPr>
      </w:pPr>
      <w:r>
        <w:rPr>
          <w:rFonts w:ascii="inherit" w:hAnsi="inherit"/>
          <w:b/>
          <w:sz w:val="18"/>
        </w:rPr>
        <w:t>VICI PROPERTIES INC.</w:t>
      </w:r>
    </w:p>
    <w:p>
      <w:pPr>
        <w:pStyle w:val="TextBody"/>
        <w:spacing w:lineRule="auto" w:line="288" w:before="0" w:after="0"/>
        <w:jc w:val="center"/>
        <w:rPr>
          <w:rFonts w:ascii="inherit" w:hAnsi="inherit"/>
          <w:b/>
          <w:sz w:val="18"/>
        </w:rPr>
      </w:pPr>
      <w:r>
        <w:rPr>
          <w:rFonts w:ascii="inherit" w:hAnsi="inherit"/>
          <w:b/>
          <w:sz w:val="18"/>
        </w:rPr>
        <w:t>NOTES TO CONSOLIDATED FINANCIAL STATEMENTS (Continued)</w:t>
      </w:r>
    </w:p>
    <w:p>
      <w:pPr>
        <w:pStyle w:val="TextBody"/>
        <w:spacing w:lineRule="auto" w:line="288" w:before="0" w:after="0"/>
        <w:jc w:val="center"/>
        <w:rPr>
          <w:rFonts w:ascii="inherit" w:hAnsi="inherit"/>
          <w:b/>
          <w:sz w:val="18"/>
        </w:rPr>
      </w:pPr>
      <w:r>
        <w:rPr>
          <w:rFonts w:ascii="inherit" w:hAnsi="inherit"/>
          <w:b/>
          <w:sz w:val="18"/>
        </w:rPr>
        <w:t>(UNAUDITED)</w:t>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 xml:space="preserve">We consolidate all subsidiaries in which we have a controlling financial interest and VIEs for which we or one of our consolidated subsidiaries is the primary beneficiary. </w:t>
      </w:r>
    </w:p>
    <w:p>
      <w:pPr>
        <w:pStyle w:val="TextBody"/>
        <w:spacing w:lineRule="auto" w:line="288" w:before="0" w:after="0"/>
        <w:jc w:val="both"/>
        <w:rPr>
          <w:sz w:val="17"/>
        </w:rPr>
      </w:pPr>
      <w:r>
        <w:rPr>
          <w:rFonts w:ascii="inherit" w:hAnsi="inherit"/>
          <w:sz w:val="17"/>
        </w:rPr>
        <w:t>We present non-controlling interest and classify such interest as a component of consolidated stockholders’ equity, separate from VICI stockholders’ equity. Our non-controlling interest represents a 20%</w:t>
      </w:r>
      <w:r>
        <w:rPr>
          <w:sz w:val="17"/>
        </w:rPr>
        <w:t> </w:t>
      </w:r>
      <w:r>
        <w:rPr>
          <w:rFonts w:ascii="inherit" w:hAnsi="inherit"/>
          <w:sz w:val="17"/>
        </w:rPr>
        <w:t>third-party ownership of Harrah’s Joliet LandCo LLC, the entity that owns the Harrah’s Joliet facility and is the lessor under the related Joliet Lease Agreement.</w:t>
      </w:r>
    </w:p>
    <w:p>
      <w:pPr>
        <w:pStyle w:val="TextBody"/>
        <w:spacing w:lineRule="auto" w:line="288" w:before="0" w:after="0"/>
        <w:jc w:val="both"/>
        <w:rPr>
          <w:rFonts w:ascii="inherit" w:hAnsi="inherit"/>
          <w:b/>
          <w:i/>
          <w:sz w:val="17"/>
        </w:rPr>
      </w:pPr>
      <w:r>
        <w:rPr>
          <w:rFonts w:ascii="inherit" w:hAnsi="inherit"/>
          <w:b/>
          <w:i/>
          <w:sz w:val="17"/>
        </w:rPr>
        <w:t>Cash, Cash Equivalents and Restricted Cash</w:t>
      </w:r>
    </w:p>
    <w:p>
      <w:pPr>
        <w:pStyle w:val="TextBody"/>
        <w:spacing w:lineRule="auto" w:line="288" w:before="0" w:after="0"/>
        <w:jc w:val="both"/>
        <w:rPr>
          <w:rFonts w:ascii="inherit" w:hAnsi="inherit"/>
          <w:sz w:val="17"/>
        </w:rPr>
      </w:pPr>
      <w:r>
        <w:rPr>
          <w:rFonts w:ascii="inherit" w:hAnsi="inherit"/>
          <w:sz w:val="17"/>
        </w:rPr>
        <w:t>Cash consists of cash-on-hand and cash-in-bank. Any investments with an original maturity of three months or less from the date of purchase are considered cash equivalents and are stated at the lower of cost or market value. Investments with an original maturity of greater than three months and less than one year from the date of purchase are considered short-term investments and are stated at fair value.</w:t>
      </w:r>
    </w:p>
    <w:p>
      <w:pPr>
        <w:pStyle w:val="TextBody"/>
        <w:spacing w:lineRule="auto" w:line="288" w:before="0" w:after="0"/>
        <w:jc w:val="both"/>
        <w:rPr>
          <w:rFonts w:ascii="inherit" w:hAnsi="inherit"/>
          <w:sz w:val="17"/>
        </w:rPr>
      </w:pPr>
      <w:r>
        <w:rPr>
          <w:rFonts w:ascii="inherit" w:hAnsi="inherit"/>
          <w:sz w:val="17"/>
        </w:rPr>
        <w:t>Restricted cash was primarily comprised of funds paid by us into a restricted account for a lender required furniture, fixtures and equipment (“FF&amp;E”) replacement reserve. Pursuant to the amended CMBS Loan Agreement we are required to fund into escrow certain amounts to be used for FF&amp;E replacement should Caesars vacate the property and remove the FF&amp;E upon exit.</w:t>
      </w:r>
    </w:p>
    <w:p>
      <w:pPr>
        <w:pStyle w:val="TextBody"/>
        <w:spacing w:lineRule="auto" w:line="288" w:before="0" w:after="0"/>
        <w:jc w:val="both"/>
        <w:rPr>
          <w:rFonts w:ascii="inherit" w:hAnsi="inherit"/>
          <w:sz w:val="17"/>
        </w:rPr>
      </w:pPr>
      <w:r>
        <w:rPr>
          <w:rFonts w:ascii="inherit" w:hAnsi="inherit"/>
          <w:sz w:val="17"/>
        </w:rPr>
        <w:t>The following table provides a reconciliation of cash, cash equivalents and restricted cash reported on the Balance Sheet to the total of the same such amounts presented in the Statement of Cash Flows.</w:t>
      </w:r>
    </w:p>
    <w:tbl>
      <w:tblPr>
        <w:tblW w:w="9716" w:type="dxa"/>
        <w:jc w:val="center"/>
        <w:tblInd w:w="0" w:type="dxa"/>
        <w:tblCellMar>
          <w:top w:w="0" w:type="dxa"/>
          <w:left w:w="0" w:type="dxa"/>
          <w:bottom w:w="0" w:type="dxa"/>
          <w:right w:w="0" w:type="dxa"/>
        </w:tblCellMar>
      </w:tblPr>
      <w:tblGrid>
        <w:gridCol w:w="7265"/>
        <w:gridCol w:w="172"/>
        <w:gridCol w:w="960"/>
        <w:gridCol w:w="41"/>
        <w:gridCol w:w="90"/>
        <w:gridCol w:w="171"/>
        <w:gridCol w:w="956"/>
        <w:gridCol w:w="61"/>
      </w:tblGrid>
      <w:tr>
        <w:trPr/>
        <w:tc>
          <w:tcPr>
            <w:tcW w:w="9716" w:type="dxa"/>
            <w:gridSpan w:val="8"/>
            <w:tcBorders/>
            <w:shd w:fill="auto" w:val="clear"/>
            <w:vAlign w:val="center"/>
          </w:tcPr>
          <w:p>
            <w:pPr>
              <w:pStyle w:val="TableContents"/>
              <w:spacing w:before="0" w:after="283"/>
              <w:rPr>
                <w:sz w:val="4"/>
                <w:szCs w:val="4"/>
              </w:rPr>
            </w:pPr>
            <w:r>
              <w:rPr>
                <w:sz w:val="4"/>
                <w:szCs w:val="4"/>
              </w:rPr>
            </w:r>
          </w:p>
        </w:tc>
      </w:tr>
      <w:tr>
        <w:trPr/>
        <w:tc>
          <w:tcPr>
            <w:tcW w:w="726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4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265" w:type="dxa"/>
            <w:tcBorders/>
            <w:shd w:fill="auto" w:val="clear"/>
            <w:vAlign w:val="center"/>
          </w:tcPr>
          <w:p>
            <w:pPr>
              <w:pStyle w:val="TableContents"/>
              <w:spacing w:before="0" w:after="0"/>
              <w:ind w:left="0" w:right="0" w:firstLine="30"/>
              <w:jc w:val="left"/>
              <w:rPr>
                <w:rFonts w:ascii="inherit" w:hAnsi="inherit"/>
                <w:b/>
                <w:i/>
                <w:sz w:val="15"/>
                <w:u w:val="single"/>
              </w:rPr>
            </w:pPr>
            <w:r>
              <w:rPr>
                <w:rFonts w:ascii="inherit" w:hAnsi="inherit"/>
                <w:b/>
                <w:i/>
                <w:sz w:val="15"/>
                <w:u w:val="single"/>
              </w:rPr>
              <w:t>(In thousands)</w:t>
            </w:r>
          </w:p>
        </w:tc>
        <w:tc>
          <w:tcPr>
            <w:tcW w:w="117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4"/>
              </w:rPr>
            </w:pPr>
            <w:r>
              <w:rPr>
                <w:rFonts w:ascii="inherit" w:hAnsi="inherit"/>
                <w:b/>
                <w:sz w:val="14"/>
              </w:rPr>
              <w:t>March 31, 2019</w:t>
            </w:r>
          </w:p>
        </w:tc>
        <w:tc>
          <w:tcPr>
            <w:tcW w:w="90" w:type="dxa"/>
            <w:tcBorders/>
            <w:shd w:fill="auto" w:val="clear"/>
            <w:vAlign w:val="center"/>
          </w:tcPr>
          <w:p>
            <w:pPr>
              <w:pStyle w:val="TableContents"/>
              <w:spacing w:before="0" w:after="0"/>
              <w:ind w:left="0" w:right="0" w:firstLine="30"/>
              <w:rPr/>
            </w:pPr>
            <w:r>
              <w:rPr/>
              <w:t> </w:t>
            </w:r>
          </w:p>
        </w:tc>
        <w:tc>
          <w:tcPr>
            <w:tcW w:w="118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4"/>
              </w:rPr>
            </w:pPr>
            <w:r>
              <w:rPr>
                <w:rFonts w:ascii="inherit" w:hAnsi="inherit"/>
                <w:b/>
                <w:sz w:val="14"/>
              </w:rPr>
              <w:t>March 31, 2018</w:t>
            </w:r>
          </w:p>
        </w:tc>
      </w:tr>
      <w:tr>
        <w:trPr/>
        <w:tc>
          <w:tcPr>
            <w:tcW w:w="72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72"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96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598,276</w:t>
            </w:r>
          </w:p>
        </w:tc>
        <w:tc>
          <w:tcPr>
            <w:tcW w:w="4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1"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956"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918,215</w:t>
            </w:r>
          </w:p>
        </w:tc>
        <w:tc>
          <w:tcPr>
            <w:tcW w:w="6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2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Restricted cash</w:t>
            </w:r>
          </w:p>
        </w:tc>
        <w:tc>
          <w:tcPr>
            <w:tcW w:w="113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24,366</w:t>
            </w:r>
          </w:p>
        </w:tc>
        <w:tc>
          <w:tcPr>
            <w:tcW w:w="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2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13,808</w:t>
            </w:r>
          </w:p>
        </w:tc>
        <w:tc>
          <w:tcPr>
            <w:tcW w:w="6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2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cash, cash equivalents and restricted cash shown in the Statement of Cash Flows</w:t>
            </w:r>
          </w:p>
        </w:tc>
        <w:tc>
          <w:tcPr>
            <w:tcW w:w="17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622,642</w:t>
            </w:r>
          </w:p>
        </w:tc>
        <w:tc>
          <w:tcPr>
            <w:tcW w:w="4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932,023</w:t>
            </w:r>
          </w:p>
        </w:tc>
        <w:tc>
          <w:tcPr>
            <w:tcW w:w="6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both"/>
        <w:rPr>
          <w:rFonts w:ascii="inherit" w:hAnsi="inherit"/>
          <w:b/>
          <w:i/>
          <w:sz w:val="17"/>
        </w:rPr>
      </w:pPr>
      <w:r>
        <w:rPr>
          <w:rFonts w:ascii="inherit" w:hAnsi="inherit"/>
          <w:b/>
          <w:i/>
          <w:sz w:val="17"/>
        </w:rPr>
        <w:t>Short-Term Investments</w:t>
      </w:r>
    </w:p>
    <w:p>
      <w:pPr>
        <w:pStyle w:val="TextBody"/>
        <w:spacing w:lineRule="auto" w:line="288" w:before="0" w:after="0"/>
        <w:jc w:val="both"/>
        <w:rPr>
          <w:sz w:val="17"/>
        </w:rPr>
      </w:pPr>
      <w:r>
        <w:rPr>
          <w:rFonts w:ascii="inherit" w:hAnsi="inherit"/>
          <w:sz w:val="17"/>
        </w:rPr>
        <w:t>We generally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between 91 and 120 days and are accounted for as available for sale securities. As of March 31, 2019, and December 31, 2018, we had $356.9 million</w:t>
      </w:r>
      <w:r>
        <w:rPr>
          <w:sz w:val="17"/>
        </w:rPr>
        <w:t xml:space="preserve"> </w:t>
      </w:r>
      <w:r>
        <w:rPr>
          <w:rFonts w:ascii="inherit" w:hAnsi="inherit"/>
          <w:sz w:val="17"/>
        </w:rPr>
        <w:t>and $520.9 million</w:t>
      </w:r>
      <w:r>
        <w:rPr>
          <w:sz w:val="17"/>
        </w:rPr>
        <w:t xml:space="preserve"> </w:t>
      </w:r>
      <w:r>
        <w:rPr>
          <w:rFonts w:ascii="inherit" w:hAnsi="inherit"/>
          <w:sz w:val="17"/>
        </w:rPr>
        <w:t>of short-term investments.</w:t>
      </w:r>
    </w:p>
    <w:p>
      <w:pPr>
        <w:pStyle w:val="TextBody"/>
        <w:spacing w:lineRule="auto" w:line="288" w:before="0" w:after="0"/>
        <w:jc w:val="both"/>
        <w:rPr>
          <w:rFonts w:ascii="inherit" w:hAnsi="inherit"/>
          <w:b/>
          <w:i/>
          <w:sz w:val="17"/>
        </w:rPr>
      </w:pPr>
      <w:r>
        <w:rPr>
          <w:rFonts w:ascii="inherit" w:hAnsi="inherit"/>
          <w:b/>
          <w:i/>
          <w:sz w:val="17"/>
        </w:rPr>
        <w:t xml:space="preserve">Fair Value Measurements </w:t>
      </w:r>
    </w:p>
    <w:p>
      <w:pPr>
        <w:pStyle w:val="TextBody"/>
        <w:spacing w:lineRule="auto" w:line="288" w:before="0" w:after="0"/>
        <w:jc w:val="both"/>
        <w:rPr>
          <w:rFonts w:ascii="inherit" w:hAnsi="inherit"/>
          <w:sz w:val="17"/>
        </w:rPr>
      </w:pPr>
      <w:r>
        <w:rPr>
          <w:rFonts w:ascii="inherit" w:hAnsi="inherit"/>
          <w:sz w:val="17"/>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pStyle w:val="TextBody"/>
        <w:spacing w:lineRule="auto" w:line="288" w:before="0" w:after="0"/>
        <w:jc w:val="both"/>
        <w:rPr>
          <w:sz w:val="17"/>
        </w:rPr>
      </w:pPr>
      <w:r>
        <w:rPr>
          <w:rFonts w:ascii="inherit" w:hAnsi="inherit"/>
          <w:sz w:val="17"/>
        </w:rPr>
        <w:t>Refer to Note 10</w:t>
      </w:r>
      <w:r>
        <w:rPr>
          <w:sz w:val="17"/>
        </w:rPr>
        <w:t xml:space="preserve"> </w:t>
      </w:r>
      <w:r>
        <w:rPr>
          <w:rFonts w:ascii="inherit" w:hAnsi="inherit"/>
          <w:sz w:val="10"/>
        </w:rPr>
        <w:t xml:space="preserve">- </w:t>
      </w:r>
      <w:r>
        <w:rPr>
          <w:rFonts w:ascii="inherit" w:hAnsi="inherit"/>
          <w:sz w:val="17"/>
        </w:rPr>
        <w:t>Fair Value</w:t>
      </w:r>
      <w:r>
        <w:rPr>
          <w:sz w:val="17"/>
        </w:rPr>
        <w:t xml:space="preserve"> </w:t>
      </w:r>
      <w:r>
        <w:rPr>
          <w:rFonts w:ascii="inherit" w:hAnsi="inherit"/>
          <w:sz w:val="17"/>
        </w:rPr>
        <w:t xml:space="preserve">for further information. </w:t>
      </w:r>
    </w:p>
    <w:p>
      <w:pPr>
        <w:pStyle w:val="TextBody"/>
        <w:spacing w:lineRule="auto" w:line="288" w:before="0" w:after="0"/>
        <w:jc w:val="both"/>
        <w:rPr>
          <w:rFonts w:ascii="inherit" w:hAnsi="inherit"/>
          <w:b/>
          <w:i/>
          <w:sz w:val="17"/>
        </w:rPr>
      </w:pPr>
      <w:r>
        <w:rPr>
          <w:rFonts w:ascii="inherit" w:hAnsi="inherit"/>
          <w:b/>
          <w:i/>
          <w:sz w:val="17"/>
        </w:rPr>
        <w:t xml:space="preserve">Derivative Financial Instruments </w:t>
      </w:r>
    </w:p>
    <w:p>
      <w:pPr>
        <w:pStyle w:val="TextBody"/>
        <w:spacing w:lineRule="auto" w:line="288" w:before="0" w:after="0"/>
        <w:jc w:val="both"/>
        <w:rPr>
          <w:rFonts w:ascii="inherit" w:hAnsi="inherit"/>
          <w:sz w:val="17"/>
        </w:rPr>
      </w:pPr>
      <w:r>
        <w:rPr>
          <w:rFonts w:ascii="inherit" w:hAnsi="inherit"/>
          <w:sz w:val="17"/>
        </w:rPr>
        <w:t>We record our derivative financial instruments as either Other assets or Other liabilities on our Balance Sheets at fair value.</w:t>
      </w:r>
    </w:p>
    <w:p>
      <w:pPr>
        <w:pStyle w:val="TextBody"/>
        <w:spacing w:lineRule="auto" w:line="288" w:before="0" w:after="0"/>
        <w:jc w:val="both"/>
        <w:rPr>
          <w:rFonts w:ascii="inherit" w:hAnsi="inherit"/>
          <w:sz w:val="17"/>
        </w:rPr>
      </w:pPr>
      <w:r>
        <w:rPr>
          <w:rFonts w:ascii="inherit" w:hAnsi="inherit"/>
          <w:sz w:val="17"/>
        </w:rPr>
        <w:t>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risk management objectives, strategy for undertaking the hedge transaction and our evaluation of the effectiveness of its hedged transaction.</w:t>
      </w:r>
    </w:p>
    <w:p>
      <w:pPr>
        <w:pStyle w:val="TextBody"/>
        <w:spacing w:lineRule="auto" w:line="288" w:before="0" w:after="0"/>
        <w:jc w:val="both"/>
        <w:rPr>
          <w:rFonts w:ascii="inherit" w:hAnsi="inherit"/>
          <w:sz w:val="17"/>
        </w:rPr>
      </w:pPr>
      <w:r>
        <w:rPr>
          <w:rFonts w:ascii="inherit" w:hAnsi="inherit"/>
          <w:sz w:val="17"/>
        </w:rPr>
        <w:t xml:space="preserve">On a quarterly basis, we also assess whether the derivative we designated in each hedging relationship is expected to be, and has been, highly effective in offsetting changes in the value or cash flows of the hedged items. If it is determined that a derivative is not highly effective at hedging the designated exposure, hedge accounting is discontinued and the changes in fair value of the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w:t>
      </w:r>
      <w:r>
        <w:br w:type="page"/>
      </w:r>
    </w:p>
    <w:p>
      <w:pPr>
        <w:pStyle w:val="TextBody"/>
        <w:spacing w:lineRule="auto" w:line="288" w:before="0" w:after="0"/>
        <w:jc w:val="left"/>
        <w:rPr/>
      </w:pPr>
      <w:hyperlink w:anchor="s7181E430E8A9506B896277AC8CF177C4">
        <w:r>
          <w:rPr>
            <w:rStyle w:val="InternetLink"/>
            <w:rFonts w:ascii="inherit" w:hAnsi="inherit"/>
            <w:sz w:val="17"/>
          </w:rPr>
          <w:t>Table of Contents</w:t>
        </w:r>
      </w:hyperlink>
    </w:p>
    <w:p>
      <w:pPr>
        <w:pStyle w:val="TextBody"/>
        <w:spacing w:lineRule="auto" w:line="288" w:before="0" w:after="0"/>
        <w:jc w:val="center"/>
        <w:rPr>
          <w:rFonts w:ascii="inherit" w:hAnsi="inherit"/>
          <w:b/>
          <w:sz w:val="18"/>
        </w:rPr>
      </w:pPr>
      <w:r>
        <w:rPr>
          <w:rFonts w:ascii="inherit" w:hAnsi="inherit"/>
          <w:b/>
          <w:sz w:val="18"/>
        </w:rPr>
        <w:t>VICI PROPERTIES INC.</w:t>
      </w:r>
    </w:p>
    <w:p>
      <w:pPr>
        <w:pStyle w:val="TextBody"/>
        <w:spacing w:lineRule="auto" w:line="288" w:before="0" w:after="0"/>
        <w:jc w:val="center"/>
        <w:rPr>
          <w:rFonts w:ascii="inherit" w:hAnsi="inherit"/>
          <w:b/>
          <w:sz w:val="18"/>
        </w:rPr>
      </w:pPr>
      <w:r>
        <w:rPr>
          <w:rFonts w:ascii="inherit" w:hAnsi="inherit"/>
          <w:b/>
          <w:sz w:val="18"/>
        </w:rPr>
        <w:t>NOTES TO CONSOLIDATED FINANCIAL STATEMENTS (Continued)</w:t>
      </w:r>
    </w:p>
    <w:p>
      <w:pPr>
        <w:pStyle w:val="TextBody"/>
        <w:spacing w:lineRule="auto" w:line="288" w:before="0" w:after="0"/>
        <w:jc w:val="center"/>
        <w:rPr>
          <w:rFonts w:ascii="inherit" w:hAnsi="inherit"/>
          <w:b/>
          <w:sz w:val="18"/>
        </w:rPr>
      </w:pPr>
      <w:r>
        <w:rPr>
          <w:rFonts w:ascii="inherit" w:hAnsi="inherit"/>
          <w:b/>
          <w:sz w:val="18"/>
        </w:rPr>
        <w:t>(UNAUDITED)</w:t>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 xml:space="preserve">instrument are included in net income prospectively. If the hedge relationship is terminated, then the value of the derivative is recorded in Accumulated other comprehensive income and recognized in earnings when the cash flows that were hedged affect earnings. Changes in the fair value of our derivative instruments that qualify as hedges are reported as a component of Accumulated other comprehensive income on our consolidated financial statements. </w:t>
      </w:r>
    </w:p>
    <w:p>
      <w:pPr>
        <w:pStyle w:val="TextBody"/>
        <w:spacing w:lineRule="auto" w:line="288" w:before="0" w:after="0"/>
        <w:jc w:val="both"/>
        <w:rPr>
          <w:rFonts w:ascii="inherit" w:hAnsi="inherit"/>
          <w:sz w:val="17"/>
        </w:rPr>
      </w:pPr>
      <w:r>
        <w:rPr>
          <w:rFonts w:ascii="inherit" w:hAnsi="inherit"/>
          <w:sz w:val="17"/>
        </w:rPr>
        <w:t>We use derivative instruments to mitigate the effects of interest rate volatility inherent in our variable rate debt, which could unfavorably impact our future earnings and forecasted cash flows. We do not use derivative instruments for speculative or trading purposes.</w:t>
      </w:r>
    </w:p>
    <w:p>
      <w:pPr>
        <w:pStyle w:val="TextBody"/>
        <w:spacing w:lineRule="auto" w:line="288" w:before="0" w:after="0"/>
        <w:jc w:val="both"/>
        <w:rPr>
          <w:rFonts w:ascii="inherit" w:hAnsi="inherit"/>
          <w:b/>
          <w:i/>
          <w:sz w:val="17"/>
        </w:rPr>
      </w:pPr>
      <w:r>
        <w:rPr>
          <w:rFonts w:ascii="inherit" w:hAnsi="inherit"/>
          <w:b/>
          <w:i/>
          <w:sz w:val="17"/>
        </w:rPr>
        <w:t>Investments in Direct Financing and Sales-Type Leases, Net</w:t>
      </w:r>
    </w:p>
    <w:p>
      <w:pPr>
        <w:pStyle w:val="TextBody"/>
        <w:spacing w:lineRule="auto" w:line="288" w:before="0" w:after="0"/>
        <w:jc w:val="both"/>
        <w:rPr>
          <w:rFonts w:ascii="inherit" w:hAnsi="inherit"/>
          <w:sz w:val="17"/>
        </w:rPr>
      </w:pPr>
      <w:r>
        <w:rPr>
          <w:rFonts w:ascii="inherit" w:hAnsi="inherit"/>
          <w:sz w:val="17"/>
        </w:rPr>
        <w:t xml:space="preserve">We account for our investments in leases under ASC 842 “Leases” (“ASC 842”), which we adopted on January 1, 2019. Upon lease inception or lease modification, we assess lease classification to determine whether the lease should be classified as a direct financing, sales-type or operating lease. As required by ASC 842, we separately assess the land and building components of the property to determine the classification of each component, unless the impact of doing so is immaterial. If the lease component is determined to be a direct financing or sales-type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upon execution of the lease or deferred and recognized over the life of the lease, depending on the classification of the lease. Due to the nature of our assets, the net investment in the lease is generally equal to the purchase price of the asset, and the land and building components of an investment generally have the same lease classification. </w:t>
      </w:r>
    </w:p>
    <w:p>
      <w:pPr>
        <w:pStyle w:val="TextBody"/>
        <w:spacing w:lineRule="auto" w:line="288" w:before="0" w:after="0"/>
        <w:jc w:val="both"/>
        <w:rPr>
          <w:rFonts w:ascii="inherit" w:hAnsi="inherit"/>
          <w:sz w:val="17"/>
        </w:rPr>
      </w:pPr>
      <w:r>
        <w:rPr>
          <w:rFonts w:ascii="inherit" w:hAnsi="inherit"/>
          <w:sz w:val="17"/>
        </w:rPr>
        <w:t xml:space="preserve">For leases determined to be sales-type leases, we further assess to determine whether the transaction is considered a sale leaseback transaction. If we determine that the lease meets the definition for a sale leaseback transaction, the lease is considered a financing receivable and is recognized in accordance with ASC 310 “Receivables” (“ASC 310”). We currently do not have any lease investments that are accounted for as financing receivables under ASC 310. </w:t>
      </w:r>
    </w:p>
    <w:p>
      <w:pPr>
        <w:pStyle w:val="TextBody"/>
        <w:spacing w:lineRule="auto" w:line="288" w:before="0" w:after="0"/>
        <w:jc w:val="both"/>
        <w:rPr>
          <w:rFonts w:ascii="inherit" w:hAnsi="inherit"/>
          <w:sz w:val="17"/>
        </w:rPr>
      </w:pPr>
      <w:r>
        <w:rPr>
          <w:rFonts w:ascii="inherit" w:hAnsi="inherit"/>
          <w:sz w:val="17"/>
        </w:rPr>
        <w:t>Upon adoption of ASC 842, we made an accounting policy election to use a package of practical expedients that, among other things, allow us to not reassess prior lease classifications or initial direct costs for leases that existed as of the balance sheet date. As such, we have not reassessed the classification of our Caesars Lease Agreements, as these leases existed prior to our adoption of ASC 842.</w:t>
      </w:r>
    </w:p>
    <w:p>
      <w:pPr>
        <w:pStyle w:val="TextBody"/>
        <w:spacing w:lineRule="auto" w:line="288" w:before="0" w:after="0"/>
        <w:jc w:val="both"/>
        <w:rPr>
          <w:rFonts w:ascii="inherit" w:hAnsi="inherit"/>
          <w:sz w:val="17"/>
        </w:rPr>
      </w:pPr>
      <w:r>
        <w:rPr>
          <w:rFonts w:ascii="inherit" w:hAnsi="inherit"/>
          <w:sz w:val="17"/>
        </w:rPr>
        <w:t>We determined that the land and building components of the Margaritaville Lease Agreement meet the definition of a sales-type lease. The Caesars Lease Agreements continue to be accounted for as direct financing leases and are included within Investments in direct financing and sales-type leases on the Balance Sheet, with the exception of the land component of Caesars Palace Las Vegas which was determined to be an operating lease and is included in Investments in operating leases on the Balance Sheet. The income recognition for our direct financing leases recognized under ASC 840 is consistent with the income recognition for our sales-type lease under ASC 842.</w:t>
      </w:r>
    </w:p>
    <w:p>
      <w:pPr>
        <w:pStyle w:val="TextBody"/>
        <w:spacing w:lineRule="auto" w:line="288" w:before="0" w:after="0"/>
        <w:jc w:val="both"/>
        <w:rPr>
          <w:rFonts w:ascii="inherit" w:hAnsi="inherit"/>
          <w:b/>
          <w:i/>
          <w:sz w:val="17"/>
        </w:rPr>
      </w:pPr>
      <w:r>
        <w:rPr>
          <w:rFonts w:ascii="inherit" w:hAnsi="inherit"/>
          <w:b/>
          <w:i/>
          <w:sz w:val="17"/>
        </w:rPr>
        <w:t>Income from Leases</w:t>
      </w:r>
    </w:p>
    <w:p>
      <w:pPr>
        <w:pStyle w:val="TextBody"/>
        <w:spacing w:lineRule="auto" w:line="288" w:before="0" w:after="0"/>
        <w:jc w:val="both"/>
        <w:rPr>
          <w:rFonts w:ascii="inherit" w:hAnsi="inherit"/>
          <w:sz w:val="17"/>
        </w:rPr>
      </w:pPr>
      <w:r>
        <w:rPr>
          <w:rFonts w:ascii="inherit" w:hAnsi="inherit"/>
          <w:sz w:val="17"/>
        </w:rPr>
        <w:t xml:space="preserve">We recognize the related income from our direct financing and sales-type leases on an effective interest basis at a constant rate of return over the terms of the applicable leases. As a result, the cash payments accounted for under direct financing and sales-type leases will not equal income from our Lease Agreements. Rather, a portion of the cash rent we receive is recorded as Income from direct financing and sales-type leases in our Statement of Operations and a portion is recorded as a change to Investments in direct financing and sales-type leases, net. </w:t>
      </w:r>
    </w:p>
    <w:p>
      <w:pPr>
        <w:pStyle w:val="TextBody"/>
        <w:spacing w:lineRule="auto" w:line="288" w:before="0" w:after="0"/>
        <w:jc w:val="both"/>
        <w:rPr>
          <w:rFonts w:ascii="inherit" w:hAnsi="inherit"/>
          <w:sz w:val="17"/>
        </w:rPr>
      </w:pPr>
      <w:r>
        <w:rPr>
          <w:rFonts w:ascii="inherit" w:hAnsi="inherit"/>
          <w:sz w:val="17"/>
        </w:rPr>
        <w:t xml:space="preserve">Under ASC 840, we determined that the land component of Caesars Palace Las Vegas was greater than 25% of the overall fair value of the combined land and building components. At lease inception the land was determined to be an operating lease and we record the related income on a straight-line basis over the lease term. The amount of annual minimum lease payments attributable to the land element after deducting executory costs, including any profit thereon, is determined by applying the lessee’s incremental borrowing rate to the value of the land. Revenue from this lease is recorded as Income from operating leases in our Statement of Operations. </w:t>
      </w:r>
    </w:p>
    <w:p>
      <w:pPr>
        <w:pStyle w:val="TextBody"/>
        <w:spacing w:lineRule="auto" w:line="288" w:before="0" w:after="0"/>
        <w:jc w:val="both"/>
        <w:rPr>
          <w:rFonts w:ascii="inherit" w:hAnsi="inherit"/>
          <w:sz w:val="17"/>
        </w:rPr>
      </w:pPr>
      <w:r>
        <w:rPr>
          <w:rFonts w:ascii="inherit" w:hAnsi="inherit"/>
          <w:sz w:val="17"/>
        </w:rPr>
        <w:t>Initial direct costs incurred in connection with entering into lease agreements are included in the balance of the net investment in lease. In relation to direct financing and sales-type leases,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10</w:t>
      </w:r>
      <w:r>
        <w:br w:type="page"/>
      </w:r>
    </w:p>
    <w:p>
      <w:pPr>
        <w:pStyle w:val="TextBody"/>
        <w:spacing w:lineRule="auto" w:line="288" w:before="0" w:after="0"/>
        <w:jc w:val="left"/>
        <w:rPr/>
      </w:pPr>
      <w:hyperlink w:anchor="s7181E430E8A9506B896277AC8CF177C4">
        <w:r>
          <w:rPr>
            <w:rStyle w:val="InternetLink"/>
            <w:rFonts w:ascii="inherit" w:hAnsi="inherit"/>
            <w:sz w:val="17"/>
          </w:rPr>
          <w:t>Table of Contents</w:t>
        </w:r>
      </w:hyperlink>
    </w:p>
    <w:p>
      <w:pPr>
        <w:pStyle w:val="TextBody"/>
        <w:spacing w:lineRule="auto" w:line="288" w:before="0" w:after="0"/>
        <w:jc w:val="center"/>
        <w:rPr>
          <w:rFonts w:ascii="inherit" w:hAnsi="inherit"/>
          <w:b/>
          <w:sz w:val="18"/>
        </w:rPr>
      </w:pPr>
      <w:r>
        <w:rPr>
          <w:rFonts w:ascii="inherit" w:hAnsi="inherit"/>
          <w:b/>
          <w:sz w:val="18"/>
        </w:rPr>
        <w:t>VICI PROPERTIES INC.</w:t>
      </w:r>
    </w:p>
    <w:p>
      <w:pPr>
        <w:pStyle w:val="TextBody"/>
        <w:spacing w:lineRule="auto" w:line="288" w:before="0" w:after="0"/>
        <w:jc w:val="center"/>
        <w:rPr>
          <w:rFonts w:ascii="inherit" w:hAnsi="inherit"/>
          <w:b/>
          <w:sz w:val="18"/>
        </w:rPr>
      </w:pPr>
      <w:r>
        <w:rPr>
          <w:rFonts w:ascii="inherit" w:hAnsi="inherit"/>
          <w:b/>
          <w:sz w:val="18"/>
        </w:rPr>
        <w:t>NOTES TO CONSOLIDATED FINANCIAL STATEMENTS (Continued)</w:t>
      </w:r>
    </w:p>
    <w:p>
      <w:pPr>
        <w:pStyle w:val="TextBody"/>
        <w:spacing w:lineRule="auto" w:line="288" w:before="0" w:after="0"/>
        <w:jc w:val="center"/>
        <w:rPr>
          <w:rFonts w:ascii="inherit" w:hAnsi="inherit"/>
          <w:b/>
          <w:sz w:val="18"/>
        </w:rPr>
      </w:pPr>
      <w:r>
        <w:rPr>
          <w:rFonts w:ascii="inherit" w:hAnsi="inherit"/>
          <w:b/>
          <w:sz w:val="18"/>
        </w:rPr>
        <w:t>(UNAUDITED)</w:t>
      </w:r>
    </w:p>
    <w:p>
      <w:pPr>
        <w:pStyle w:val="TextBody"/>
        <w:spacing w:before="0" w:after="0"/>
        <w:rPr/>
      </w:pPr>
      <w:r>
        <w:rPr/>
      </w:r>
    </w:p>
    <w:p>
      <w:pPr>
        <w:pStyle w:val="TextBody"/>
        <w:spacing w:lineRule="auto" w:line="288" w:before="0" w:after="0"/>
        <w:jc w:val="both"/>
        <w:rPr>
          <w:rFonts w:ascii="inherit" w:hAnsi="inherit"/>
          <w:b/>
          <w:i/>
          <w:sz w:val="17"/>
        </w:rPr>
      </w:pPr>
      <w:r>
        <w:rPr>
          <w:rFonts w:ascii="inherit" w:hAnsi="inherit"/>
          <w:b/>
          <w:i/>
          <w:sz w:val="17"/>
        </w:rPr>
        <w:t>Impairment</w:t>
      </w:r>
    </w:p>
    <w:p>
      <w:pPr>
        <w:pStyle w:val="TextBody"/>
        <w:spacing w:lineRule="auto" w:line="288" w:before="0" w:after="0"/>
        <w:jc w:val="both"/>
        <w:rPr>
          <w:rFonts w:ascii="inherit" w:hAnsi="inherit"/>
          <w:sz w:val="17"/>
        </w:rPr>
      </w:pPr>
      <w:r>
        <w:rPr>
          <w:rFonts w:ascii="inherit" w:hAnsi="inherit"/>
          <w:sz w:val="17"/>
        </w:rPr>
        <w:t xml:space="preserve">We assess our investments in operating leases, land and property and equipment used in operations for impairment under ASC 360 “Property, Plant and Equipment” (“ASC 360”) on a quarterly basis or whenever certain events or changes in circumstances indicate a possible impairment of the carrying value of the asset. Events or circumstances that may occur include changes in management’s intended holding period or potential sale to a third party, significant changes in real estate market conditions or tenant financial difficulties resulting in non-payment of the lease. We assess our investments in direct financing and sales-type leases for impairment evaluation for impairment under ASC 310. Under ASC 310, the net investment in the lease is identified for impairment when it becomes probable that we will be unable to collect all rental payments associated with our investment in the lease. </w:t>
      </w:r>
    </w:p>
    <w:p>
      <w:pPr>
        <w:pStyle w:val="TextBody"/>
        <w:spacing w:lineRule="auto" w:line="288" w:before="0" w:after="0"/>
        <w:jc w:val="both"/>
        <w:rPr>
          <w:rFonts w:ascii="inherit" w:hAnsi="inherit"/>
          <w:sz w:val="17"/>
        </w:rPr>
      </w:pPr>
      <w:r>
        <w:rPr>
          <w:rFonts w:ascii="inherit" w:hAnsi="inherit"/>
          <w:sz w:val="17"/>
        </w:rPr>
        <w:t>Impairments are measured as the amount by which the current book value of the asset exceeds the estimated fair value of the asset. With respect to estimated expected future cash flows for determining whether an asset is impaired, assets are grouped at the lowest level of identifiable cash flows.</w:t>
      </w:r>
    </w:p>
    <w:p>
      <w:pPr>
        <w:pStyle w:val="TextBody"/>
        <w:spacing w:lineRule="auto" w:line="288" w:before="0" w:after="0"/>
        <w:jc w:val="both"/>
        <w:rPr>
          <w:rFonts w:ascii="inherit" w:hAnsi="inherit"/>
          <w:b/>
          <w:i/>
          <w:sz w:val="17"/>
        </w:rPr>
      </w:pPr>
      <w:r>
        <w:rPr>
          <w:rFonts w:ascii="inherit" w:hAnsi="inherit"/>
          <w:b/>
          <w:i/>
          <w:sz w:val="17"/>
        </w:rPr>
        <w:t xml:space="preserve">Concentrations of Credit Risk </w:t>
      </w:r>
    </w:p>
    <w:p>
      <w:pPr>
        <w:pStyle w:val="TextBody"/>
        <w:spacing w:lineRule="auto" w:line="288" w:before="0" w:after="0"/>
        <w:jc w:val="both"/>
        <w:rPr>
          <w:sz w:val="17"/>
        </w:rPr>
      </w:pPr>
      <w:r>
        <w:rPr>
          <w:rFonts w:ascii="inherit" w:hAnsi="inherit"/>
          <w:sz w:val="17"/>
        </w:rPr>
        <w:t>All of our real estate holdings (other than the Margaritaville Resort Casino, which is leased to Penn National, and VICI Golf, which is owned and operated by us) are currently leased by us to CEOC or other affiliates of Caesars, and most of our revenues are derived from the Lease Agreements that we have with CEOC or other affiliates of Caesars. Additionally, our properties on the Las Vegas Strip generated approximately 34%</w:t>
      </w:r>
      <w:r>
        <w:rPr>
          <w:sz w:val="17"/>
        </w:rPr>
        <w:t xml:space="preserve"> </w:t>
      </w:r>
      <w:r>
        <w:rPr>
          <w:rFonts w:ascii="inherit" w:hAnsi="inherit"/>
          <w:sz w:val="17"/>
        </w:rPr>
        <w:t>of our lease revenue for the quarter ended March 31, 2019. Other than having a single tenant from which we will derive most of our revenue and our concentration in the Las Vegas market, we do not believe there are any other significant concentrations of credit risk.</w:t>
      </w:r>
    </w:p>
    <w:p>
      <w:pPr>
        <w:pStyle w:val="TextBody"/>
        <w:spacing w:lineRule="auto" w:line="288" w:before="0" w:after="0"/>
        <w:jc w:val="both"/>
        <w:rPr>
          <w:sz w:val="20"/>
        </w:rPr>
      </w:pPr>
      <w:bookmarkStart w:id="14" w:name="s1A2B386EED8E5CA591F486C0507964B3"/>
      <w:bookmarkEnd w:id="14"/>
      <w:r>
        <w:rPr>
          <w:rFonts w:ascii="inherit" w:hAnsi="inherit"/>
          <w:b/>
          <w:sz w:val="20"/>
        </w:rPr>
        <w:t>Note 3</w:t>
      </w:r>
      <w:r>
        <w:rPr>
          <w:sz w:val="20"/>
        </w:rPr>
        <w:t xml:space="preserve"> — </w:t>
      </w:r>
      <w:r>
        <w:rPr>
          <w:rFonts w:ascii="inherit" w:hAnsi="inherit"/>
          <w:b/>
          <w:sz w:val="20"/>
        </w:rPr>
        <w:t>Recently Issued Accounting Pronouncements</w:t>
      </w:r>
      <w:r>
        <w:rPr>
          <w:sz w:val="20"/>
        </w:rPr>
        <w:t xml:space="preserve"> </w:t>
      </w:r>
    </w:p>
    <w:p>
      <w:pPr>
        <w:pStyle w:val="TextBody"/>
        <w:spacing w:lineRule="auto" w:line="288" w:before="0" w:after="0"/>
        <w:jc w:val="both"/>
        <w:rPr>
          <w:rFonts w:ascii="inherit" w:hAnsi="inherit"/>
          <w:i/>
          <w:sz w:val="17"/>
        </w:rPr>
      </w:pPr>
      <w:r>
        <w:rPr>
          <w:rFonts w:ascii="inherit" w:hAnsi="inherit"/>
          <w:i/>
          <w:sz w:val="17"/>
        </w:rPr>
        <w:t>Accounting Pronouncements Recently Adopted</w:t>
      </w:r>
    </w:p>
    <w:p>
      <w:pPr>
        <w:pStyle w:val="TextBody"/>
        <w:spacing w:lineRule="auto" w:line="288" w:before="0" w:after="0"/>
        <w:jc w:val="both"/>
        <w:rPr>
          <w:sz w:val="17"/>
        </w:rPr>
      </w:pPr>
      <w:r>
        <w:rPr>
          <w:rFonts w:ascii="inherit" w:hAnsi="inherit"/>
          <w:sz w:val="17"/>
          <w:u w:val="single"/>
        </w:rPr>
        <w:t>ASU No. 2016-02 -</w:t>
      </w:r>
      <w:r>
        <w:rPr>
          <w:sz w:val="17"/>
          <w:u w:val="single"/>
        </w:rPr>
        <w:t xml:space="preserve"> </w:t>
      </w:r>
      <w:r>
        <w:rPr>
          <w:rFonts w:ascii="inherit" w:hAnsi="inherit"/>
          <w:i/>
          <w:sz w:val="17"/>
          <w:u w:val="single"/>
        </w:rPr>
        <w:t>Leases (Topic 842) - February 2016 (as amended through March 2019):</w:t>
      </w:r>
      <w:r>
        <w:rPr>
          <w:sz w:val="17"/>
        </w:rPr>
        <w:t xml:space="preserve"> </w:t>
      </w:r>
      <w:r>
        <w:rPr>
          <w:rFonts w:ascii="inherit" w:hAnsi="inherit"/>
          <w:sz w:val="17"/>
        </w:rPr>
        <w:t xml:space="preserve">The guidance is effective for fiscal years, and interim periods within those fiscal years, beginning after December 15, 2018 and is implemented using a modified retrospective approach, with the option to apply the guidance at the effective date or the beginning of the earliest comparative period. </w:t>
      </w:r>
    </w:p>
    <w:p>
      <w:pPr>
        <w:pStyle w:val="TextBody"/>
        <w:spacing w:lineRule="auto" w:line="288" w:before="0" w:after="0"/>
        <w:jc w:val="both"/>
        <w:rPr>
          <w:rFonts w:ascii="inherit" w:hAnsi="inherit"/>
          <w:sz w:val="17"/>
        </w:rPr>
      </w:pPr>
      <w:r>
        <w:rPr>
          <w:rFonts w:ascii="inherit" w:hAnsi="inherit"/>
          <w:sz w:val="17"/>
        </w:rPr>
        <w:t>We adopted the guidance on January 1, 2019 and elected to apply the effective date method and, as such, have not re-cast prior periods to show the effects of ASC 842. Additionally, upon adoption, we elected a package of practical expedients that, among other things, allow us to not reassess prior lease classifications or initial direct costs for leases that exist as of the balance sheet date. As such, we have not reassessed the classification of our Caesars Lease Agreements, as these leases existed prior to our adoption of ASC 842.</w:t>
      </w:r>
    </w:p>
    <w:p>
      <w:pPr>
        <w:pStyle w:val="TextBody"/>
        <w:spacing w:lineRule="auto" w:line="288" w:before="0" w:after="0"/>
        <w:jc w:val="both"/>
        <w:rPr>
          <w:rFonts w:ascii="inherit" w:hAnsi="inherit"/>
          <w:sz w:val="17"/>
        </w:rPr>
      </w:pPr>
      <w:r>
        <w:rPr>
          <w:rFonts w:ascii="inherit" w:hAnsi="inherit"/>
          <w:sz w:val="17"/>
        </w:rPr>
        <w:t>The new guidance did not have a material impact on the accounting treatment of our triple-net tenant leases, which are the primary source of our revenues. As such, upon adoption of ASC 842, we have not recorded any adjustment to our beginning balance of retained earnings. However, starting in the current quarter there are certain changes to the guidance under ASC 842, which will have an impact on future operating results, as follows:</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Costs that are paid directly by the lessee to a third party, such as real estate taxes and insurance, are no longer recognized in our Statement of Operations. Prior to our adoption of ASC 842, we presented on a gross basis the real estate taxes that were paid by our tenants directly to the taxing authority. Subsequent to our adoption of ASC 842, Tenant reimbursements of property taxes and Property taxes expense are presented on a net basis, as the lessee pays for such costs directly. However, consistent with our effective date adoption approach, we have not re-cast prior year financial results to conform to the current period presentation.</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 xml:space="preserve">Initial direct costs associated with the execution of lease agreements, such as legal fees and certain transaction costs will no longer be capitalizable and instead are expensed in the period incurred. </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 xml:space="preserve">Long-term leases entered into or modified subsequent to our adoption of ASC 842 will most likely be considered sales-type leases, as defined in ASC 842. The accounting for a sales-type lease is materially consistent with that of the current accounting for our direct financing leases. If we determine that the lease meets the definition for a sale leaseback transaction,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11</w:t>
      </w:r>
      <w:r>
        <w:br w:type="page"/>
      </w:r>
    </w:p>
    <w:p>
      <w:pPr>
        <w:pStyle w:val="TextBody"/>
        <w:spacing w:lineRule="auto" w:line="288" w:before="0" w:after="0"/>
        <w:jc w:val="left"/>
        <w:rPr/>
      </w:pPr>
      <w:hyperlink w:anchor="s7181E430E8A9506B896277AC8CF177C4">
        <w:r>
          <w:rPr>
            <w:rStyle w:val="InternetLink"/>
            <w:rFonts w:ascii="inherit" w:hAnsi="inherit"/>
            <w:sz w:val="17"/>
          </w:rPr>
          <w:t>Table of Contents</w:t>
        </w:r>
      </w:hyperlink>
    </w:p>
    <w:p>
      <w:pPr>
        <w:pStyle w:val="TextBody"/>
        <w:spacing w:lineRule="auto" w:line="288" w:before="0" w:after="0"/>
        <w:jc w:val="center"/>
        <w:rPr>
          <w:rFonts w:ascii="inherit" w:hAnsi="inherit"/>
          <w:b/>
          <w:sz w:val="18"/>
        </w:rPr>
      </w:pPr>
      <w:r>
        <w:rPr>
          <w:rFonts w:ascii="inherit" w:hAnsi="inherit"/>
          <w:b/>
          <w:sz w:val="18"/>
        </w:rPr>
        <w:t>VICI PROPERTIES INC.</w:t>
      </w:r>
    </w:p>
    <w:p>
      <w:pPr>
        <w:pStyle w:val="TextBody"/>
        <w:spacing w:lineRule="auto" w:line="288" w:before="0" w:after="0"/>
        <w:jc w:val="center"/>
        <w:rPr>
          <w:rFonts w:ascii="inherit" w:hAnsi="inherit"/>
          <w:b/>
          <w:sz w:val="18"/>
        </w:rPr>
      </w:pPr>
      <w:r>
        <w:rPr>
          <w:rFonts w:ascii="inherit" w:hAnsi="inherit"/>
          <w:b/>
          <w:sz w:val="18"/>
        </w:rPr>
        <w:t>NOTES TO CONSOLIDATED FINANCIAL STATEMENTS (Continued)</w:t>
      </w:r>
    </w:p>
    <w:p>
      <w:pPr>
        <w:pStyle w:val="TextBody"/>
        <w:spacing w:lineRule="auto" w:line="288" w:before="0" w:after="0"/>
        <w:jc w:val="center"/>
        <w:rPr>
          <w:rFonts w:ascii="inherit" w:hAnsi="inherit"/>
          <w:b/>
          <w:sz w:val="18"/>
        </w:rPr>
      </w:pPr>
      <w:r>
        <w:rPr>
          <w:rFonts w:ascii="inherit" w:hAnsi="inherit"/>
          <w:b/>
          <w:sz w:val="18"/>
        </w:rPr>
        <w:t>(UNAUDITED)</w:t>
      </w:r>
    </w:p>
    <w:p>
      <w:pPr>
        <w:pStyle w:val="TextBody"/>
        <w:spacing w:before="0" w:after="0"/>
        <w:rPr/>
      </w:pPr>
      <w:r>
        <w:rPr/>
      </w:r>
    </w:p>
    <w:p>
      <w:pPr>
        <w:pStyle w:val="TextBody"/>
        <w:spacing w:lineRule="auto" w:line="288" w:before="0" w:after="0"/>
        <w:ind w:left="0" w:right="0" w:firstLine="720"/>
        <w:jc w:val="both"/>
        <w:rPr>
          <w:rFonts w:ascii="inherit" w:hAnsi="inherit"/>
          <w:sz w:val="17"/>
        </w:rPr>
      </w:pPr>
      <w:r>
        <w:rPr>
          <w:rFonts w:ascii="inherit" w:hAnsi="inherit"/>
          <w:sz w:val="17"/>
        </w:rPr>
        <w:t xml:space="preserve">the lease is considered a financing receivable and is accounted for in accordance with ASC 310 “Receivables” (“ASC 310”). </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 xml:space="preserve">Prior to our adoption of ASC 842, the residual value component of our Lease Agreements was assessed for impairment under ASC 360 “Property, Plant and Equipment” while the receivable component was separately assessed for impairment under ASC 310. Upon adoption of ASC 842, both the receivable and residual value components of the direct financing and sales-type leases are assessed for impairment under ASC 310. </w:t>
            </w:r>
          </w:p>
        </w:tc>
      </w:tr>
    </w:tbl>
    <w:p>
      <w:pPr>
        <w:pStyle w:val="TextBody"/>
        <w:spacing w:lineRule="auto" w:line="288" w:before="0" w:after="0"/>
        <w:jc w:val="both"/>
        <w:rPr>
          <w:rFonts w:ascii="inherit" w:hAnsi="inherit"/>
          <w:sz w:val="17"/>
        </w:rPr>
      </w:pPr>
      <w:r>
        <w:rPr>
          <w:rFonts w:ascii="inherit" w:hAnsi="inherit"/>
          <w:sz w:val="17"/>
        </w:rPr>
        <w:t xml:space="preserve">In relation to certain operating leases for which we are the lessee, such as the ground lease on the Cascata golf course, upon adoption of ASC 842, we recorded a right of use asset and corresponding lease liability of $11.1 million, which is included in Other assets and Other liabilities on our Balance Sheets. There was no change to our lease expense as a result of the change in accounting as such expense is still being recorded on a straight-line basis. </w:t>
      </w:r>
    </w:p>
    <w:p>
      <w:pPr>
        <w:pStyle w:val="TextBody"/>
        <w:spacing w:lineRule="auto" w:line="288" w:before="0" w:after="0"/>
        <w:jc w:val="both"/>
        <w:rPr>
          <w:rFonts w:ascii="inherit" w:hAnsi="inherit"/>
          <w:i/>
          <w:sz w:val="17"/>
        </w:rPr>
      </w:pPr>
      <w:r>
        <w:rPr>
          <w:rFonts w:ascii="inherit" w:hAnsi="inherit"/>
          <w:i/>
          <w:sz w:val="17"/>
        </w:rPr>
        <w:t>Accounting Pronouncements Not Yet Adopted</w:t>
      </w:r>
    </w:p>
    <w:p>
      <w:pPr>
        <w:pStyle w:val="TextBody"/>
        <w:spacing w:lineRule="auto" w:line="288" w:before="0" w:after="0"/>
        <w:jc w:val="both"/>
        <w:rPr>
          <w:sz w:val="17"/>
        </w:rPr>
      </w:pPr>
      <w:r>
        <w:rPr>
          <w:rFonts w:ascii="inherit" w:hAnsi="inherit"/>
          <w:sz w:val="17"/>
          <w:u w:val="single"/>
        </w:rPr>
        <w:t>ASU No. 2016-13 -</w:t>
      </w:r>
      <w:r>
        <w:rPr>
          <w:sz w:val="17"/>
          <w:u w:val="single"/>
        </w:rPr>
        <w:t xml:space="preserve"> </w:t>
      </w:r>
      <w:r>
        <w:rPr>
          <w:rFonts w:ascii="inherit" w:hAnsi="inherit"/>
          <w:i/>
          <w:sz w:val="17"/>
          <w:u w:val="single"/>
        </w:rPr>
        <w:t>Financial Instruments-Credit Losses (Topic 326) - June 2016 (as amended through November 2018)</w:t>
      </w:r>
      <w:r>
        <w:rPr>
          <w:rFonts w:ascii="inherit" w:hAnsi="inherit"/>
          <w:i/>
          <w:sz w:val="17"/>
        </w:rPr>
        <w:t xml:space="preserve">: </w:t>
      </w:r>
      <w:r>
        <w:rPr>
          <w:rFonts w:ascii="inherit" w:hAnsi="inherit"/>
          <w:sz w:val="17"/>
        </w:rPr>
        <w:t>This amended guidance changes how entities will measure credit losses for most financial assets and certain other instruments, including direct financing leases, that are not measured at fair value through net income. The guidance replaces the current “incurred loss” model with an “expected loss” approach, which will generally result in earlier recognition of allowance for losses. The guidance is effective for fiscal years beginning after December 15, 2019, including interim periods within those fiscal years. Early adoption is permitted after December 2018. We are currently evaluating the impact of adopting the new standard and have determined that, upon adoption, we will be required to estimate and record credit losses related to our investments in direct financing and sales-type leases.</w:t>
      </w:r>
    </w:p>
    <w:p>
      <w:pPr>
        <w:pStyle w:val="TextBody"/>
        <w:spacing w:lineRule="auto" w:line="288" w:before="0" w:after="0"/>
        <w:jc w:val="both"/>
        <w:rPr>
          <w:sz w:val="20"/>
        </w:rPr>
      </w:pPr>
      <w:bookmarkStart w:id="15" w:name="s9DE487AA165D5EE2AC481A1396265F0E"/>
      <w:bookmarkEnd w:id="15"/>
      <w:r>
        <w:rPr>
          <w:rFonts w:ascii="inherit" w:hAnsi="inherit"/>
          <w:b/>
          <w:sz w:val="20"/>
        </w:rPr>
        <w:t>Note 4</w:t>
      </w:r>
      <w:r>
        <w:rPr>
          <w:sz w:val="20"/>
        </w:rPr>
        <w:t xml:space="preserve"> — </w:t>
      </w:r>
      <w:r>
        <w:rPr>
          <w:rFonts w:ascii="inherit" w:hAnsi="inherit"/>
          <w:b/>
          <w:sz w:val="20"/>
        </w:rPr>
        <w:t>Property Transactions</w:t>
      </w:r>
      <w:r>
        <w:rPr>
          <w:sz w:val="20"/>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sz w:val="17"/>
        </w:rPr>
      </w:pPr>
      <w:r>
        <w:rPr>
          <w:rFonts w:ascii="inherit" w:hAnsi="inherit"/>
          <w:b/>
          <w:sz w:val="17"/>
        </w:rPr>
        <w:t>2019 Transactions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Our significant activities in 2019, in reverse chronological order, are as follows:</w:t>
      </w:r>
    </w:p>
    <w:p>
      <w:pPr>
        <w:pStyle w:val="TextBody"/>
        <w:spacing w:lineRule="auto" w:line="288" w:before="0" w:after="0"/>
        <w:jc w:val="both"/>
        <w:rPr>
          <w:rFonts w:ascii="inherit" w:hAnsi="inherit"/>
          <w:b/>
          <w:i/>
          <w:sz w:val="17"/>
        </w:rPr>
      </w:pPr>
      <w:r>
        <w:rPr>
          <w:rFonts w:ascii="inherit" w:hAnsi="inherit"/>
          <w:b/>
          <w:i/>
          <w:sz w:val="17"/>
        </w:rPr>
        <w:t>Purchase of JACK Cincinnati Casino</w:t>
      </w:r>
    </w:p>
    <w:p>
      <w:pPr>
        <w:pStyle w:val="TextBody"/>
        <w:spacing w:lineRule="auto" w:line="288" w:before="0" w:after="0"/>
        <w:jc w:val="both"/>
        <w:rPr>
          <w:sz w:val="17"/>
        </w:rPr>
      </w:pPr>
      <w:r>
        <w:rPr>
          <w:rFonts w:ascii="inherit" w:hAnsi="inherit"/>
          <w:sz w:val="17"/>
        </w:rPr>
        <w:t>Subsequent to the quarter end, on April 5, 2019, we entered into definitive agreements to acquire the land and real estate assets of JACK Cincinnati Casino (“JACK Cincinnati Casino”), located in Cincinnati, Ohio from affiliates of JACK Entertainment LLC, for approximately $558.3 million, and a subsidiary of Hard Rock International (“Hard Rock”) has agreed to acquire the operating assets of the JACK Cincinnati Casino for $186.5 million</w:t>
      </w:r>
      <w:r>
        <w:rPr>
          <w:sz w:val="17"/>
        </w:rPr>
        <w:t xml:space="preserve"> </w:t>
      </w:r>
      <w:r>
        <w:rPr>
          <w:rFonts w:ascii="inherit" w:hAnsi="inherit"/>
          <w:sz w:val="17"/>
        </w:rPr>
        <w:t>(together, the “JACK Cincinnati Acquisition”). Simultaneous with the closing of this transaction, we will enter into a triple-net lease agreement for the JACK Cincinnati Casino with a subsidiary of Hard Rock. The lease will have an initial total annual rent of $42.75 million</w:t>
      </w:r>
      <w:r>
        <w:rPr>
          <w:sz w:val="17"/>
        </w:rPr>
        <w:t xml:space="preserve"> </w:t>
      </w:r>
      <w:r>
        <w:rPr>
          <w:rFonts w:ascii="inherit" w:hAnsi="inherit"/>
          <w:sz w:val="17"/>
        </w:rPr>
        <w:t>and an initial term of 15</w:t>
      </w:r>
      <w:r>
        <w:rPr>
          <w:sz w:val="17"/>
        </w:rPr>
        <w:t xml:space="preserve"> </w:t>
      </w:r>
      <w:r>
        <w:rPr>
          <w:rFonts w:ascii="inherit" w:hAnsi="inherit"/>
          <w:sz w:val="17"/>
        </w:rPr>
        <w:t>years, with four</w:t>
      </w:r>
      <w:r>
        <w:rPr>
          <w:sz w:val="17"/>
        </w:rPr>
        <w:t xml:space="preserve"> </w:t>
      </w:r>
      <w:r>
        <w:rPr>
          <w:rFonts w:ascii="inherit" w:hAnsi="inherit"/>
          <w:sz w:val="17"/>
        </w:rPr>
        <w:t>five-year tenant renewal options. The tenant’s obligations under the lease will be guaranteed by Seminole Hard Rock Entertainment, Inc. The transaction is subject to regulatory approvals and customary closing conditions and is expected to close in late 2019. However, we can provide no assurances that the JACK Cincinnati Acquisition will be consummated on the terms or timeframe described herein, or at all.</w:t>
      </w:r>
    </w:p>
    <w:p>
      <w:pPr>
        <w:pStyle w:val="TextBody"/>
        <w:spacing w:lineRule="auto" w:line="288" w:before="0" w:after="0"/>
        <w:jc w:val="both"/>
        <w:rPr>
          <w:rFonts w:ascii="inherit" w:hAnsi="inherit"/>
          <w:b/>
          <w:i/>
          <w:sz w:val="17"/>
        </w:rPr>
      </w:pPr>
      <w:r>
        <w:rPr>
          <w:rFonts w:ascii="inherit" w:hAnsi="inherit"/>
          <w:b/>
          <w:i/>
          <w:sz w:val="17"/>
        </w:rPr>
        <w:t>Purchase of Margaritaville Resort Casino</w:t>
      </w:r>
    </w:p>
    <w:p>
      <w:pPr>
        <w:pStyle w:val="TextBody"/>
        <w:spacing w:lineRule="auto" w:line="288" w:before="0" w:after="0"/>
        <w:jc w:val="both"/>
        <w:rPr>
          <w:sz w:val="17"/>
        </w:rPr>
      </w:pPr>
      <w:r>
        <w:rPr>
          <w:rFonts w:ascii="inherit" w:hAnsi="inherit"/>
          <w:sz w:val="17"/>
        </w:rPr>
        <w:t>On January 2, 2019 we completed the previously announced transaction to acquire the land and real estate assets of the Margaritaville Resort Casino, located in Bossier City, Louisiana, for $261.1 million. Penn National acquired the operating assets of Margaritaville Resort Casino for $114.9 million. Simultaneous with the closing of this transaction, we entered into a triple-net lease agreement with a subsidiary of Penn National. The lease has an initial annual rent of $23.2 million</w:t>
      </w:r>
      <w:r>
        <w:rPr>
          <w:sz w:val="17"/>
        </w:rPr>
        <w:t xml:space="preserve"> </w:t>
      </w:r>
      <w:r>
        <w:rPr>
          <w:rFonts w:ascii="inherit" w:hAnsi="inherit"/>
          <w:sz w:val="17"/>
        </w:rPr>
        <w:t>and an initial term of 15</w:t>
      </w:r>
      <w:r>
        <w:rPr>
          <w:sz w:val="17"/>
        </w:rPr>
        <w:t xml:space="preserve"> </w:t>
      </w:r>
      <w:r>
        <w:rPr>
          <w:rFonts w:ascii="inherit" w:hAnsi="inherit"/>
          <w:sz w:val="17"/>
        </w:rPr>
        <w:t>years, with four</w:t>
      </w:r>
      <w:r>
        <w:rPr>
          <w:sz w:val="17"/>
        </w:rPr>
        <w:t xml:space="preserve"> </w:t>
      </w:r>
      <w:r>
        <w:rPr>
          <w:rFonts w:ascii="inherit" w:hAnsi="inherit"/>
          <w:sz w:val="17"/>
        </w:rPr>
        <w:t xml:space="preserve">five-year tenant renewal options. The tenant’s obligations under the lease are guaranteed by Penn National and certain of its subsidiaries. We determined that the land and building components of the Margaritaville Lease Agreement meet the definition of a sales-type lease and have recorded the corresponding asset, including related acquisitions and transaction costs, in Investments in direct financing and sales-type leases on our Balance Sheet.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12</w:t>
      </w:r>
      <w:r>
        <w:br w:type="page"/>
      </w:r>
    </w:p>
    <w:p>
      <w:pPr>
        <w:pStyle w:val="TextBody"/>
        <w:spacing w:lineRule="auto" w:line="288" w:before="0" w:after="0"/>
        <w:jc w:val="left"/>
        <w:rPr/>
      </w:pPr>
      <w:hyperlink w:anchor="s7181E430E8A9506B896277AC8CF177C4">
        <w:r>
          <w:rPr>
            <w:rStyle w:val="InternetLink"/>
            <w:rFonts w:ascii="inherit" w:hAnsi="inherit"/>
            <w:sz w:val="17"/>
          </w:rPr>
          <w:t>Table of Contents</w:t>
        </w:r>
      </w:hyperlink>
    </w:p>
    <w:p>
      <w:pPr>
        <w:pStyle w:val="TextBody"/>
        <w:spacing w:lineRule="auto" w:line="288" w:before="0" w:after="0"/>
        <w:jc w:val="center"/>
        <w:rPr>
          <w:rFonts w:ascii="inherit" w:hAnsi="inherit"/>
          <w:b/>
          <w:sz w:val="18"/>
        </w:rPr>
      </w:pPr>
      <w:r>
        <w:rPr>
          <w:rFonts w:ascii="inherit" w:hAnsi="inherit"/>
          <w:b/>
          <w:sz w:val="18"/>
        </w:rPr>
        <w:t>VICI PROPERTIES INC.</w:t>
      </w:r>
    </w:p>
    <w:p>
      <w:pPr>
        <w:pStyle w:val="TextBody"/>
        <w:spacing w:lineRule="auto" w:line="288" w:before="0" w:after="0"/>
        <w:jc w:val="center"/>
        <w:rPr>
          <w:rFonts w:ascii="inherit" w:hAnsi="inherit"/>
          <w:b/>
          <w:sz w:val="18"/>
        </w:rPr>
      </w:pPr>
      <w:r>
        <w:rPr>
          <w:rFonts w:ascii="inherit" w:hAnsi="inherit"/>
          <w:b/>
          <w:sz w:val="18"/>
        </w:rPr>
        <w:t>NOTES TO CONSOLIDATED FINANCIAL STATEMENTS (Continued)</w:t>
      </w:r>
    </w:p>
    <w:p>
      <w:pPr>
        <w:pStyle w:val="TextBody"/>
        <w:spacing w:lineRule="auto" w:line="288" w:before="0" w:after="0"/>
        <w:jc w:val="center"/>
        <w:rPr>
          <w:rFonts w:ascii="inherit" w:hAnsi="inherit"/>
          <w:b/>
          <w:sz w:val="18"/>
        </w:rPr>
      </w:pPr>
      <w:r>
        <w:rPr>
          <w:rFonts w:ascii="inherit" w:hAnsi="inherit"/>
          <w:b/>
          <w:sz w:val="18"/>
        </w:rPr>
        <w:t>(UNAUDITED)</w:t>
      </w:r>
    </w:p>
    <w:p>
      <w:pPr>
        <w:pStyle w:val="TextBody"/>
        <w:spacing w:before="0" w:after="0"/>
        <w:rPr/>
      </w:pPr>
      <w:r>
        <w:rPr/>
      </w:r>
    </w:p>
    <w:p>
      <w:pPr>
        <w:pStyle w:val="TextBody"/>
        <w:spacing w:lineRule="auto" w:line="288" w:before="0" w:after="0"/>
        <w:jc w:val="both"/>
        <w:rPr>
          <w:rFonts w:ascii="inherit" w:hAnsi="inherit"/>
          <w:b/>
          <w:sz w:val="17"/>
        </w:rPr>
      </w:pPr>
      <w:r>
        <w:rPr>
          <w:rFonts w:ascii="inherit" w:hAnsi="inherit"/>
          <w:b/>
          <w:sz w:val="17"/>
        </w:rPr>
        <w:t>2018 Transactions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Our significant activities in 2018, in reverse chronological order, are as follows: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i/>
          <w:sz w:val="17"/>
        </w:rPr>
      </w:pPr>
      <w:r>
        <w:rPr>
          <w:rFonts w:ascii="inherit" w:hAnsi="inherit"/>
          <w:b/>
          <w:i/>
          <w:sz w:val="17"/>
        </w:rPr>
        <w:t>Purchase of Harrah’s Philadelphia and Octavius Tower</w:t>
      </w:r>
    </w:p>
    <w:p>
      <w:pPr>
        <w:pStyle w:val="TextBody"/>
        <w:spacing w:lineRule="auto" w:line="288" w:before="0" w:after="0"/>
        <w:jc w:val="both"/>
        <w:rPr>
          <w:sz w:val="17"/>
        </w:rPr>
      </w:pPr>
      <w:r>
        <w:rPr>
          <w:rFonts w:ascii="inherit" w:hAnsi="inherit"/>
          <w:sz w:val="17"/>
        </w:rPr>
        <w:t>On December 26, 2018 we completed the previously announced transaction with Caesars to acquire all of the land and real estate assets associated with Harrah’s Philadelphia Casino and Racetrack (“Harrah’s Philadelphia”) from Caesars for $241.5 million, which purchase price was reduced by $159.0 million</w:t>
      </w:r>
      <w:r>
        <w:rPr>
          <w:sz w:val="17"/>
        </w:rPr>
        <w:t xml:space="preserve"> </w:t>
      </w:r>
      <w:r>
        <w:rPr>
          <w:rFonts w:ascii="inherit" w:hAnsi="inherit"/>
          <w:sz w:val="17"/>
        </w:rPr>
        <w:t>to reflect the aggregate net present value of the modifications to the Caesars Lease Agreements (as further described below), resulting in cash consideration of approximately $82.5 million. In addition, on July 11, 2018, we completed the previously announced transaction with Caesars to acquire, and lease back, all of the land and real estate assets associated with the Octavius Tower at Caesars Palace (“Octavius Tower”) for a purchase price of $507.5 million</w:t>
      </w:r>
      <w:r>
        <w:rPr>
          <w:sz w:val="17"/>
        </w:rPr>
        <w:t xml:space="preserve"> </w:t>
      </w:r>
      <w:r>
        <w:rPr>
          <w:rFonts w:ascii="inherit" w:hAnsi="inherit"/>
          <w:sz w:val="17"/>
        </w:rPr>
        <w:t>in cash. Octavius Tower is operated pursuant to the CPLV Lease Agreement, which provides for annual rent with respect to Octavius Tower of $35.0 million</w:t>
      </w:r>
      <w:r>
        <w:rPr>
          <w:sz w:val="17"/>
        </w:rPr>
        <w:t xml:space="preserve"> </w:t>
      </w:r>
      <w:r>
        <w:rPr>
          <w:rFonts w:ascii="inherit" w:hAnsi="inherit"/>
          <w:sz w:val="17"/>
        </w:rPr>
        <w:t>payable in equal consecutive monthly installments and has an initial term that expires on October 31, 2032, with four</w:t>
      </w:r>
      <w:r>
        <w:rPr>
          <w:sz w:val="17"/>
        </w:rPr>
        <w:t xml:space="preserve"> </w:t>
      </w:r>
      <w:r>
        <w:rPr>
          <w:rFonts w:ascii="inherit" w:hAnsi="inherit"/>
          <w:sz w:val="17"/>
        </w:rPr>
        <w:t xml:space="preserve">five-year tenant renewal options. </w:t>
      </w:r>
    </w:p>
    <w:p>
      <w:pPr>
        <w:pStyle w:val="TextBody"/>
        <w:spacing w:lineRule="auto" w:line="288" w:before="0" w:after="0"/>
        <w:jc w:val="both"/>
        <w:rPr>
          <w:sz w:val="17"/>
        </w:rPr>
      </w:pPr>
      <w:r>
        <w:rPr>
          <w:rFonts w:ascii="inherit" w:hAnsi="inherit"/>
          <w:sz w:val="17"/>
        </w:rPr>
        <w:t>In connection with the closing of the acquisition of Harrah’s Philadelphia, each of the Non-CPLV Lease Agreement and the CPLV Lease Agreement were amended to, among other things, include Harrah’s Philadelphia and Octavius Tower, respectively, and Caesars will continue to operate both properties under the terms of such leases. The amendment to the Non-CPLV Lease Agreement provided for an additional $21.0 million</w:t>
      </w:r>
      <w:r>
        <w:rPr>
          <w:sz w:val="17"/>
        </w:rPr>
        <w:t xml:space="preserve"> </w:t>
      </w:r>
      <w:r>
        <w:rPr>
          <w:rFonts w:ascii="inherit" w:hAnsi="inherit"/>
          <w:sz w:val="17"/>
        </w:rPr>
        <w:t xml:space="preserve">in annual rent for Harrah’s Philadelphia, which is subject to the amended provisions of the lease. The HLV Lease Agreement and the Joliet Lease Agreement were modified at such time to achieve consistency with the other Lease Agreements. Refer to Note 5 - Real Estate Portfolio for a summary of the terms of the modified leases. </w:t>
      </w:r>
    </w:p>
    <w:p>
      <w:pPr>
        <w:pStyle w:val="TextBody"/>
        <w:spacing w:lineRule="auto" w:line="288" w:before="0" w:after="0"/>
        <w:jc w:val="both"/>
        <w:rPr>
          <w:rFonts w:ascii="inherit" w:hAnsi="inherit"/>
          <w:b/>
          <w:i/>
          <w:sz w:val="17"/>
        </w:rPr>
      </w:pPr>
      <w:r>
        <w:rPr>
          <w:rFonts w:ascii="inherit" w:hAnsi="inherit"/>
          <w:b/>
          <w:i/>
          <w:sz w:val="17"/>
        </w:rPr>
        <w:t>Purchase of Greektown</w:t>
      </w:r>
    </w:p>
    <w:p>
      <w:pPr>
        <w:pStyle w:val="TextBody"/>
        <w:spacing w:lineRule="auto" w:line="288" w:before="0" w:after="0"/>
        <w:jc w:val="both"/>
        <w:rPr>
          <w:sz w:val="17"/>
        </w:rPr>
      </w:pPr>
      <w:r>
        <w:rPr>
          <w:rFonts w:ascii="inherit" w:hAnsi="inherit"/>
          <w:sz w:val="17"/>
        </w:rPr>
        <w:t>On November 13, 2018, we entered into definitive agreements to acquire from affiliates of JACK Entertainment LLC all of the land and real estate assets associated with Greektown, for $700.0 million</w:t>
      </w:r>
      <w:r>
        <w:rPr>
          <w:sz w:val="17"/>
        </w:rPr>
        <w:t xml:space="preserve"> </w:t>
      </w:r>
      <w:r>
        <w:rPr>
          <w:rFonts w:ascii="inherit" w:hAnsi="inherit"/>
          <w:sz w:val="17"/>
        </w:rPr>
        <w:t>in cash, and an affiliate of Penn National has agreed to acquire the operating assets of Greektown for $300.0 million</w:t>
      </w:r>
      <w:r>
        <w:rPr>
          <w:sz w:val="17"/>
        </w:rPr>
        <w:t xml:space="preserve"> </w:t>
      </w:r>
      <w:r>
        <w:rPr>
          <w:rFonts w:ascii="inherit" w:hAnsi="inherit"/>
          <w:sz w:val="17"/>
        </w:rPr>
        <w:t>in cash (together, the “Greektown Acquisition”). Simultaneous with the closing of the Greektown Acquisition, we will enter into a triple-net lease agreement for Greektown with a subsidiary of Penn National. The lease will have an initial total annual rent of $55.6 million</w:t>
      </w:r>
      <w:r>
        <w:rPr>
          <w:sz w:val="17"/>
        </w:rPr>
        <w:t xml:space="preserve"> </w:t>
      </w:r>
      <w:r>
        <w:rPr>
          <w:rFonts w:ascii="inherit" w:hAnsi="inherit"/>
          <w:sz w:val="17"/>
        </w:rPr>
        <w:t>and an initial term of 15</w:t>
      </w:r>
      <w:r>
        <w:rPr>
          <w:sz w:val="17"/>
        </w:rPr>
        <w:t xml:space="preserve"> </w:t>
      </w:r>
      <w:r>
        <w:rPr>
          <w:rFonts w:ascii="inherit" w:hAnsi="inherit"/>
          <w:sz w:val="17"/>
        </w:rPr>
        <w:t>years, with four</w:t>
      </w:r>
      <w:r>
        <w:rPr>
          <w:sz w:val="17"/>
        </w:rPr>
        <w:t xml:space="preserve"> </w:t>
      </w:r>
      <w:r>
        <w:rPr>
          <w:rFonts w:ascii="inherit" w:hAnsi="inherit"/>
          <w:sz w:val="17"/>
        </w:rPr>
        <w:t xml:space="preserve">five-year tenant renewal options. The tenant’s obligations under the lease will be guaranteed by Penn National and certain of its subsidiaries. The transaction is subject to regulatory approvals and customary closing conditions and is expected to close in the second quarter of 2019. However, we can provide no assurances that the Greektown Acquisition will be consummated on the terms or timeframe described herein, or at all.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sz w:val="17"/>
        </w:rPr>
      </w:pPr>
      <w:r>
        <w:rPr>
          <w:rFonts w:ascii="inherit" w:hAnsi="inherit"/>
          <w:b/>
          <w:sz w:val="17"/>
        </w:rPr>
        <w:t>Other Agreements with Caesars</w:t>
      </w:r>
    </w:p>
    <w:p>
      <w:pPr>
        <w:pStyle w:val="TextBody"/>
        <w:spacing w:lineRule="auto" w:line="288" w:before="0" w:after="0"/>
        <w:jc w:val="both"/>
        <w:rPr>
          <w:rFonts w:ascii="inherit" w:hAnsi="inherit"/>
          <w:b/>
          <w:i/>
          <w:sz w:val="17"/>
        </w:rPr>
      </w:pPr>
      <w:r>
        <w:rPr>
          <w:rFonts w:ascii="inherit" w:hAnsi="inherit"/>
          <w:b/>
          <w:i/>
          <w:sz w:val="17"/>
        </w:rPr>
        <w:t>Sale of Eastside Property</w:t>
      </w:r>
    </w:p>
    <w:p>
      <w:pPr>
        <w:pStyle w:val="TextBody"/>
        <w:spacing w:lineRule="auto" w:line="288" w:before="0" w:after="0"/>
        <w:jc w:val="both"/>
        <w:rPr>
          <w:sz w:val="17"/>
        </w:rPr>
      </w:pPr>
      <w:r>
        <w:rPr>
          <w:rFonts w:ascii="inherit" w:hAnsi="inherit"/>
          <w:sz w:val="17"/>
        </w:rPr>
        <w:t>In December 2017, we sold to Caesars approximately 18.4</w:t>
      </w:r>
      <w:r>
        <w:rPr>
          <w:sz w:val="17"/>
        </w:rPr>
        <w:t xml:space="preserve"> </w:t>
      </w:r>
      <w:r>
        <w:rPr>
          <w:rFonts w:ascii="inherit" w:hAnsi="inherit"/>
          <w:sz w:val="17"/>
        </w:rPr>
        <w:t xml:space="preserve">acres of certain parcels located in Las Vegas, Nevada, east of Harrah’s Las Vegas, known as the Eastside Property, for $73.6 million. </w:t>
      </w:r>
    </w:p>
    <w:p>
      <w:pPr>
        <w:pStyle w:val="TextBody"/>
        <w:spacing w:lineRule="auto" w:line="288" w:before="0" w:after="0"/>
        <w:jc w:val="both"/>
        <w:rPr>
          <w:sz w:val="17"/>
        </w:rPr>
      </w:pPr>
      <w:r>
        <w:rPr>
          <w:rFonts w:ascii="inherit" w:hAnsi="inherit"/>
          <w:sz w:val="17"/>
        </w:rPr>
        <w:t>Due to the put/call option on the land parcels, as described below, it was determined that the transaction does not meet the requirements of a completed sale for accounting purposes. As a result, at December 31, 2017, we reclassified $73.6 million</w:t>
      </w:r>
      <w:r>
        <w:rPr>
          <w:sz w:val="17"/>
        </w:rPr>
        <w:t xml:space="preserve"> </w:t>
      </w:r>
      <w:r>
        <w:rPr>
          <w:rFonts w:ascii="inherit" w:hAnsi="inherit"/>
          <w:sz w:val="17"/>
        </w:rPr>
        <w:t>from Investments in operating leases to Land and recorded a $73.6 million</w:t>
      </w:r>
      <w:r>
        <w:rPr>
          <w:sz w:val="17"/>
        </w:rPr>
        <w:t xml:space="preserve"> </w:t>
      </w:r>
      <w:r>
        <w:rPr>
          <w:rFonts w:ascii="inherit" w:hAnsi="inherit"/>
          <w:sz w:val="17"/>
        </w:rPr>
        <w:t>Deferred financing liability on our Balance Sheet.</w:t>
      </w:r>
    </w:p>
    <w:p>
      <w:pPr>
        <w:pStyle w:val="TextBody"/>
        <w:spacing w:lineRule="auto" w:line="288" w:before="0" w:after="0"/>
        <w:jc w:val="both"/>
        <w:rPr>
          <w:rFonts w:ascii="inherit" w:hAnsi="inherit"/>
          <w:b/>
          <w:i/>
          <w:sz w:val="17"/>
        </w:rPr>
      </w:pPr>
      <w:r>
        <w:rPr>
          <w:rFonts w:ascii="inherit" w:hAnsi="inherit"/>
          <w:b/>
          <w:i/>
          <w:sz w:val="17"/>
        </w:rPr>
        <w:t>Put/Call Agreement</w:t>
      </w:r>
    </w:p>
    <w:p>
      <w:pPr>
        <w:pStyle w:val="TextBody"/>
        <w:spacing w:lineRule="auto" w:line="288" w:before="0" w:after="0"/>
        <w:jc w:val="both"/>
        <w:rPr>
          <w:rFonts w:ascii="inherit" w:hAnsi="inherit"/>
          <w:sz w:val="17"/>
        </w:rPr>
      </w:pPr>
      <w:r>
        <w:rPr>
          <w:rFonts w:ascii="inherit" w:hAnsi="inherit"/>
          <w:sz w:val="17"/>
        </w:rPr>
        <w:t>The Caesars Forum Convention Center is currently being constructed on the Eastside Property. Accordingly, we entered into a put/call agreement with Caesars, which provides both parties with certain rights and obligations including: (i) a put right in favor of Caesars, which, if exercised, would result in the sale by Caesars to us and simultaneous leaseback by us to Caesars of the Caesars Forum Convention Center (the “Put Right”); (ii) if Caesars exercises the Put Right and, among other things, the sale of the Caesars Forum Convention Center to us does not close for certain reasons more particularly described in the put/call agreement, then a repurchase right in favor of Caesars, which, if exercised, would result in the sale of Harrah’s Las Vegas by us to Caesars; and (iii) a call right in our favor, which, if exercised, would result in the sale by Caesars to us and simultaneous leaseback by us to Caesars of the Caesars Forum Convention Center.</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13</w:t>
      </w:r>
      <w:r>
        <w:br w:type="page"/>
      </w:r>
    </w:p>
    <w:p>
      <w:pPr>
        <w:pStyle w:val="TextBody"/>
        <w:spacing w:lineRule="auto" w:line="288" w:before="0" w:after="0"/>
        <w:jc w:val="left"/>
        <w:rPr/>
      </w:pPr>
      <w:hyperlink w:anchor="s7181E430E8A9506B896277AC8CF177C4">
        <w:r>
          <w:rPr>
            <w:rStyle w:val="InternetLink"/>
            <w:rFonts w:ascii="inherit" w:hAnsi="inherit"/>
            <w:sz w:val="17"/>
          </w:rPr>
          <w:t>Table of Contents</w:t>
        </w:r>
      </w:hyperlink>
    </w:p>
    <w:p>
      <w:pPr>
        <w:pStyle w:val="TextBody"/>
        <w:spacing w:lineRule="auto" w:line="288" w:before="0" w:after="0"/>
        <w:jc w:val="center"/>
        <w:rPr>
          <w:rFonts w:ascii="inherit" w:hAnsi="inherit"/>
          <w:b/>
          <w:sz w:val="18"/>
        </w:rPr>
      </w:pPr>
      <w:r>
        <w:rPr>
          <w:rFonts w:ascii="inherit" w:hAnsi="inherit"/>
          <w:b/>
          <w:sz w:val="18"/>
        </w:rPr>
        <w:t>VICI PROPERTIES INC.</w:t>
      </w:r>
    </w:p>
    <w:p>
      <w:pPr>
        <w:pStyle w:val="TextBody"/>
        <w:spacing w:lineRule="auto" w:line="288" w:before="0" w:after="0"/>
        <w:jc w:val="center"/>
        <w:rPr>
          <w:rFonts w:ascii="inherit" w:hAnsi="inherit"/>
          <w:b/>
          <w:sz w:val="18"/>
        </w:rPr>
      </w:pPr>
      <w:r>
        <w:rPr>
          <w:rFonts w:ascii="inherit" w:hAnsi="inherit"/>
          <w:b/>
          <w:sz w:val="18"/>
        </w:rPr>
        <w:t>NOTES TO CONSOLIDATED FINANCIAL STATEMENTS (Continued)</w:t>
      </w:r>
    </w:p>
    <w:p>
      <w:pPr>
        <w:pStyle w:val="TextBody"/>
        <w:spacing w:lineRule="auto" w:line="288" w:before="0" w:after="0"/>
        <w:jc w:val="center"/>
        <w:rPr>
          <w:rFonts w:ascii="inherit" w:hAnsi="inherit"/>
          <w:b/>
          <w:sz w:val="18"/>
        </w:rPr>
      </w:pPr>
      <w:r>
        <w:rPr>
          <w:rFonts w:ascii="inherit" w:hAnsi="inherit"/>
          <w:b/>
          <w:sz w:val="18"/>
        </w:rPr>
        <w:t>(UNAUDITED)</w:t>
      </w:r>
    </w:p>
    <w:p>
      <w:pPr>
        <w:pStyle w:val="TextBody"/>
        <w:spacing w:before="0" w:after="0"/>
        <w:rPr/>
      </w:pPr>
      <w:r>
        <w:rPr/>
      </w:r>
    </w:p>
    <w:p>
      <w:pPr>
        <w:pStyle w:val="TextBody"/>
        <w:spacing w:lineRule="auto" w:line="288" w:before="0" w:after="0"/>
        <w:jc w:val="both"/>
        <w:rPr>
          <w:rFonts w:ascii="inherit" w:hAnsi="inherit"/>
          <w:b/>
          <w:i/>
          <w:sz w:val="17"/>
        </w:rPr>
      </w:pPr>
      <w:r>
        <w:rPr>
          <w:rFonts w:ascii="inherit" w:hAnsi="inherit"/>
          <w:b/>
          <w:i/>
          <w:sz w:val="17"/>
        </w:rPr>
        <w:t>Amended and Restated Right of First Refusal Agreement</w:t>
      </w:r>
    </w:p>
    <w:p>
      <w:pPr>
        <w:pStyle w:val="TextBody"/>
        <w:spacing w:lineRule="auto" w:line="288" w:before="0" w:after="0"/>
        <w:jc w:val="both"/>
        <w:rPr>
          <w:rFonts w:ascii="inherit" w:hAnsi="inherit"/>
          <w:sz w:val="17"/>
        </w:rPr>
      </w:pPr>
      <w:r>
        <w:rPr>
          <w:rFonts w:ascii="inherit" w:hAnsi="inherit"/>
          <w:sz w:val="17"/>
        </w:rPr>
        <w:t>Simultaneously with the sale of the Eastside Property, we also entered into an Amended and Restated Right of First Refusal Agreement with Caesars pursuant to which we will have a right, subject to certain exclusions, (i) to acquire (and lease to Caesars) any of the gaming facilities of Centaur Holdings, LLC, which was acquired by Caesars in the third quarter of 2018, (ii) to acquire (and lease to Caesars) any domestic gaming facilities located outside of the Gaming Enterprise District of Clark County, Nevada, proposed to be acquired or developed by Caesars, and (iii) to acquire certain income-producing improvements if built by Caesars in lieu of the Caesars Forum Convention Center on the Eastside Property, subject to certain exclusions.</w:t>
      </w:r>
    </w:p>
    <w:p>
      <w:pPr>
        <w:pStyle w:val="TextBody"/>
        <w:spacing w:lineRule="auto" w:line="288" w:before="0" w:after="0"/>
        <w:jc w:val="both"/>
        <w:rPr>
          <w:rFonts w:ascii="inherit" w:hAnsi="inherit"/>
          <w:sz w:val="17"/>
        </w:rPr>
      </w:pPr>
      <w:r>
        <w:rPr>
          <w:rFonts w:ascii="inherit" w:hAnsi="inherit"/>
          <w:sz w:val="17"/>
        </w:rPr>
        <w:t xml:space="preserve">The Amended and Restated Right of First Refusal Agreement also contains a right of first refusal in favor of Caesars, pursuant to which Caesars will have the right to lease and manage any domestic gaming facility located outside of Greater Las Vegas, proposed to be acquired or developed by us that is not: (i) any asset that is then subject to a pre-existing lease, management agreement or other contractual restriction that was not entered into in contemplation of such acquisition or development and which (x) was entered into on arms’ length terms and (y) would not be terminated upon or prior to closing of such transaction, (ii) any transaction for which the opco/propco structure would be prohibited by applicable laws, rules or regulations or which would require governmental consent, approval, license or authorization (unless already received), (iii) any transaction structured by the seller as a sale-leaseback, (iv) any transaction in which we and/or our affiliates will not own at least 50% of, or control, the entity that will own the gaming facility, and (v) any transaction in which we or our affiliates propose to acquire a then-existing gaming facility from ourselves or our affiliates. </w:t>
      </w:r>
    </w:p>
    <w:p>
      <w:pPr>
        <w:pStyle w:val="TextBody"/>
        <w:spacing w:lineRule="auto" w:line="288" w:before="0" w:after="0"/>
        <w:jc w:val="both"/>
        <w:rPr>
          <w:rFonts w:ascii="inherit" w:hAnsi="inherit"/>
          <w:sz w:val="17"/>
        </w:rPr>
      </w:pPr>
      <w:r>
        <w:rPr>
          <w:rFonts w:ascii="inherit" w:hAnsi="inherit"/>
          <w:sz w:val="17"/>
        </w:rPr>
        <w:t xml:space="preserve">In the event that the foregoing rights are not exercised by us or Caesars and CEOC, as applicable, each party will have the right to consummate the subject transaction without the other’s involvement, provided the same is on terms no more favorable to the counterparty than those presented to us or Caesars and CEOC, as applicable, for consummating such transaction. </w:t>
      </w:r>
    </w:p>
    <w:p>
      <w:pPr>
        <w:pStyle w:val="TextBody"/>
        <w:spacing w:lineRule="auto" w:line="288" w:before="0" w:after="0"/>
        <w:jc w:val="both"/>
        <w:rPr>
          <w:rFonts w:ascii="inherit" w:hAnsi="inherit"/>
          <w:sz w:val="17"/>
        </w:rPr>
      </w:pPr>
      <w:r>
        <w:rPr>
          <w:rFonts w:ascii="inherit" w:hAnsi="inherit"/>
          <w:sz w:val="17"/>
        </w:rPr>
        <w:t>In December 2018, we entered into the Second Amended and Restated Right of First Refusal Agreement, which replaced the Amended and Restated Right of First Refusal Agreement and, among other things, provides us with the right to acquire from Caesars, under certain circumstances, certain undeveloped land adjacent to the Las Vegas Strip.</w:t>
      </w:r>
    </w:p>
    <w:p>
      <w:pPr>
        <w:pStyle w:val="TextBody"/>
        <w:spacing w:lineRule="auto" w:line="288" w:before="0" w:after="0"/>
        <w:jc w:val="both"/>
        <w:rPr>
          <w:rFonts w:ascii="inherit" w:hAnsi="inherit"/>
          <w:b/>
          <w:sz w:val="17"/>
        </w:rPr>
      </w:pPr>
      <w:r>
        <w:rPr>
          <w:rFonts w:ascii="inherit" w:hAnsi="inherit"/>
          <w:b/>
          <w:sz w:val="17"/>
        </w:rPr>
        <w:t>Option Properties</w:t>
      </w:r>
    </w:p>
    <w:p>
      <w:pPr>
        <w:pStyle w:val="TextBody"/>
        <w:spacing w:lineRule="auto" w:line="288" w:before="0" w:after="0"/>
        <w:jc w:val="both"/>
        <w:rPr>
          <w:rFonts w:ascii="inherit" w:hAnsi="inherit"/>
          <w:b/>
          <w:i/>
          <w:sz w:val="17"/>
        </w:rPr>
      </w:pPr>
      <w:r>
        <w:rPr>
          <w:rFonts w:ascii="inherit" w:hAnsi="inherit"/>
          <w:b/>
          <w:i/>
          <w:sz w:val="17"/>
        </w:rPr>
        <w:t xml:space="preserve">Call Right Agreements </w:t>
      </w:r>
    </w:p>
    <w:p>
      <w:pPr>
        <w:pStyle w:val="TextBody"/>
        <w:spacing w:lineRule="auto" w:line="288" w:before="0" w:after="0"/>
        <w:jc w:val="both"/>
        <w:rPr>
          <w:sz w:val="17"/>
        </w:rPr>
      </w:pPr>
      <w:r>
        <w:rPr>
          <w:rFonts w:ascii="inherit" w:hAnsi="inherit"/>
          <w:sz w:val="17"/>
        </w:rPr>
        <w:t>On the Formation Date, we entered into certain call right agreements, which provide us with the opportunity to acquire Harrah’s Atlantic City, Harrah’s New Orleans and Harrah’s Laughlin from Caesars. We can exercise the call rights within five</w:t>
      </w:r>
      <w:r>
        <w:rPr>
          <w:sz w:val="17"/>
        </w:rPr>
        <w:t xml:space="preserve"> </w:t>
      </w:r>
      <w:r>
        <w:rPr>
          <w:rFonts w:ascii="inherit" w:hAnsi="inherit"/>
          <w:sz w:val="17"/>
        </w:rPr>
        <w:t>years from the Formation Date by delivering a request to the applicable owner of the property containing evidence of our ability to finance the call right. The purchase price for each property will be 10 multiplied by the initial property lease rent for the respective property, with the initial property lease rent for each property being the amount that causes the ratio of (x) EBITDAR of the property for the most recently ended four-quarter period for which financial statements are available to (y) the initial property lease rent to equal 1.67.</w:t>
      </w:r>
    </w:p>
    <w:p>
      <w:pPr>
        <w:pStyle w:val="TextBody"/>
        <w:spacing w:lineRule="auto" w:line="288" w:before="0" w:after="0"/>
        <w:jc w:val="both"/>
        <w:rPr>
          <w:sz w:val="20"/>
        </w:rPr>
      </w:pPr>
      <w:bookmarkStart w:id="16" w:name="sC9FEB2CC60165A5C91D87F98DD076352"/>
      <w:bookmarkEnd w:id="16"/>
      <w:r>
        <w:rPr>
          <w:rFonts w:ascii="inherit" w:hAnsi="inherit"/>
          <w:b/>
          <w:sz w:val="20"/>
        </w:rPr>
        <w:t>Note 5</w:t>
      </w:r>
      <w:r>
        <w:rPr>
          <w:sz w:val="20"/>
        </w:rPr>
        <w:t xml:space="preserve"> — </w:t>
      </w:r>
      <w:r>
        <w:rPr>
          <w:rFonts w:ascii="inherit" w:hAnsi="inherit"/>
          <w:b/>
          <w:sz w:val="20"/>
        </w:rPr>
        <w:t>Real Estate Portfolio</w:t>
      </w:r>
      <w:r>
        <w:rPr>
          <w:sz w:val="20"/>
        </w:rPr>
        <w:t xml:space="preserve"> </w:t>
      </w:r>
    </w:p>
    <w:p>
      <w:pPr>
        <w:pStyle w:val="TextBody"/>
        <w:spacing w:lineRule="auto" w:line="288" w:before="0" w:after="0"/>
        <w:jc w:val="both"/>
        <w:rPr>
          <w:rFonts w:ascii="inherit" w:hAnsi="inherit"/>
          <w:sz w:val="17"/>
        </w:rPr>
      </w:pPr>
      <w:r>
        <w:rPr>
          <w:rFonts w:ascii="inherit" w:hAnsi="inherit"/>
          <w:sz w:val="17"/>
        </w:rPr>
        <w:t>As of March 31, 2019, our real estate portfolio consisted of the following:</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sz w:val="17"/>
              </w:rPr>
            </w:pPr>
            <w:r>
              <w:rPr>
                <w:rFonts w:ascii="inherit" w:hAnsi="inherit"/>
                <w:sz w:val="17"/>
              </w:rPr>
              <w:t>Investments in direct financing and sales-type leases, representing our investment in 22</w:t>
            </w:r>
            <w:r>
              <w:rPr>
                <w:sz w:val="17"/>
              </w:rPr>
              <w:t xml:space="preserve"> </w:t>
            </w:r>
            <w:r>
              <w:rPr>
                <w:rFonts w:ascii="inherit" w:hAnsi="inherit"/>
                <w:sz w:val="17"/>
              </w:rPr>
              <w:t>casino assets leased on a triple net basis to our tenants, Caesars and Penn National, under five</w:t>
            </w:r>
            <w:r>
              <w:rPr>
                <w:sz w:val="17"/>
              </w:rPr>
              <w:t xml:space="preserve"> </w:t>
            </w:r>
            <w:r>
              <w:rPr>
                <w:rFonts w:ascii="inherit" w:hAnsi="inherit"/>
                <w:sz w:val="17"/>
              </w:rPr>
              <w:t>separate lease agreements;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Investments in operating leases, representing the portion of land separately classified and accounted for under the operating lease model associated with our investment in Caesars Palace Las Vegas and certain operating land parcels contained in the Non-CPLV Lease Agreement; and</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Land, representing our investment in the Eastside Property and certain non-operating, vacant land parcels contained in the Non-CPLV Lease Agreement.</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14</w:t>
      </w:r>
      <w:r>
        <w:br w:type="page"/>
      </w:r>
    </w:p>
    <w:p>
      <w:pPr>
        <w:pStyle w:val="TextBody"/>
        <w:spacing w:lineRule="auto" w:line="288" w:before="0" w:after="0"/>
        <w:jc w:val="left"/>
        <w:rPr/>
      </w:pPr>
      <w:hyperlink w:anchor="s7181E430E8A9506B896277AC8CF177C4">
        <w:r>
          <w:rPr>
            <w:rStyle w:val="InternetLink"/>
            <w:rFonts w:ascii="inherit" w:hAnsi="inherit"/>
            <w:sz w:val="17"/>
          </w:rPr>
          <w:t>Table of Contents</w:t>
        </w:r>
      </w:hyperlink>
    </w:p>
    <w:p>
      <w:pPr>
        <w:pStyle w:val="TextBody"/>
        <w:spacing w:lineRule="auto" w:line="288" w:before="0" w:after="0"/>
        <w:jc w:val="center"/>
        <w:rPr>
          <w:rFonts w:ascii="inherit" w:hAnsi="inherit"/>
          <w:b/>
          <w:sz w:val="18"/>
        </w:rPr>
      </w:pPr>
      <w:r>
        <w:rPr>
          <w:rFonts w:ascii="inherit" w:hAnsi="inherit"/>
          <w:b/>
          <w:sz w:val="18"/>
        </w:rPr>
        <w:t>VICI PROPERTIES INC.</w:t>
      </w:r>
    </w:p>
    <w:p>
      <w:pPr>
        <w:pStyle w:val="TextBody"/>
        <w:spacing w:lineRule="auto" w:line="288" w:before="0" w:after="0"/>
        <w:jc w:val="center"/>
        <w:rPr>
          <w:rFonts w:ascii="inherit" w:hAnsi="inherit"/>
          <w:b/>
          <w:sz w:val="18"/>
        </w:rPr>
      </w:pPr>
      <w:r>
        <w:rPr>
          <w:rFonts w:ascii="inherit" w:hAnsi="inherit"/>
          <w:b/>
          <w:sz w:val="18"/>
        </w:rPr>
        <w:t>NOTES TO CONSOLIDATED FINANCIAL STATEMENTS (Continued)</w:t>
      </w:r>
    </w:p>
    <w:p>
      <w:pPr>
        <w:pStyle w:val="TextBody"/>
        <w:spacing w:lineRule="auto" w:line="288" w:before="0" w:after="0"/>
        <w:jc w:val="center"/>
        <w:rPr>
          <w:rFonts w:ascii="inherit" w:hAnsi="inherit"/>
          <w:b/>
          <w:sz w:val="18"/>
        </w:rPr>
      </w:pPr>
      <w:r>
        <w:rPr>
          <w:rFonts w:ascii="inherit" w:hAnsi="inherit"/>
          <w:b/>
          <w:sz w:val="18"/>
        </w:rPr>
        <w:t>(UNAUDITED)</w:t>
      </w:r>
    </w:p>
    <w:p>
      <w:pPr>
        <w:pStyle w:val="TextBody"/>
        <w:spacing w:before="0" w:after="0"/>
        <w:rPr/>
      </w:pPr>
      <w:r>
        <w:rPr/>
      </w:r>
    </w:p>
    <w:p>
      <w:pPr>
        <w:pStyle w:val="TextBody"/>
        <w:spacing w:lineRule="auto" w:line="288" w:before="0" w:after="0"/>
        <w:jc w:val="left"/>
        <w:rPr>
          <w:sz w:val="17"/>
        </w:rPr>
      </w:pPr>
      <w:r>
        <w:rPr>
          <w:rFonts w:ascii="inherit" w:hAnsi="inherit"/>
          <w:sz w:val="17"/>
        </w:rPr>
        <w:t>The following is a summary of the balances of our real estate portfolio as of March 31, 2019</w:t>
      </w:r>
      <w:r>
        <w:rPr>
          <w:sz w:val="17"/>
        </w:rPr>
        <w:t xml:space="preserve"> </w:t>
      </w:r>
      <w:r>
        <w:rPr>
          <w:rFonts w:ascii="inherit" w:hAnsi="inherit"/>
          <w:sz w:val="17"/>
        </w:rPr>
        <w:t>and December 31, 2018:</w:t>
      </w:r>
    </w:p>
    <w:tbl>
      <w:tblPr>
        <w:tblW w:w="10205" w:type="dxa"/>
        <w:jc w:val="left"/>
        <w:tblInd w:w="0" w:type="dxa"/>
        <w:tblCellMar>
          <w:top w:w="0" w:type="dxa"/>
          <w:left w:w="0" w:type="dxa"/>
          <w:bottom w:w="0" w:type="dxa"/>
          <w:right w:w="0" w:type="dxa"/>
        </w:tblCellMar>
      </w:tblPr>
      <w:tblGrid>
        <w:gridCol w:w="7065"/>
        <w:gridCol w:w="141"/>
        <w:gridCol w:w="1085"/>
        <w:gridCol w:w="124"/>
        <w:gridCol w:w="90"/>
        <w:gridCol w:w="143"/>
        <w:gridCol w:w="1097"/>
        <w:gridCol w:w="460"/>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7065"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065" w:type="dxa"/>
            <w:tcBorders/>
            <w:shd w:fill="auto" w:val="clear"/>
            <w:vAlign w:val="center"/>
          </w:tcPr>
          <w:p>
            <w:pPr>
              <w:pStyle w:val="TableContents"/>
              <w:spacing w:before="0" w:after="0"/>
              <w:ind w:left="0" w:right="0" w:firstLine="30"/>
              <w:jc w:val="left"/>
              <w:rPr>
                <w:rFonts w:ascii="inherit" w:hAnsi="inherit"/>
                <w:b/>
                <w:i/>
                <w:sz w:val="13"/>
                <w:u w:val="single"/>
              </w:rPr>
            </w:pPr>
            <w:r>
              <w:rPr>
                <w:rFonts w:ascii="inherit" w:hAnsi="inherit"/>
                <w:b/>
                <w:i/>
                <w:sz w:val="13"/>
                <w:u w:val="single"/>
              </w:rPr>
              <w:t>(In thousands)</w:t>
            </w:r>
          </w:p>
        </w:tc>
        <w:tc>
          <w:tcPr>
            <w:tcW w:w="13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March 31, 2019</w:t>
            </w:r>
          </w:p>
        </w:tc>
        <w:tc>
          <w:tcPr>
            <w:tcW w:w="90" w:type="dxa"/>
            <w:tcBorders/>
            <w:shd w:fill="auto" w:val="clear"/>
            <w:vAlign w:val="center"/>
          </w:tcPr>
          <w:p>
            <w:pPr>
              <w:pStyle w:val="TableContents"/>
              <w:spacing w:before="0" w:after="0"/>
              <w:ind w:left="0" w:right="0" w:firstLine="30"/>
              <w:rPr/>
            </w:pPr>
            <w:r>
              <w:rPr/>
              <w:t> </w:t>
            </w:r>
          </w:p>
        </w:tc>
        <w:tc>
          <w:tcPr>
            <w:tcW w:w="170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December 31, 2018</w:t>
            </w:r>
          </w:p>
        </w:tc>
      </w:tr>
      <w:tr>
        <w:trPr/>
        <w:tc>
          <w:tcPr>
            <w:tcW w:w="7065" w:type="dxa"/>
            <w:tcBorders/>
            <w:shd w:fill="CCEEFF" w:val="clear"/>
            <w:vAlign w:val="center"/>
          </w:tcPr>
          <w:p>
            <w:pPr>
              <w:pStyle w:val="TableContents"/>
              <w:spacing w:lineRule="auto" w:line="288" w:before="0" w:after="0"/>
              <w:ind w:left="0" w:right="0" w:firstLine="30"/>
              <w:jc w:val="left"/>
              <w:rPr>
                <w:sz w:val="17"/>
              </w:rPr>
            </w:pPr>
            <w:r>
              <w:rPr>
                <w:rFonts w:ascii="inherit" w:hAnsi="inherit"/>
                <w:sz w:val="17"/>
              </w:rPr>
              <w:t xml:space="preserve">Minimum lease payments receivable under direct financing and sales-type leases </w:t>
            </w:r>
            <w:r>
              <w:rPr>
                <w:rFonts w:ascii="inherit" w:hAnsi="inherit"/>
                <w:i/>
                <w:sz w:val="12"/>
              </w:rPr>
              <w:t>(1)</w:t>
            </w:r>
          </w:p>
        </w:tc>
        <w:tc>
          <w:tcPr>
            <w:tcW w:w="141"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08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27,906,577</w:t>
            </w:r>
          </w:p>
        </w:tc>
        <w:tc>
          <w:tcPr>
            <w:tcW w:w="12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3"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09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27,285,943</w:t>
            </w:r>
          </w:p>
        </w:tc>
        <w:tc>
          <w:tcPr>
            <w:tcW w:w="46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0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Estimated residual values of leased property (not guaranteed)</w:t>
            </w:r>
          </w:p>
        </w:tc>
        <w:tc>
          <w:tcPr>
            <w:tcW w:w="12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2,170,076</w:t>
            </w:r>
          </w:p>
        </w:tc>
        <w:tc>
          <w:tcPr>
            <w:tcW w:w="1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2,135,312</w:t>
            </w:r>
          </w:p>
        </w:tc>
        <w:tc>
          <w:tcPr>
            <w:tcW w:w="4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0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investment in direct financing and sales-type leases</w:t>
            </w:r>
          </w:p>
        </w:tc>
        <w:tc>
          <w:tcPr>
            <w:tcW w:w="1226"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30,076,653</w:t>
            </w:r>
          </w:p>
        </w:tc>
        <w:tc>
          <w:tcPr>
            <w:tcW w:w="12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40"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29,421,255</w:t>
            </w:r>
          </w:p>
        </w:tc>
        <w:tc>
          <w:tcPr>
            <w:tcW w:w="46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0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Unamortized initial direct costs</w:t>
            </w:r>
          </w:p>
        </w:tc>
        <w:tc>
          <w:tcPr>
            <w:tcW w:w="12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29,004</w:t>
            </w:r>
          </w:p>
        </w:tc>
        <w:tc>
          <w:tcPr>
            <w:tcW w:w="1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22,822</w:t>
            </w:r>
          </w:p>
        </w:tc>
        <w:tc>
          <w:tcPr>
            <w:tcW w:w="4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0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Less: Unearned income</w:t>
            </w:r>
          </w:p>
        </w:tc>
        <w:tc>
          <w:tcPr>
            <w:tcW w:w="12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(20,919,513</w:t>
            </w:r>
          </w:p>
        </w:tc>
        <w:tc>
          <w:tcPr>
            <w:tcW w:w="1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2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(20,528,030</w:t>
            </w:r>
          </w:p>
        </w:tc>
        <w:tc>
          <w:tcPr>
            <w:tcW w:w="460"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70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Investment in direct financing and sales-type leases, net</w:t>
            </w:r>
          </w:p>
        </w:tc>
        <w:tc>
          <w:tcPr>
            <w:tcW w:w="1226"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9,186,144</w:t>
            </w:r>
          </w:p>
        </w:tc>
        <w:tc>
          <w:tcPr>
            <w:tcW w:w="124"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40"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8,916,047</w:t>
            </w:r>
          </w:p>
        </w:tc>
        <w:tc>
          <w:tcPr>
            <w:tcW w:w="46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0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Investment in operating leases</w:t>
            </w:r>
          </w:p>
        </w:tc>
        <w:tc>
          <w:tcPr>
            <w:tcW w:w="122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1,086,658</w:t>
            </w:r>
          </w:p>
        </w:tc>
        <w:tc>
          <w:tcPr>
            <w:tcW w:w="12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4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1,086,658</w:t>
            </w:r>
          </w:p>
        </w:tc>
        <w:tc>
          <w:tcPr>
            <w:tcW w:w="460" w:type="dxa"/>
            <w:tcBorders>
              <w:bottom w:val="single" w:sz="2" w:space="0" w:color="000000"/>
            </w:tcBorders>
            <w:shd w:fill="CCEEFF"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0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Investments in leases, net</w:t>
            </w:r>
          </w:p>
        </w:tc>
        <w:tc>
          <w:tcPr>
            <w:tcW w:w="1226"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10,272,802</w:t>
            </w:r>
          </w:p>
        </w:tc>
        <w:tc>
          <w:tcPr>
            <w:tcW w:w="124"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40"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10,002,705</w:t>
            </w:r>
          </w:p>
        </w:tc>
        <w:tc>
          <w:tcPr>
            <w:tcW w:w="46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0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Land</w:t>
            </w:r>
          </w:p>
        </w:tc>
        <w:tc>
          <w:tcPr>
            <w:tcW w:w="122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94,711</w:t>
            </w:r>
          </w:p>
        </w:tc>
        <w:tc>
          <w:tcPr>
            <w:tcW w:w="12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95,789</w:t>
            </w:r>
          </w:p>
        </w:tc>
        <w:tc>
          <w:tcPr>
            <w:tcW w:w="460"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0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Real estate portfolio</w:t>
            </w:r>
          </w:p>
        </w:tc>
        <w:tc>
          <w:tcPr>
            <w:tcW w:w="1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10,367,513</w:t>
            </w:r>
          </w:p>
        </w:tc>
        <w:tc>
          <w:tcPr>
            <w:tcW w:w="12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9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10,098,494</w:t>
            </w:r>
          </w:p>
        </w:tc>
        <w:tc>
          <w:tcPr>
            <w:tcW w:w="46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3"/>
        </w:rPr>
      </w:pPr>
      <w:r>
        <w:rPr>
          <w:rFonts w:ascii="inherit" w:hAnsi="inherit"/>
          <w:sz w:val="13"/>
        </w:rPr>
        <w:t>____________________</w:t>
      </w:r>
    </w:p>
    <w:p>
      <w:pPr>
        <w:pStyle w:val="TextBody"/>
        <w:spacing w:lineRule="auto" w:line="288" w:before="0" w:after="0"/>
        <w:jc w:val="both"/>
        <w:rPr>
          <w:rFonts w:ascii="inherit" w:hAnsi="inherit"/>
          <w:i/>
          <w:sz w:val="13"/>
        </w:rPr>
      </w:pPr>
      <w:r>
        <w:rPr>
          <w:rFonts w:ascii="inherit" w:hAnsi="inherit"/>
          <w:i/>
          <w:sz w:val="13"/>
        </w:rPr>
        <w:t>(1) Minimum lease payments do not include contingent rent, as discussed below, that may be received under the Lease Agreements.</w:t>
      </w:r>
    </w:p>
    <w:p>
      <w:pPr>
        <w:pStyle w:val="TextBody"/>
        <w:spacing w:lineRule="auto" w:line="288" w:before="0" w:after="0"/>
        <w:jc w:val="both"/>
        <w:rPr>
          <w:rFonts w:ascii="inherit" w:hAnsi="inherit"/>
          <w:sz w:val="17"/>
        </w:rPr>
      </w:pPr>
      <w:r>
        <w:rPr>
          <w:rFonts w:ascii="inherit" w:hAnsi="inherit"/>
          <w:sz w:val="17"/>
        </w:rPr>
        <w:t>The following table details the components of our income from direct financing, sales-type and operating leases:</w:t>
      </w:r>
    </w:p>
    <w:tbl>
      <w:tblPr>
        <w:tblW w:w="10205" w:type="dxa"/>
        <w:jc w:val="center"/>
        <w:tblInd w:w="0" w:type="dxa"/>
        <w:tblCellMar>
          <w:top w:w="0" w:type="dxa"/>
          <w:left w:w="0" w:type="dxa"/>
          <w:bottom w:w="0" w:type="dxa"/>
          <w:right w:w="0" w:type="dxa"/>
        </w:tblCellMar>
      </w:tblPr>
      <w:tblGrid>
        <w:gridCol w:w="4357"/>
        <w:gridCol w:w="385"/>
        <w:gridCol w:w="2145"/>
        <w:gridCol w:w="339"/>
        <w:gridCol w:w="90"/>
        <w:gridCol w:w="381"/>
        <w:gridCol w:w="2122"/>
        <w:gridCol w:w="386"/>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4357"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2145"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2122"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357" w:type="dxa"/>
            <w:tcBorders/>
            <w:shd w:fill="auto" w:val="clear"/>
            <w:vAlign w:val="center"/>
          </w:tcPr>
          <w:p>
            <w:pPr>
              <w:pStyle w:val="TableContents"/>
              <w:spacing w:before="0" w:after="0"/>
              <w:ind w:left="0" w:right="0" w:firstLine="30"/>
              <w:jc w:val="left"/>
              <w:rPr>
                <w:rFonts w:ascii="inherit" w:hAnsi="inherit"/>
                <w:b/>
                <w:i/>
                <w:sz w:val="13"/>
                <w:u w:val="single"/>
              </w:rPr>
            </w:pPr>
            <w:r>
              <w:rPr>
                <w:rFonts w:ascii="inherit" w:hAnsi="inherit"/>
                <w:b/>
                <w:i/>
                <w:sz w:val="13"/>
                <w:u w:val="single"/>
              </w:rPr>
              <w:t>(In thousands)</w:t>
            </w:r>
          </w:p>
        </w:tc>
        <w:tc>
          <w:tcPr>
            <w:tcW w:w="2869" w:type="dxa"/>
            <w:gridSpan w:val="3"/>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Three Months Ended March 31, 2019</w:t>
            </w:r>
          </w:p>
        </w:tc>
        <w:tc>
          <w:tcPr>
            <w:tcW w:w="90" w:type="dxa"/>
            <w:tcBorders/>
            <w:shd w:fill="auto" w:val="clear"/>
            <w:vAlign w:val="center"/>
          </w:tcPr>
          <w:p>
            <w:pPr>
              <w:pStyle w:val="TableContents"/>
              <w:spacing w:before="0" w:after="0"/>
              <w:ind w:left="0" w:right="0" w:firstLine="30"/>
              <w:rPr/>
            </w:pPr>
            <w:r>
              <w:rPr/>
              <w:t> </w:t>
            </w:r>
          </w:p>
        </w:tc>
        <w:tc>
          <w:tcPr>
            <w:tcW w:w="2889" w:type="dxa"/>
            <w:gridSpan w:val="3"/>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Three Months Ended March 31, 2018</w:t>
            </w:r>
          </w:p>
        </w:tc>
      </w:tr>
      <w:tr>
        <w:trPr/>
        <w:tc>
          <w:tcPr>
            <w:tcW w:w="43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direct financing and sales-type leases</w:t>
            </w:r>
          </w:p>
        </w:tc>
        <w:tc>
          <w:tcPr>
            <w:tcW w:w="38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214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195,750</w:t>
            </w:r>
          </w:p>
        </w:tc>
        <w:tc>
          <w:tcPr>
            <w:tcW w:w="33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81"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2122"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182,036</w:t>
            </w:r>
          </w:p>
        </w:tc>
        <w:tc>
          <w:tcPr>
            <w:tcW w:w="38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57"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Income from operating leases </w:t>
            </w:r>
            <w:r>
              <w:rPr>
                <w:rFonts w:ascii="inherit" w:hAnsi="inherit"/>
                <w:i/>
                <w:sz w:val="12"/>
              </w:rPr>
              <w:t>(1)</w:t>
            </w:r>
          </w:p>
        </w:tc>
        <w:tc>
          <w:tcPr>
            <w:tcW w:w="253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10,913</w:t>
            </w:r>
          </w:p>
        </w:tc>
        <w:tc>
          <w:tcPr>
            <w:tcW w:w="33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50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12,209</w:t>
            </w:r>
          </w:p>
        </w:tc>
        <w:tc>
          <w:tcPr>
            <w:tcW w:w="38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57" w:type="dxa"/>
            <w:tcBorders/>
            <w:shd w:fill="CCEEFF" w:val="clear"/>
            <w:vAlign w:val="center"/>
          </w:tcPr>
          <w:p>
            <w:pPr>
              <w:pStyle w:val="TableContents"/>
              <w:spacing w:before="0" w:after="0"/>
              <w:ind w:left="0" w:right="0" w:firstLine="30"/>
              <w:jc w:val="left"/>
              <w:rPr/>
            </w:pPr>
            <w:r>
              <w:rPr/>
              <w:t>     </w:t>
            </w:r>
            <w:r>
              <w:rPr>
                <w:rFonts w:ascii="inherit" w:hAnsi="inherit"/>
                <w:sz w:val="17"/>
              </w:rPr>
              <w:t>Total lease revenue</w:t>
            </w:r>
          </w:p>
        </w:tc>
        <w:tc>
          <w:tcPr>
            <w:tcW w:w="25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206,663</w:t>
            </w:r>
          </w:p>
        </w:tc>
        <w:tc>
          <w:tcPr>
            <w:tcW w:w="3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50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194,245</w:t>
            </w:r>
          </w:p>
        </w:tc>
        <w:tc>
          <w:tcPr>
            <w:tcW w:w="3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57"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Less: Direct financing and sales-type lease adjustment </w:t>
            </w:r>
            <w:r>
              <w:rPr>
                <w:rFonts w:ascii="inherit" w:hAnsi="inherit"/>
                <w:i/>
                <w:sz w:val="12"/>
              </w:rPr>
              <w:t>(2)</w:t>
            </w:r>
          </w:p>
        </w:tc>
        <w:tc>
          <w:tcPr>
            <w:tcW w:w="25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(2,512</w:t>
            </w:r>
          </w:p>
        </w:tc>
        <w:tc>
          <w:tcPr>
            <w:tcW w:w="3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250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(12,914</w:t>
            </w:r>
          </w:p>
        </w:tc>
        <w:tc>
          <w:tcPr>
            <w:tcW w:w="3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357" w:type="dxa"/>
            <w:tcBorders/>
            <w:shd w:fill="CCEEFF" w:val="clear"/>
            <w:vAlign w:val="center"/>
          </w:tcPr>
          <w:p>
            <w:pPr>
              <w:pStyle w:val="TableContents"/>
              <w:spacing w:before="0" w:after="0"/>
              <w:ind w:left="0" w:right="0" w:firstLine="30"/>
              <w:jc w:val="left"/>
              <w:rPr/>
            </w:pPr>
            <w:r>
              <w:rPr/>
              <w:t>     </w:t>
            </w:r>
            <w:r>
              <w:rPr>
                <w:rFonts w:ascii="inherit" w:hAnsi="inherit"/>
                <w:sz w:val="17"/>
              </w:rPr>
              <w:t>Total contractual lease revenue</w:t>
            </w:r>
          </w:p>
        </w:tc>
        <w:tc>
          <w:tcPr>
            <w:tcW w:w="38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14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204,151</w:t>
            </w:r>
          </w:p>
        </w:tc>
        <w:tc>
          <w:tcPr>
            <w:tcW w:w="33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8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12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181,331</w:t>
            </w:r>
          </w:p>
        </w:tc>
        <w:tc>
          <w:tcPr>
            <w:tcW w:w="38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____________________</w:t>
      </w:r>
    </w:p>
    <w:p>
      <w:pPr>
        <w:pStyle w:val="TextBody"/>
        <w:spacing w:lineRule="auto" w:line="288" w:before="0" w:after="0"/>
        <w:jc w:val="both"/>
        <w:rPr>
          <w:rFonts w:ascii="inherit" w:hAnsi="inherit"/>
          <w:i/>
          <w:sz w:val="13"/>
        </w:rPr>
      </w:pPr>
      <w:r>
        <w:rPr>
          <w:rFonts w:ascii="inherit" w:hAnsi="inherit"/>
          <w:i/>
          <w:sz w:val="13"/>
        </w:rPr>
        <w:t>(1) Represents portion of land separately classified and accounted for under the operating lease model associated with our investment in Caesars Palace Las Vegas and certain operating land parcels contained in the Non-CPLV Lease Agreement.</w:t>
      </w:r>
    </w:p>
    <w:p>
      <w:pPr>
        <w:pStyle w:val="TextBody"/>
        <w:spacing w:lineRule="auto" w:line="288" w:before="0" w:after="0"/>
        <w:jc w:val="both"/>
        <w:rPr>
          <w:rFonts w:ascii="inherit" w:hAnsi="inherit"/>
          <w:i/>
          <w:sz w:val="13"/>
        </w:rPr>
      </w:pPr>
      <w:r>
        <w:rPr>
          <w:rFonts w:ascii="inherit" w:hAnsi="inherit"/>
          <w:i/>
          <w:sz w:val="13"/>
        </w:rPr>
        <w:t xml:space="preserve">(2) Amounts represent the non-cash adjustment to income from direct financing and sales-type leases in order to recognize income on an effective interest basis at a constant rate of return over the term of the leases. </w:t>
      </w:r>
    </w:p>
    <w:p>
      <w:pPr>
        <w:pStyle w:val="TextBody"/>
        <w:spacing w:lineRule="auto" w:line="288" w:before="0" w:after="0"/>
        <w:jc w:val="both"/>
        <w:rPr>
          <w:rFonts w:ascii="inherit" w:hAnsi="inherit"/>
          <w:sz w:val="17"/>
        </w:rPr>
      </w:pPr>
      <w:r>
        <w:rPr>
          <w:rFonts w:ascii="inherit" w:hAnsi="inherit"/>
          <w:sz w:val="17"/>
        </w:rPr>
        <w:t>At March 31, 2019, minimum lease payments owed to us for each of the five succeeding years under direct financing, sales-type and operating leases are as follows:</w:t>
      </w:r>
    </w:p>
    <w:tbl>
      <w:tblPr>
        <w:tblW w:w="3954" w:type="dxa"/>
        <w:jc w:val="left"/>
        <w:tblInd w:w="0" w:type="dxa"/>
        <w:tblCellMar>
          <w:top w:w="0" w:type="dxa"/>
          <w:left w:w="0" w:type="dxa"/>
          <w:bottom w:w="0" w:type="dxa"/>
          <w:right w:w="0" w:type="dxa"/>
        </w:tblCellMar>
      </w:tblPr>
      <w:tblGrid>
        <w:gridCol w:w="1505"/>
        <w:gridCol w:w="273"/>
        <w:gridCol w:w="2078"/>
        <w:gridCol w:w="98"/>
      </w:tblGrid>
      <w:tr>
        <w:trPr/>
        <w:tc>
          <w:tcPr>
            <w:tcW w:w="3954" w:type="dxa"/>
            <w:gridSpan w:val="4"/>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078"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505" w:type="dxa"/>
            <w:tcBorders/>
            <w:shd w:fill="auto" w:val="clear"/>
            <w:vAlign w:val="center"/>
          </w:tcPr>
          <w:p>
            <w:pPr>
              <w:pStyle w:val="TableContents"/>
              <w:spacing w:before="0" w:after="0"/>
              <w:ind w:left="0" w:right="0" w:firstLine="30"/>
              <w:jc w:val="left"/>
              <w:rPr>
                <w:rFonts w:ascii="inherit" w:hAnsi="inherit"/>
                <w:b/>
                <w:i/>
                <w:sz w:val="13"/>
                <w:u w:val="single"/>
              </w:rPr>
            </w:pPr>
            <w:r>
              <w:rPr>
                <w:rFonts w:ascii="inherit" w:hAnsi="inherit"/>
                <w:b/>
                <w:i/>
                <w:sz w:val="13"/>
                <w:u w:val="single"/>
              </w:rPr>
              <w:t>(In thousands)</w:t>
            </w:r>
          </w:p>
        </w:tc>
        <w:tc>
          <w:tcPr>
            <w:tcW w:w="2449" w:type="dxa"/>
            <w:gridSpan w:val="3"/>
            <w:tcBorders>
              <w:bottom w:val="single" w:sz="2" w:space="0" w:color="000000"/>
            </w:tcBorders>
            <w:shd w:fill="auto" w:val="clear"/>
            <w:tcMar>
              <w:bottom w:w="30" w:type="dxa"/>
            </w:tcMar>
            <w:vAlign w:val="center"/>
          </w:tcPr>
          <w:p>
            <w:pPr>
              <w:pStyle w:val="TableContents"/>
              <w:spacing w:lineRule="auto" w:line="288" w:before="0" w:after="0"/>
              <w:ind w:left="0" w:right="0" w:firstLine="30"/>
              <w:jc w:val="center"/>
              <w:rPr>
                <w:sz w:val="17"/>
              </w:rPr>
            </w:pPr>
            <w:r>
              <w:rPr>
                <w:rFonts w:ascii="inherit" w:hAnsi="inherit"/>
                <w:b/>
                <w:sz w:val="15"/>
              </w:rPr>
              <w:t xml:space="preserve">Minimum Lease Payments </w:t>
            </w:r>
            <w:r>
              <w:rPr>
                <w:rFonts w:ascii="inherit" w:hAnsi="inherit"/>
                <w:i/>
                <w:sz w:val="12"/>
              </w:rPr>
              <w:t>(1)</w:t>
            </w:r>
          </w:p>
        </w:tc>
      </w:tr>
      <w:tr>
        <w:trPr/>
        <w:tc>
          <w:tcPr>
            <w:tcW w:w="15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2019 (remaining)</w:t>
            </w:r>
          </w:p>
        </w:tc>
        <w:tc>
          <w:tcPr>
            <w:tcW w:w="2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2078" w:type="dxa"/>
            <w:tcBorders/>
            <w:shd w:fill="CCEEFF" w:val="clear"/>
            <w:vAlign w:val="center"/>
          </w:tcPr>
          <w:p>
            <w:pPr>
              <w:pStyle w:val="TableContents"/>
              <w:spacing w:before="0" w:after="0"/>
              <w:jc w:val="right"/>
              <w:rPr>
                <w:rFonts w:ascii="inherit" w:hAnsi="inherit"/>
                <w:sz w:val="17"/>
              </w:rPr>
            </w:pPr>
            <w:r>
              <w:rPr>
                <w:rFonts w:ascii="inherit" w:hAnsi="inherit"/>
                <w:sz w:val="17"/>
              </w:rPr>
              <w:t>614,455</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2020</w:t>
            </w:r>
          </w:p>
        </w:tc>
        <w:tc>
          <w:tcPr>
            <w:tcW w:w="235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830,483</w:t>
            </w:r>
          </w:p>
        </w:tc>
        <w:tc>
          <w:tcPr>
            <w:tcW w:w="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2021</w:t>
            </w:r>
          </w:p>
        </w:tc>
        <w:tc>
          <w:tcPr>
            <w:tcW w:w="235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842,488</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2022</w:t>
            </w:r>
          </w:p>
        </w:tc>
        <w:tc>
          <w:tcPr>
            <w:tcW w:w="235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855,122</w:t>
            </w:r>
          </w:p>
        </w:tc>
        <w:tc>
          <w:tcPr>
            <w:tcW w:w="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2023</w:t>
            </w:r>
          </w:p>
        </w:tc>
        <w:tc>
          <w:tcPr>
            <w:tcW w:w="235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869,242</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2024</w:t>
            </w:r>
          </w:p>
        </w:tc>
        <w:tc>
          <w:tcPr>
            <w:tcW w:w="235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881,204</w:t>
            </w:r>
          </w:p>
        </w:tc>
        <w:tc>
          <w:tcPr>
            <w:tcW w:w="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Thereafter</w:t>
            </w:r>
          </w:p>
        </w:tc>
        <w:tc>
          <w:tcPr>
            <w:tcW w:w="235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24,479,605</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0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Total</w:t>
            </w:r>
          </w:p>
        </w:tc>
        <w:tc>
          <w:tcPr>
            <w:tcW w:w="27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07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29,372,599</w:t>
            </w:r>
          </w:p>
        </w:tc>
        <w:tc>
          <w:tcPr>
            <w:tcW w:w="9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____________________</w:t>
      </w:r>
    </w:p>
    <w:p>
      <w:pPr>
        <w:pStyle w:val="TextBody"/>
        <w:spacing w:lineRule="auto" w:line="288" w:before="0" w:after="0"/>
        <w:jc w:val="both"/>
        <w:rPr>
          <w:rFonts w:ascii="inherit" w:hAnsi="inherit"/>
          <w:i/>
          <w:sz w:val="13"/>
        </w:rPr>
      </w:pPr>
      <w:r>
        <w:rPr>
          <w:rFonts w:ascii="inherit" w:hAnsi="inherit"/>
          <w:i/>
          <w:sz w:val="13"/>
        </w:rPr>
        <w:t>(1) Minimum lease payments do not include contingent rent, as discussed below, that may be received under the Lease Agreements.</w:t>
      </w:r>
    </w:p>
    <w:p>
      <w:pPr>
        <w:pStyle w:val="TextBody"/>
        <w:spacing w:lineRule="auto" w:line="288" w:before="0" w:after="0"/>
        <w:jc w:val="both"/>
        <w:rPr>
          <w:sz w:val="17"/>
        </w:rPr>
      </w:pPr>
      <w:r>
        <w:rPr>
          <w:rFonts w:ascii="inherit" w:hAnsi="inherit"/>
          <w:sz w:val="17"/>
        </w:rPr>
        <w:t>The weighted average remaining lease term, including renewal options, for our direct financing, sales-type and operating leases at March 31, 2019</w:t>
      </w:r>
      <w:r>
        <w:rPr>
          <w:sz w:val="17"/>
        </w:rPr>
        <w:t xml:space="preserve"> </w:t>
      </w:r>
      <w:r>
        <w:rPr>
          <w:rFonts w:ascii="inherit" w:hAnsi="inherit"/>
          <w:sz w:val="17"/>
        </w:rPr>
        <w:t>was 33.6</w:t>
      </w:r>
      <w:r>
        <w:rPr>
          <w:sz w:val="17"/>
        </w:rPr>
        <w:t xml:space="preserve"> </w:t>
      </w:r>
      <w:r>
        <w:rPr>
          <w:rFonts w:ascii="inherit" w:hAnsi="inherit"/>
          <w:sz w:val="17"/>
        </w:rPr>
        <w:t xml:space="preserve">years.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15</w:t>
      </w:r>
      <w:r>
        <w:br w:type="page"/>
      </w:r>
    </w:p>
    <w:p>
      <w:pPr>
        <w:pStyle w:val="TextBody"/>
        <w:spacing w:lineRule="auto" w:line="288" w:before="0" w:after="0"/>
        <w:jc w:val="left"/>
        <w:rPr/>
      </w:pPr>
      <w:hyperlink w:anchor="s7181E430E8A9506B896277AC8CF177C4">
        <w:r>
          <w:rPr>
            <w:rStyle w:val="InternetLink"/>
            <w:rFonts w:ascii="inherit" w:hAnsi="inherit"/>
            <w:sz w:val="17"/>
          </w:rPr>
          <w:t>Table of Contents</w:t>
        </w:r>
      </w:hyperlink>
    </w:p>
    <w:p>
      <w:pPr>
        <w:pStyle w:val="TextBody"/>
        <w:spacing w:lineRule="auto" w:line="288" w:before="0" w:after="0"/>
        <w:jc w:val="center"/>
        <w:rPr>
          <w:rFonts w:ascii="inherit" w:hAnsi="inherit"/>
          <w:b/>
          <w:sz w:val="18"/>
        </w:rPr>
      </w:pPr>
      <w:r>
        <w:rPr>
          <w:rFonts w:ascii="inherit" w:hAnsi="inherit"/>
          <w:b/>
          <w:sz w:val="18"/>
        </w:rPr>
        <w:t>VICI PROPERTIES INC.</w:t>
      </w:r>
    </w:p>
    <w:p>
      <w:pPr>
        <w:pStyle w:val="TextBody"/>
        <w:spacing w:lineRule="auto" w:line="288" w:before="0" w:after="0"/>
        <w:jc w:val="center"/>
        <w:rPr>
          <w:rFonts w:ascii="inherit" w:hAnsi="inherit"/>
          <w:b/>
          <w:sz w:val="18"/>
        </w:rPr>
      </w:pPr>
      <w:r>
        <w:rPr>
          <w:rFonts w:ascii="inherit" w:hAnsi="inherit"/>
          <w:b/>
          <w:sz w:val="18"/>
        </w:rPr>
        <w:t>NOTES TO CONSOLIDATED FINANCIAL STATEMENTS (Continued)</w:t>
      </w:r>
    </w:p>
    <w:p>
      <w:pPr>
        <w:pStyle w:val="TextBody"/>
        <w:spacing w:lineRule="auto" w:line="288" w:before="0" w:after="0"/>
        <w:jc w:val="center"/>
        <w:rPr>
          <w:rFonts w:ascii="inherit" w:hAnsi="inherit"/>
          <w:b/>
          <w:sz w:val="18"/>
        </w:rPr>
      </w:pPr>
      <w:r>
        <w:rPr>
          <w:rFonts w:ascii="inherit" w:hAnsi="inherit"/>
          <w:b/>
          <w:sz w:val="18"/>
        </w:rPr>
        <w:t>(UNAUDITED)</w:t>
      </w:r>
    </w:p>
    <w:p>
      <w:pPr>
        <w:pStyle w:val="TextBody"/>
        <w:spacing w:before="0" w:after="0"/>
        <w:rPr/>
      </w:pPr>
      <w:r>
        <w:rPr/>
      </w:r>
    </w:p>
    <w:p>
      <w:pPr>
        <w:pStyle w:val="TextBody"/>
        <w:spacing w:lineRule="auto" w:line="288" w:before="0" w:after="0"/>
        <w:jc w:val="both"/>
        <w:rPr>
          <w:rFonts w:ascii="inherit" w:hAnsi="inherit"/>
          <w:b/>
          <w:sz w:val="17"/>
        </w:rPr>
      </w:pPr>
      <w:r>
        <w:rPr>
          <w:rFonts w:ascii="inherit" w:hAnsi="inherit"/>
          <w:b/>
          <w:sz w:val="17"/>
        </w:rPr>
        <w:t>Lease Provisions</w:t>
      </w:r>
    </w:p>
    <w:p>
      <w:pPr>
        <w:pStyle w:val="TextBody"/>
        <w:spacing w:lineRule="auto" w:line="288" w:before="0" w:after="0"/>
        <w:jc w:val="both"/>
        <w:rPr>
          <w:rFonts w:ascii="inherit" w:hAnsi="inherit"/>
          <w:b/>
          <w:i/>
          <w:sz w:val="17"/>
        </w:rPr>
      </w:pPr>
      <w:r>
        <w:rPr>
          <w:rFonts w:ascii="inherit" w:hAnsi="inherit"/>
          <w:b/>
          <w:i/>
          <w:sz w:val="17"/>
        </w:rPr>
        <w:t>Caesars Lease Agreements - Overview</w:t>
      </w:r>
    </w:p>
    <w:p>
      <w:pPr>
        <w:pStyle w:val="TextBody"/>
        <w:spacing w:lineRule="auto" w:line="288" w:before="0" w:after="0"/>
        <w:jc w:val="both"/>
        <w:rPr>
          <w:rFonts w:ascii="inherit" w:hAnsi="inherit"/>
          <w:sz w:val="17"/>
        </w:rPr>
      </w:pPr>
      <w:r>
        <w:rPr>
          <w:rFonts w:ascii="inherit" w:hAnsi="inherit"/>
          <w:sz w:val="17"/>
        </w:rPr>
        <w:t>The following is a summary of the material lease provisions of our Caesars Lease Agreements:</w:t>
      </w:r>
    </w:p>
    <w:tbl>
      <w:tblPr>
        <w:tblW w:w="10205" w:type="dxa"/>
        <w:jc w:val="center"/>
        <w:tblInd w:w="0" w:type="dxa"/>
        <w:tblCellMar>
          <w:top w:w="0" w:type="dxa"/>
          <w:left w:w="0" w:type="dxa"/>
          <w:bottom w:w="0" w:type="dxa"/>
          <w:right w:w="0" w:type="dxa"/>
        </w:tblCellMar>
      </w:tblPr>
      <w:tblGrid>
        <w:gridCol w:w="2178"/>
        <w:gridCol w:w="90"/>
        <w:gridCol w:w="2805"/>
        <w:gridCol w:w="90"/>
        <w:gridCol w:w="2130"/>
        <w:gridCol w:w="90"/>
        <w:gridCol w:w="2822"/>
      </w:tblGrid>
      <w:tr>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217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8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82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178" w:type="dxa"/>
            <w:tcBorders/>
            <w:shd w:fill="auto" w:val="clear"/>
            <w:vAlign w:val="center"/>
          </w:tcPr>
          <w:p>
            <w:pPr>
              <w:pStyle w:val="TableContents"/>
              <w:spacing w:before="0" w:after="0"/>
              <w:ind w:left="0" w:right="0" w:firstLine="30"/>
              <w:jc w:val="left"/>
              <w:rPr>
                <w:rFonts w:ascii="inherit" w:hAnsi="inherit"/>
                <w:b/>
                <w:i/>
                <w:sz w:val="13"/>
                <w:u w:val="single"/>
              </w:rPr>
            </w:pPr>
            <w:r>
              <w:rPr>
                <w:rFonts w:ascii="inherit" w:hAnsi="inherit"/>
                <w:b/>
                <w:i/>
                <w:sz w:val="13"/>
                <w:u w:val="single"/>
              </w:rPr>
              <w:t>($ In thousands)</w:t>
            </w:r>
          </w:p>
        </w:tc>
        <w:tc>
          <w:tcPr>
            <w:tcW w:w="90" w:type="dxa"/>
            <w:tcBorders/>
            <w:shd w:fill="auto" w:val="clear"/>
            <w:vAlign w:val="center"/>
          </w:tcPr>
          <w:p>
            <w:pPr>
              <w:pStyle w:val="TableContents"/>
              <w:spacing w:before="0" w:after="0"/>
              <w:ind w:left="0" w:right="0" w:firstLine="30"/>
              <w:rPr/>
            </w:pPr>
            <w:r>
              <w:rPr/>
              <w:t> </w:t>
            </w:r>
          </w:p>
        </w:tc>
        <w:tc>
          <w:tcPr>
            <w:tcW w:w="28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1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822" w:type="dxa"/>
            <w:tcBorders/>
            <w:shd w:fill="auto" w:val="clear"/>
            <w:vAlign w:val="center"/>
          </w:tcPr>
          <w:p>
            <w:pPr>
              <w:pStyle w:val="TableContents"/>
              <w:spacing w:before="0" w:after="0"/>
              <w:ind w:left="0" w:right="0" w:firstLine="30"/>
              <w:rPr/>
            </w:pPr>
            <w:r>
              <w:rPr/>
              <w:t> </w:t>
            </w:r>
          </w:p>
        </w:tc>
      </w:tr>
      <w:tr>
        <w:trPr/>
        <w:tc>
          <w:tcPr>
            <w:tcW w:w="2178" w:type="dxa"/>
            <w:tcBorders>
              <w:bottom w:val="single" w:sz="2" w:space="0" w:color="000000"/>
            </w:tcBorders>
            <w:shd w:fill="auto" w:val="clear"/>
            <w:tcMar>
              <w:bottom w:w="30" w:type="dxa"/>
            </w:tcMar>
            <w:vAlign w:val="center"/>
          </w:tcPr>
          <w:p>
            <w:pPr>
              <w:pStyle w:val="TableContents"/>
              <w:spacing w:lineRule="auto" w:line="288" w:before="0" w:after="0"/>
              <w:ind w:left="0" w:right="0" w:firstLine="30"/>
              <w:rPr>
                <w:sz w:val="17"/>
              </w:rPr>
            </w:pPr>
            <w:r>
              <w:rPr>
                <w:rFonts w:ascii="inherit" w:hAnsi="inherit"/>
                <w:b/>
                <w:sz w:val="15"/>
              </w:rPr>
              <w:t xml:space="preserve">Lease Provision </w:t>
            </w:r>
            <w:r>
              <w:rPr>
                <w:rFonts w:ascii="inherit" w:hAnsi="inherit"/>
                <w:i/>
                <w:sz w:val="12"/>
              </w:rPr>
              <w:t>(1)</w:t>
            </w:r>
          </w:p>
        </w:tc>
        <w:tc>
          <w:tcPr>
            <w:tcW w:w="90" w:type="dxa"/>
            <w:tcBorders/>
            <w:shd w:fill="auto" w:val="clear"/>
            <w:vAlign w:val="center"/>
          </w:tcPr>
          <w:p>
            <w:pPr>
              <w:pStyle w:val="TableContents"/>
              <w:spacing w:before="0" w:after="0"/>
              <w:ind w:left="0" w:right="0" w:firstLine="30"/>
              <w:rPr/>
            </w:pPr>
            <w:r>
              <w:rPr/>
              <w:t> </w:t>
            </w:r>
          </w:p>
        </w:tc>
        <w:tc>
          <w:tcPr>
            <w:tcW w:w="280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Non-CPLV Lease Agreement and Joliet Lease Agreement</w:t>
            </w:r>
          </w:p>
        </w:tc>
        <w:tc>
          <w:tcPr>
            <w:tcW w:w="90" w:type="dxa"/>
            <w:tcBorders/>
            <w:shd w:fill="auto" w:val="clear"/>
            <w:vAlign w:val="center"/>
          </w:tcPr>
          <w:p>
            <w:pPr>
              <w:pStyle w:val="TableContents"/>
              <w:spacing w:before="0" w:after="0"/>
              <w:ind w:left="0" w:right="0" w:firstLine="30"/>
              <w:rPr/>
            </w:pPr>
            <w:r>
              <w:rPr/>
              <w:t> </w:t>
            </w:r>
          </w:p>
        </w:tc>
        <w:tc>
          <w:tcPr>
            <w:tcW w:w="213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CPLV Lease Agreement</w:t>
            </w:r>
          </w:p>
        </w:tc>
        <w:tc>
          <w:tcPr>
            <w:tcW w:w="90" w:type="dxa"/>
            <w:tcBorders/>
            <w:shd w:fill="auto" w:val="clear"/>
            <w:vAlign w:val="center"/>
          </w:tcPr>
          <w:p>
            <w:pPr>
              <w:pStyle w:val="TableContents"/>
              <w:spacing w:before="0" w:after="0"/>
              <w:ind w:left="0" w:right="0" w:firstLine="30"/>
              <w:rPr/>
            </w:pPr>
            <w:r>
              <w:rPr/>
              <w:t> </w:t>
            </w:r>
          </w:p>
        </w:tc>
        <w:tc>
          <w:tcPr>
            <w:tcW w:w="2822"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HLV Lease Agreement</w:t>
            </w:r>
          </w:p>
        </w:tc>
      </w:tr>
      <w:tr>
        <w:trPr/>
        <w:tc>
          <w:tcPr>
            <w:tcW w:w="2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Initial Term</w:t>
            </w:r>
          </w:p>
        </w:tc>
        <w:tc>
          <w:tcPr>
            <w:tcW w:w="90" w:type="dxa"/>
            <w:tcBorders/>
            <w:shd w:fill="CCEEFF" w:val="clear"/>
            <w:vAlign w:val="center"/>
          </w:tcPr>
          <w:p>
            <w:pPr>
              <w:pStyle w:val="TableContents"/>
              <w:spacing w:before="0" w:after="0"/>
              <w:ind w:left="0" w:right="0" w:firstLine="30"/>
              <w:rPr/>
            </w:pPr>
            <w:r>
              <w:rPr/>
              <w:t> </w:t>
            </w:r>
          </w:p>
        </w:tc>
        <w:tc>
          <w:tcPr>
            <w:tcW w:w="2805"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15 years</w:t>
            </w:r>
          </w:p>
        </w:tc>
        <w:tc>
          <w:tcPr>
            <w:tcW w:w="90" w:type="dxa"/>
            <w:tcBorders/>
            <w:shd w:fill="CCEEFF" w:val="clear"/>
            <w:vAlign w:val="center"/>
          </w:tcPr>
          <w:p>
            <w:pPr>
              <w:pStyle w:val="TableContents"/>
              <w:spacing w:before="0" w:after="0"/>
              <w:ind w:left="0" w:right="0" w:firstLine="30"/>
              <w:rPr/>
            </w:pPr>
            <w:r>
              <w:rPr/>
              <w:t> </w:t>
            </w:r>
          </w:p>
        </w:tc>
        <w:tc>
          <w:tcPr>
            <w:tcW w:w="2130"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15 years</w:t>
            </w:r>
          </w:p>
        </w:tc>
        <w:tc>
          <w:tcPr>
            <w:tcW w:w="90" w:type="dxa"/>
            <w:tcBorders/>
            <w:shd w:fill="CCEEFF" w:val="clear"/>
            <w:vAlign w:val="center"/>
          </w:tcPr>
          <w:p>
            <w:pPr>
              <w:pStyle w:val="TableContents"/>
              <w:spacing w:before="0" w:after="0"/>
              <w:ind w:left="0" w:right="0" w:firstLine="30"/>
              <w:rPr/>
            </w:pPr>
            <w:r>
              <w:rPr/>
              <w:t> </w:t>
            </w:r>
          </w:p>
        </w:tc>
        <w:tc>
          <w:tcPr>
            <w:tcW w:w="2822"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15 years</w:t>
            </w:r>
          </w:p>
        </w:tc>
      </w:tr>
      <w:tr>
        <w:trPr/>
        <w:tc>
          <w:tcPr>
            <w:tcW w:w="2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Renewal Terms</w:t>
            </w:r>
          </w:p>
        </w:tc>
        <w:tc>
          <w:tcPr>
            <w:tcW w:w="90" w:type="dxa"/>
            <w:tcBorders/>
            <w:shd w:fill="auto" w:val="clear"/>
            <w:vAlign w:val="center"/>
          </w:tcPr>
          <w:p>
            <w:pPr>
              <w:pStyle w:val="TableContents"/>
              <w:spacing w:before="0" w:after="0"/>
              <w:ind w:left="0" w:right="0" w:firstLine="30"/>
              <w:rPr/>
            </w:pPr>
            <w:r>
              <w:rPr/>
              <w:t> </w:t>
            </w:r>
          </w:p>
        </w:tc>
        <w:tc>
          <w:tcPr>
            <w:tcW w:w="2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Four, five-year terms</w:t>
            </w:r>
          </w:p>
        </w:tc>
        <w:tc>
          <w:tcPr>
            <w:tcW w:w="90" w:type="dxa"/>
            <w:tcBorders/>
            <w:shd w:fill="auto" w:val="clear"/>
            <w:vAlign w:val="center"/>
          </w:tcPr>
          <w:p>
            <w:pPr>
              <w:pStyle w:val="TableContents"/>
              <w:spacing w:before="0" w:after="0"/>
              <w:ind w:left="0" w:right="0" w:firstLine="30"/>
              <w:rPr/>
            </w:pPr>
            <w:r>
              <w:rPr/>
              <w:t> </w:t>
            </w:r>
          </w:p>
        </w:tc>
        <w:tc>
          <w:tcPr>
            <w:tcW w:w="2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Four, five-year terms</w:t>
            </w:r>
          </w:p>
        </w:tc>
        <w:tc>
          <w:tcPr>
            <w:tcW w:w="90" w:type="dxa"/>
            <w:tcBorders/>
            <w:shd w:fill="auto" w:val="clear"/>
            <w:vAlign w:val="center"/>
          </w:tcPr>
          <w:p>
            <w:pPr>
              <w:pStyle w:val="TableContents"/>
              <w:spacing w:before="0" w:after="0"/>
              <w:ind w:left="0" w:right="0" w:firstLine="30"/>
              <w:rPr/>
            </w:pPr>
            <w:r>
              <w:rPr/>
              <w:t> </w:t>
            </w:r>
          </w:p>
        </w:tc>
        <w:tc>
          <w:tcPr>
            <w:tcW w:w="28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Four, five-year terms</w:t>
            </w:r>
          </w:p>
        </w:tc>
      </w:tr>
      <w:tr>
        <w:trPr/>
        <w:tc>
          <w:tcPr>
            <w:tcW w:w="2178" w:type="dxa"/>
            <w:tcBorders/>
            <w:shd w:fill="CCEEFF" w:val="clear"/>
            <w:vAlign w:val="center"/>
          </w:tcPr>
          <w:p>
            <w:pPr>
              <w:pStyle w:val="TableContents"/>
              <w:spacing w:lineRule="auto" w:line="288" w:before="0" w:after="0"/>
              <w:ind w:left="0" w:right="0" w:firstLine="30"/>
              <w:jc w:val="left"/>
              <w:rPr>
                <w:sz w:val="17"/>
              </w:rPr>
            </w:pPr>
            <w:r>
              <w:rPr>
                <w:rFonts w:ascii="inherit" w:hAnsi="inherit"/>
                <w:sz w:val="17"/>
              </w:rPr>
              <w:t>Initial Base Rent</w:t>
            </w:r>
            <w:r>
              <w:rPr>
                <w:sz w:val="17"/>
              </w:rPr>
              <w:t> </w:t>
            </w:r>
            <w:r>
              <w:rPr>
                <w:rFonts w:ascii="inherit" w:hAnsi="inherit"/>
                <w:i/>
                <w:sz w:val="12"/>
              </w:rPr>
              <w:t>(2)</w:t>
            </w:r>
          </w:p>
        </w:tc>
        <w:tc>
          <w:tcPr>
            <w:tcW w:w="90" w:type="dxa"/>
            <w:tcBorders/>
            <w:shd w:fill="CCEEFF" w:val="clear"/>
            <w:vAlign w:val="center"/>
          </w:tcPr>
          <w:p>
            <w:pPr>
              <w:pStyle w:val="TableContents"/>
              <w:spacing w:before="0" w:after="0"/>
              <w:ind w:left="0" w:right="0" w:firstLine="30"/>
              <w:rPr/>
            </w:pPr>
            <w:r>
              <w:rPr/>
              <w:t> </w:t>
            </w:r>
          </w:p>
        </w:tc>
        <w:tc>
          <w:tcPr>
            <w:tcW w:w="2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$493,925</w:t>
            </w:r>
          </w:p>
        </w:tc>
        <w:tc>
          <w:tcPr>
            <w:tcW w:w="90" w:type="dxa"/>
            <w:tcBorders/>
            <w:shd w:fill="CCEEFF" w:val="clear"/>
            <w:vAlign w:val="center"/>
          </w:tcPr>
          <w:p>
            <w:pPr>
              <w:pStyle w:val="TableContents"/>
              <w:spacing w:before="0" w:after="0"/>
              <w:ind w:left="0" w:right="0" w:firstLine="30"/>
              <w:rPr/>
            </w:pPr>
            <w:r>
              <w:rPr/>
              <w:t> </w:t>
            </w:r>
          </w:p>
        </w:tc>
        <w:tc>
          <w:tcPr>
            <w:tcW w:w="2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$200,000</w:t>
            </w:r>
          </w:p>
        </w:tc>
        <w:tc>
          <w:tcPr>
            <w:tcW w:w="90" w:type="dxa"/>
            <w:tcBorders/>
            <w:shd w:fill="CCEEFF" w:val="clear"/>
            <w:vAlign w:val="center"/>
          </w:tcPr>
          <w:p>
            <w:pPr>
              <w:pStyle w:val="TableContents"/>
              <w:spacing w:before="0" w:after="0"/>
              <w:ind w:left="0" w:right="0" w:firstLine="30"/>
              <w:rPr/>
            </w:pPr>
            <w:r>
              <w:rPr/>
              <w:t> </w:t>
            </w:r>
          </w:p>
        </w:tc>
        <w:tc>
          <w:tcPr>
            <w:tcW w:w="28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$87,400</w:t>
            </w:r>
          </w:p>
        </w:tc>
      </w:tr>
      <w:tr>
        <w:trPr/>
        <w:tc>
          <w:tcPr>
            <w:tcW w:w="2178"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Current Base Rent </w:t>
            </w:r>
            <w:r>
              <w:rPr>
                <w:rFonts w:ascii="inherit" w:hAnsi="inherit"/>
                <w:sz w:val="12"/>
              </w:rPr>
              <w:t>(3)</w:t>
            </w:r>
          </w:p>
        </w:tc>
        <w:tc>
          <w:tcPr>
            <w:tcW w:w="90" w:type="dxa"/>
            <w:tcBorders/>
            <w:shd w:fill="auto" w:val="clear"/>
            <w:vAlign w:val="center"/>
          </w:tcPr>
          <w:p>
            <w:pPr>
              <w:pStyle w:val="TableContents"/>
              <w:spacing w:before="0" w:after="0"/>
              <w:ind w:left="0" w:right="0" w:firstLine="30"/>
              <w:rPr/>
            </w:pPr>
            <w:r>
              <w:rPr/>
              <w:t> </w:t>
            </w:r>
          </w:p>
        </w:tc>
        <w:tc>
          <w:tcPr>
            <w:tcW w:w="2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$501,019</w:t>
            </w:r>
          </w:p>
        </w:tc>
        <w:tc>
          <w:tcPr>
            <w:tcW w:w="90" w:type="dxa"/>
            <w:tcBorders/>
            <w:shd w:fill="auto" w:val="clear"/>
            <w:vAlign w:val="center"/>
          </w:tcPr>
          <w:p>
            <w:pPr>
              <w:pStyle w:val="TableContents"/>
              <w:spacing w:before="0" w:after="0"/>
              <w:ind w:left="0" w:right="0" w:firstLine="30"/>
              <w:rPr/>
            </w:pPr>
            <w:r>
              <w:rPr/>
              <w:t> </w:t>
            </w:r>
          </w:p>
        </w:tc>
        <w:tc>
          <w:tcPr>
            <w:tcW w:w="2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$204,358</w:t>
            </w:r>
          </w:p>
        </w:tc>
        <w:tc>
          <w:tcPr>
            <w:tcW w:w="90" w:type="dxa"/>
            <w:tcBorders/>
            <w:shd w:fill="auto" w:val="clear"/>
            <w:vAlign w:val="center"/>
          </w:tcPr>
          <w:p>
            <w:pPr>
              <w:pStyle w:val="TableContents"/>
              <w:spacing w:before="0" w:after="0"/>
              <w:ind w:left="0" w:right="0" w:firstLine="30"/>
              <w:rPr/>
            </w:pPr>
            <w:r>
              <w:rPr/>
              <w:t> </w:t>
            </w:r>
          </w:p>
        </w:tc>
        <w:tc>
          <w:tcPr>
            <w:tcW w:w="28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$88,274</w:t>
            </w:r>
          </w:p>
        </w:tc>
      </w:tr>
      <w:tr>
        <w:trPr/>
        <w:tc>
          <w:tcPr>
            <w:tcW w:w="21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Escalator commencement</w:t>
            </w:r>
          </w:p>
        </w:tc>
        <w:tc>
          <w:tcPr>
            <w:tcW w:w="90" w:type="dxa"/>
            <w:tcBorders/>
            <w:shd w:fill="CCEEFF" w:val="clear"/>
            <w:vAlign w:val="center"/>
          </w:tcPr>
          <w:p>
            <w:pPr>
              <w:pStyle w:val="TableContents"/>
              <w:spacing w:before="0" w:after="0"/>
              <w:ind w:left="0" w:right="0" w:firstLine="30"/>
              <w:rPr/>
            </w:pPr>
            <w:r>
              <w:rPr/>
              <w:t> </w:t>
            </w:r>
          </w:p>
        </w:tc>
        <w:tc>
          <w:tcPr>
            <w:tcW w:w="2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Lease year two</w:t>
            </w:r>
          </w:p>
        </w:tc>
        <w:tc>
          <w:tcPr>
            <w:tcW w:w="90" w:type="dxa"/>
            <w:tcBorders/>
            <w:shd w:fill="CCEEFF" w:val="clear"/>
            <w:vAlign w:val="center"/>
          </w:tcPr>
          <w:p>
            <w:pPr>
              <w:pStyle w:val="TableContents"/>
              <w:spacing w:before="0" w:after="0"/>
              <w:ind w:left="0" w:right="0" w:firstLine="30"/>
              <w:rPr/>
            </w:pPr>
            <w:r>
              <w:rPr/>
              <w:t> </w:t>
            </w:r>
          </w:p>
        </w:tc>
        <w:tc>
          <w:tcPr>
            <w:tcW w:w="2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Lease year two</w:t>
            </w:r>
          </w:p>
        </w:tc>
        <w:tc>
          <w:tcPr>
            <w:tcW w:w="90" w:type="dxa"/>
            <w:tcBorders/>
            <w:shd w:fill="CCEEFF" w:val="clear"/>
            <w:vAlign w:val="center"/>
          </w:tcPr>
          <w:p>
            <w:pPr>
              <w:pStyle w:val="TableContents"/>
              <w:spacing w:before="0" w:after="0"/>
              <w:ind w:left="0" w:right="0" w:firstLine="30"/>
              <w:rPr/>
            </w:pPr>
            <w:r>
              <w:rPr/>
              <w:t> </w:t>
            </w:r>
          </w:p>
        </w:tc>
        <w:tc>
          <w:tcPr>
            <w:tcW w:w="28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Lease year two</w:t>
            </w:r>
          </w:p>
        </w:tc>
      </w:tr>
      <w:tr>
        <w:trPr/>
        <w:tc>
          <w:tcPr>
            <w:tcW w:w="2178"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Escalator</w:t>
            </w:r>
            <w:r>
              <w:rPr>
                <w:sz w:val="17"/>
              </w:rPr>
              <w:t> </w:t>
            </w:r>
            <w:r>
              <w:rPr>
                <w:rFonts w:ascii="inherit" w:hAnsi="inherit"/>
                <w:i/>
                <w:sz w:val="12"/>
              </w:rPr>
              <w:t>(4)</w:t>
            </w:r>
          </w:p>
        </w:tc>
        <w:tc>
          <w:tcPr>
            <w:tcW w:w="90" w:type="dxa"/>
            <w:tcBorders/>
            <w:shd w:fill="auto" w:val="clear"/>
            <w:vAlign w:val="center"/>
          </w:tcPr>
          <w:p>
            <w:pPr>
              <w:pStyle w:val="TableContents"/>
              <w:spacing w:before="0" w:after="0"/>
              <w:ind w:left="0" w:right="0" w:firstLine="30"/>
              <w:rPr/>
            </w:pPr>
            <w:r>
              <w:rPr/>
              <w:t> </w:t>
            </w:r>
          </w:p>
        </w:tc>
        <w:tc>
          <w:tcPr>
            <w:tcW w:w="2805" w:type="dxa"/>
            <w:tcBorders/>
            <w:shd w:fill="auto" w:val="clear"/>
            <w:vAlign w:val="center"/>
          </w:tcPr>
          <w:p>
            <w:pPr>
              <w:pStyle w:val="TableContents"/>
              <w:spacing w:before="0" w:after="0"/>
              <w:jc w:val="left"/>
              <w:rPr>
                <w:rFonts w:ascii="inherit" w:hAnsi="inherit"/>
                <w:sz w:val="17"/>
              </w:rPr>
            </w:pPr>
            <w:r>
              <w:rPr>
                <w:rFonts w:ascii="inherit" w:hAnsi="inherit"/>
                <w:sz w:val="17"/>
              </w:rPr>
              <w:t>Lease years 2-5 - 1.5%</w:t>
            </w:r>
          </w:p>
          <w:p>
            <w:pPr>
              <w:pStyle w:val="TableContents"/>
              <w:spacing w:before="0" w:after="0"/>
              <w:ind w:left="0" w:right="0" w:firstLine="30"/>
              <w:jc w:val="left"/>
              <w:rPr>
                <w:rFonts w:ascii="inherit" w:hAnsi="inherit"/>
                <w:sz w:val="17"/>
              </w:rPr>
            </w:pPr>
            <w:r>
              <w:rPr>
                <w:rFonts w:ascii="inherit" w:hAnsi="inherit"/>
                <w:sz w:val="17"/>
              </w:rPr>
              <w:t>Lease Years 6-15 - Consumer price index subject to 2% floor</w:t>
            </w:r>
          </w:p>
        </w:tc>
        <w:tc>
          <w:tcPr>
            <w:tcW w:w="90" w:type="dxa"/>
            <w:tcBorders/>
            <w:shd w:fill="auto" w:val="clear"/>
            <w:vAlign w:val="center"/>
          </w:tcPr>
          <w:p>
            <w:pPr>
              <w:pStyle w:val="TableContents"/>
              <w:spacing w:before="0" w:after="0"/>
              <w:ind w:left="0" w:right="0" w:firstLine="30"/>
              <w:rPr/>
            </w:pPr>
            <w:r>
              <w:rPr/>
              <w:t> </w:t>
            </w:r>
          </w:p>
        </w:tc>
        <w:tc>
          <w:tcPr>
            <w:tcW w:w="2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price index subject to 2% floor</w:t>
            </w:r>
          </w:p>
        </w:tc>
        <w:tc>
          <w:tcPr>
            <w:tcW w:w="90" w:type="dxa"/>
            <w:tcBorders/>
            <w:shd w:fill="auto" w:val="clear"/>
            <w:vAlign w:val="center"/>
          </w:tcPr>
          <w:p>
            <w:pPr>
              <w:pStyle w:val="TableContents"/>
              <w:spacing w:before="0" w:after="0"/>
              <w:ind w:left="0" w:right="0" w:firstLine="30"/>
              <w:rPr/>
            </w:pPr>
            <w:r>
              <w:rPr/>
              <w:t> </w:t>
            </w:r>
          </w:p>
        </w:tc>
        <w:tc>
          <w:tcPr>
            <w:tcW w:w="2822" w:type="dxa"/>
            <w:tcBorders/>
            <w:shd w:fill="auto" w:val="clear"/>
            <w:vAlign w:val="center"/>
          </w:tcPr>
          <w:p>
            <w:pPr>
              <w:pStyle w:val="TableContents"/>
              <w:spacing w:before="0" w:after="0"/>
              <w:jc w:val="left"/>
              <w:rPr>
                <w:rFonts w:ascii="inherit" w:hAnsi="inherit"/>
                <w:sz w:val="17"/>
              </w:rPr>
            </w:pPr>
            <w:r>
              <w:rPr>
                <w:rFonts w:ascii="inherit" w:hAnsi="inherit"/>
                <w:sz w:val="17"/>
              </w:rPr>
              <w:t>Lease years 2-5 - 1%</w:t>
            </w:r>
          </w:p>
          <w:p>
            <w:pPr>
              <w:pStyle w:val="TableContents"/>
              <w:spacing w:before="0" w:after="0"/>
              <w:ind w:left="0" w:right="0" w:firstLine="30"/>
              <w:jc w:val="left"/>
              <w:rPr>
                <w:rFonts w:ascii="inherit" w:hAnsi="inherit"/>
                <w:sz w:val="17"/>
              </w:rPr>
            </w:pPr>
            <w:r>
              <w:rPr>
                <w:rFonts w:ascii="inherit" w:hAnsi="inherit"/>
                <w:sz w:val="17"/>
              </w:rPr>
              <w:t>Lease Years 6-15 - Consumer price index subject to 2% floor</w:t>
            </w:r>
          </w:p>
        </w:tc>
      </w:tr>
      <w:tr>
        <w:trPr/>
        <w:tc>
          <w:tcPr>
            <w:tcW w:w="2178" w:type="dxa"/>
            <w:tcBorders/>
            <w:shd w:fill="CCEEFF" w:val="clear"/>
            <w:vAlign w:val="center"/>
          </w:tcPr>
          <w:p>
            <w:pPr>
              <w:pStyle w:val="TableContents"/>
              <w:spacing w:lineRule="auto" w:line="288" w:before="0" w:after="0"/>
              <w:ind w:left="0" w:right="0" w:firstLine="30"/>
              <w:jc w:val="left"/>
              <w:rPr>
                <w:sz w:val="17"/>
              </w:rPr>
            </w:pPr>
            <w:r>
              <w:rPr>
                <w:rFonts w:ascii="inherit" w:hAnsi="inherit"/>
                <w:sz w:val="17"/>
              </w:rPr>
              <w:t xml:space="preserve">EBITDAR to Rent Ratio floor </w:t>
            </w:r>
            <w:r>
              <w:rPr>
                <w:rFonts w:ascii="inherit" w:hAnsi="inherit"/>
                <w:i/>
                <w:sz w:val="12"/>
              </w:rPr>
              <w:t>(5)</w:t>
            </w:r>
          </w:p>
        </w:tc>
        <w:tc>
          <w:tcPr>
            <w:tcW w:w="90" w:type="dxa"/>
            <w:tcBorders/>
            <w:shd w:fill="CCEEFF" w:val="clear"/>
            <w:vAlign w:val="center"/>
          </w:tcPr>
          <w:p>
            <w:pPr>
              <w:pStyle w:val="TableContents"/>
              <w:spacing w:before="0" w:after="0"/>
              <w:ind w:left="0" w:right="0" w:firstLine="30"/>
              <w:rPr/>
            </w:pPr>
            <w:r>
              <w:rPr/>
              <w:t> </w:t>
            </w:r>
          </w:p>
        </w:tc>
        <w:tc>
          <w:tcPr>
            <w:tcW w:w="2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1.2x commencing lease year 8</w:t>
            </w:r>
          </w:p>
        </w:tc>
        <w:tc>
          <w:tcPr>
            <w:tcW w:w="90" w:type="dxa"/>
            <w:tcBorders/>
            <w:shd w:fill="CCEEFF" w:val="clear"/>
            <w:vAlign w:val="center"/>
          </w:tcPr>
          <w:p>
            <w:pPr>
              <w:pStyle w:val="TableContents"/>
              <w:spacing w:before="0" w:after="0"/>
              <w:ind w:left="0" w:right="0" w:firstLine="30"/>
              <w:rPr/>
            </w:pPr>
            <w:r>
              <w:rPr/>
              <w:t> </w:t>
            </w:r>
          </w:p>
        </w:tc>
        <w:tc>
          <w:tcPr>
            <w:tcW w:w="2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1.7x commencing lease year 8</w:t>
            </w:r>
          </w:p>
        </w:tc>
        <w:tc>
          <w:tcPr>
            <w:tcW w:w="90" w:type="dxa"/>
            <w:tcBorders/>
            <w:shd w:fill="CCEEFF" w:val="clear"/>
            <w:vAlign w:val="center"/>
          </w:tcPr>
          <w:p>
            <w:pPr>
              <w:pStyle w:val="TableContents"/>
              <w:spacing w:before="0" w:after="0"/>
              <w:ind w:left="0" w:right="0" w:firstLine="30"/>
              <w:rPr/>
            </w:pPr>
            <w:r>
              <w:rPr/>
              <w:t> </w:t>
            </w:r>
          </w:p>
        </w:tc>
        <w:tc>
          <w:tcPr>
            <w:tcW w:w="28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1.6x commencing lease year 6</w:t>
            </w:r>
          </w:p>
        </w:tc>
      </w:tr>
      <w:tr>
        <w:trPr/>
        <w:tc>
          <w:tcPr>
            <w:tcW w:w="21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Variable Rent commencement/reset</w:t>
            </w:r>
          </w:p>
        </w:tc>
        <w:tc>
          <w:tcPr>
            <w:tcW w:w="90" w:type="dxa"/>
            <w:tcBorders/>
            <w:shd w:fill="auto" w:val="clear"/>
            <w:vAlign w:val="center"/>
          </w:tcPr>
          <w:p>
            <w:pPr>
              <w:pStyle w:val="TableContents"/>
              <w:spacing w:before="0" w:after="0"/>
              <w:ind w:left="0" w:right="0" w:firstLine="30"/>
              <w:rPr/>
            </w:pPr>
            <w:r>
              <w:rPr/>
              <w:t> </w:t>
            </w:r>
          </w:p>
        </w:tc>
        <w:tc>
          <w:tcPr>
            <w:tcW w:w="2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Lease years 8 and 11</w:t>
            </w:r>
          </w:p>
        </w:tc>
        <w:tc>
          <w:tcPr>
            <w:tcW w:w="90" w:type="dxa"/>
            <w:tcBorders/>
            <w:shd w:fill="auto" w:val="clear"/>
            <w:vAlign w:val="center"/>
          </w:tcPr>
          <w:p>
            <w:pPr>
              <w:pStyle w:val="TableContents"/>
              <w:spacing w:before="0" w:after="0"/>
              <w:ind w:left="0" w:right="0" w:firstLine="30"/>
              <w:rPr/>
            </w:pPr>
            <w:r>
              <w:rPr/>
              <w:t> </w:t>
            </w:r>
          </w:p>
        </w:tc>
        <w:tc>
          <w:tcPr>
            <w:tcW w:w="2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Lease years 8 and 11</w:t>
            </w:r>
          </w:p>
        </w:tc>
        <w:tc>
          <w:tcPr>
            <w:tcW w:w="90" w:type="dxa"/>
            <w:tcBorders/>
            <w:shd w:fill="auto" w:val="clear"/>
            <w:vAlign w:val="center"/>
          </w:tcPr>
          <w:p>
            <w:pPr>
              <w:pStyle w:val="TableContents"/>
              <w:spacing w:before="0" w:after="0"/>
              <w:ind w:left="0" w:right="0" w:firstLine="30"/>
              <w:rPr/>
            </w:pPr>
            <w:r>
              <w:rPr/>
              <w:t> </w:t>
            </w:r>
          </w:p>
        </w:tc>
        <w:tc>
          <w:tcPr>
            <w:tcW w:w="28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Lease years 8 and 11</w:t>
            </w:r>
          </w:p>
        </w:tc>
      </w:tr>
      <w:tr>
        <w:trPr/>
        <w:tc>
          <w:tcPr>
            <w:tcW w:w="2178" w:type="dxa"/>
            <w:tcBorders/>
            <w:shd w:fill="CCEEFF" w:val="clear"/>
            <w:vAlign w:val="center"/>
          </w:tcPr>
          <w:p>
            <w:pPr>
              <w:pStyle w:val="TableContents"/>
              <w:spacing w:lineRule="auto" w:line="288" w:before="0" w:after="0"/>
              <w:ind w:left="0" w:right="0" w:firstLine="30"/>
              <w:jc w:val="left"/>
              <w:rPr>
                <w:sz w:val="17"/>
              </w:rPr>
            </w:pPr>
            <w:r>
              <w:rPr>
                <w:rFonts w:ascii="inherit" w:hAnsi="inherit"/>
                <w:sz w:val="17"/>
              </w:rPr>
              <w:t xml:space="preserve">Variable Rent split </w:t>
            </w:r>
            <w:r>
              <w:rPr>
                <w:rFonts w:ascii="inherit" w:hAnsi="inherit"/>
                <w:i/>
                <w:sz w:val="12"/>
              </w:rPr>
              <w:t>(6)</w:t>
            </w:r>
          </w:p>
        </w:tc>
        <w:tc>
          <w:tcPr>
            <w:tcW w:w="90" w:type="dxa"/>
            <w:tcBorders/>
            <w:shd w:fill="CCEEFF" w:val="clear"/>
            <w:vAlign w:val="center"/>
          </w:tcPr>
          <w:p>
            <w:pPr>
              <w:pStyle w:val="TableContents"/>
              <w:spacing w:before="0" w:after="0"/>
              <w:ind w:left="0" w:right="0" w:firstLine="30"/>
              <w:rPr/>
            </w:pPr>
            <w:r>
              <w:rPr/>
              <w:t> </w:t>
            </w:r>
          </w:p>
        </w:tc>
        <w:tc>
          <w:tcPr>
            <w:tcW w:w="2805" w:type="dxa"/>
            <w:tcBorders/>
            <w:shd w:fill="CCEEFF" w:val="clear"/>
            <w:vAlign w:val="center"/>
          </w:tcPr>
          <w:p>
            <w:pPr>
              <w:pStyle w:val="TableContents"/>
              <w:spacing w:before="0" w:after="0"/>
              <w:jc w:val="left"/>
              <w:rPr>
                <w:rFonts w:ascii="inherit" w:hAnsi="inherit"/>
                <w:sz w:val="17"/>
              </w:rPr>
            </w:pPr>
            <w:r>
              <w:rPr>
                <w:rFonts w:ascii="inherit" w:hAnsi="inherit"/>
                <w:sz w:val="17"/>
              </w:rPr>
              <w:t>Lease years 8-10 - 70% Base Rent and 30% Variable Rent</w:t>
            </w:r>
          </w:p>
          <w:p>
            <w:pPr>
              <w:pStyle w:val="TableContents"/>
              <w:spacing w:before="0" w:after="0"/>
              <w:ind w:left="0" w:right="0" w:firstLine="30"/>
              <w:jc w:val="left"/>
              <w:rPr>
                <w:rFonts w:ascii="inherit" w:hAnsi="inherit"/>
                <w:sz w:val="17"/>
              </w:rPr>
            </w:pPr>
            <w:r>
              <w:rPr>
                <w:rFonts w:ascii="inherit" w:hAnsi="inherit"/>
                <w:sz w:val="17"/>
              </w:rPr>
              <w:t>Lease years 11-15- 80% Base Rent and 20% Variable Rent</w:t>
            </w:r>
          </w:p>
        </w:tc>
        <w:tc>
          <w:tcPr>
            <w:tcW w:w="90" w:type="dxa"/>
            <w:tcBorders/>
            <w:shd w:fill="CCEEFF" w:val="clear"/>
            <w:vAlign w:val="center"/>
          </w:tcPr>
          <w:p>
            <w:pPr>
              <w:pStyle w:val="TableContents"/>
              <w:spacing w:before="0" w:after="0"/>
              <w:ind w:left="0" w:right="0" w:firstLine="30"/>
              <w:rPr/>
            </w:pPr>
            <w:r>
              <w:rPr/>
              <w:t> </w:t>
            </w:r>
          </w:p>
        </w:tc>
        <w:tc>
          <w:tcPr>
            <w:tcW w:w="2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80% Base rent and 20% Variable rent</w:t>
            </w:r>
          </w:p>
        </w:tc>
        <w:tc>
          <w:tcPr>
            <w:tcW w:w="90" w:type="dxa"/>
            <w:tcBorders/>
            <w:shd w:fill="CCEEFF" w:val="clear"/>
            <w:vAlign w:val="center"/>
          </w:tcPr>
          <w:p>
            <w:pPr>
              <w:pStyle w:val="TableContents"/>
              <w:spacing w:before="0" w:after="0"/>
              <w:ind w:left="0" w:right="0" w:firstLine="30"/>
              <w:rPr/>
            </w:pPr>
            <w:r>
              <w:rPr/>
              <w:t> </w:t>
            </w:r>
          </w:p>
        </w:tc>
        <w:tc>
          <w:tcPr>
            <w:tcW w:w="28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80% Base rent and 20% Variable rent</w:t>
            </w:r>
          </w:p>
        </w:tc>
      </w:tr>
      <w:tr>
        <w:trPr/>
        <w:tc>
          <w:tcPr>
            <w:tcW w:w="2178"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Variable Rent percentage </w:t>
            </w:r>
            <w:r>
              <w:rPr>
                <w:rFonts w:ascii="inherit" w:hAnsi="inherit"/>
                <w:i/>
                <w:sz w:val="12"/>
              </w:rPr>
              <w:t>(6)</w:t>
            </w:r>
          </w:p>
        </w:tc>
        <w:tc>
          <w:tcPr>
            <w:tcW w:w="90" w:type="dxa"/>
            <w:tcBorders/>
            <w:shd w:fill="auto" w:val="clear"/>
            <w:vAlign w:val="center"/>
          </w:tcPr>
          <w:p>
            <w:pPr>
              <w:pStyle w:val="TableContents"/>
              <w:spacing w:before="0" w:after="0"/>
              <w:ind w:left="0" w:right="0" w:firstLine="30"/>
              <w:rPr/>
            </w:pPr>
            <w:r>
              <w:rPr/>
              <w:t> </w:t>
            </w:r>
          </w:p>
        </w:tc>
        <w:tc>
          <w:tcPr>
            <w:tcW w:w="2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w:t>
            </w:r>
          </w:p>
        </w:tc>
        <w:tc>
          <w:tcPr>
            <w:tcW w:w="90" w:type="dxa"/>
            <w:tcBorders/>
            <w:shd w:fill="auto" w:val="clear"/>
            <w:vAlign w:val="center"/>
          </w:tcPr>
          <w:p>
            <w:pPr>
              <w:pStyle w:val="TableContents"/>
              <w:spacing w:before="0" w:after="0"/>
              <w:ind w:left="0" w:right="0" w:firstLine="30"/>
              <w:rPr/>
            </w:pPr>
            <w:r>
              <w:rPr/>
              <w:t> </w:t>
            </w:r>
          </w:p>
        </w:tc>
        <w:tc>
          <w:tcPr>
            <w:tcW w:w="2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w:t>
            </w:r>
          </w:p>
        </w:tc>
        <w:tc>
          <w:tcPr>
            <w:tcW w:w="90" w:type="dxa"/>
            <w:tcBorders/>
            <w:shd w:fill="auto" w:val="clear"/>
            <w:vAlign w:val="center"/>
          </w:tcPr>
          <w:p>
            <w:pPr>
              <w:pStyle w:val="TableContents"/>
              <w:spacing w:before="0" w:after="0"/>
              <w:ind w:left="0" w:right="0" w:firstLine="30"/>
              <w:rPr/>
            </w:pPr>
            <w:r>
              <w:rPr/>
              <w:t> </w:t>
            </w:r>
          </w:p>
        </w:tc>
        <w:tc>
          <w:tcPr>
            <w:tcW w:w="2822" w:type="dxa"/>
            <w:tcBorders/>
            <w:shd w:fill="auto" w:val="clear"/>
            <w:vAlign w:val="center"/>
          </w:tcPr>
          <w:p>
            <w:pPr>
              <w:pStyle w:val="TableContents"/>
              <w:spacing w:before="0" w:after="0"/>
              <w:jc w:val="left"/>
              <w:rPr>
                <w:rFonts w:ascii="inherit" w:hAnsi="inherit"/>
                <w:sz w:val="17"/>
              </w:rPr>
            </w:pPr>
            <w:r>
              <w:rPr>
                <w:rFonts w:ascii="inherit" w:hAnsi="inherit"/>
                <w:sz w:val="17"/>
              </w:rPr>
              <w:t>4%</w:t>
            </w:r>
          </w:p>
        </w:tc>
      </w:tr>
    </w:tbl>
    <w:p>
      <w:pPr>
        <w:pStyle w:val="TextBody"/>
        <w:spacing w:lineRule="auto" w:line="288" w:before="0" w:after="0"/>
        <w:jc w:val="left"/>
        <w:rPr>
          <w:rFonts w:ascii="inherit" w:hAnsi="inherit"/>
          <w:sz w:val="17"/>
        </w:rPr>
      </w:pPr>
      <w:r>
        <w:rPr>
          <w:rFonts w:ascii="inherit" w:hAnsi="inherit"/>
          <w:sz w:val="17"/>
        </w:rPr>
        <w:t>____________________</w:t>
      </w:r>
    </w:p>
    <w:p>
      <w:pPr>
        <w:pStyle w:val="TextBody"/>
        <w:spacing w:lineRule="auto" w:line="288" w:before="0" w:after="0"/>
        <w:jc w:val="both"/>
        <w:rPr>
          <w:rFonts w:ascii="inherit" w:hAnsi="inherit"/>
          <w:i/>
          <w:sz w:val="13"/>
        </w:rPr>
      </w:pPr>
      <w:r>
        <w:rPr>
          <w:rFonts w:ascii="inherit" w:hAnsi="inherit"/>
          <w:i/>
          <w:sz w:val="13"/>
        </w:rPr>
        <w:t>(1) All capitalized terms used without definition herein have the meanings detailed in the applicable Caesars Lease Agreements.</w:t>
      </w:r>
    </w:p>
    <w:p>
      <w:pPr>
        <w:pStyle w:val="TextBody"/>
        <w:spacing w:lineRule="auto" w:line="288" w:before="0" w:after="0"/>
        <w:jc w:val="both"/>
        <w:rPr>
          <w:sz w:val="13"/>
        </w:rPr>
      </w:pPr>
      <w:r>
        <w:rPr>
          <w:rFonts w:ascii="inherit" w:hAnsi="inherit"/>
          <w:i/>
          <w:sz w:val="13"/>
        </w:rPr>
        <w:t>(2) Reflects the addition of $21.0 million</w:t>
      </w:r>
      <w:r>
        <w:rPr>
          <w:sz w:val="13"/>
        </w:rPr>
        <w:t xml:space="preserve"> </w:t>
      </w:r>
      <w:r>
        <w:rPr>
          <w:rFonts w:ascii="inherit" w:hAnsi="inherit"/>
          <w:i/>
          <w:sz w:val="13"/>
        </w:rPr>
        <w:t>and $35.0 million</w:t>
      </w:r>
      <w:r>
        <w:rPr>
          <w:sz w:val="13"/>
        </w:rPr>
        <w:t xml:space="preserve"> </w:t>
      </w:r>
      <w:r>
        <w:rPr>
          <w:rFonts w:ascii="inherit" w:hAnsi="inherit"/>
          <w:i/>
          <w:sz w:val="13"/>
        </w:rPr>
        <w:t>per annum under the Non-CPLV Lease and the CPLV Lease, respectively, to incorporate the base rent for Harrah’s Philadelphia and Octavius Tower, respectively. The additional $35.0 million</w:t>
      </w:r>
      <w:r>
        <w:rPr>
          <w:sz w:val="13"/>
        </w:rPr>
        <w:t xml:space="preserve"> </w:t>
      </w:r>
      <w:r>
        <w:rPr>
          <w:rFonts w:ascii="inherit" w:hAnsi="inherit"/>
          <w:i/>
          <w:sz w:val="13"/>
        </w:rPr>
        <w:t xml:space="preserve">of rent for Octavius Tower is not subject to the Escalator. </w:t>
      </w:r>
    </w:p>
    <w:p>
      <w:pPr>
        <w:pStyle w:val="TextBody"/>
        <w:spacing w:lineRule="auto" w:line="288" w:before="0" w:after="0"/>
        <w:jc w:val="both"/>
        <w:rPr>
          <w:rFonts w:ascii="inherit" w:hAnsi="inherit"/>
          <w:i/>
          <w:sz w:val="13"/>
        </w:rPr>
      </w:pPr>
      <w:r>
        <w:rPr>
          <w:rFonts w:ascii="inherit" w:hAnsi="inherit"/>
          <w:i/>
          <w:sz w:val="13"/>
        </w:rPr>
        <w:t>(3) In relation to the Non-CPLV Lease Agreement, Joliet Lease Agreement and CPLV Lease Agreement, the amount represents the current annual base rent payable for the current lease year which is the period from November 1, 2018 through October 31, 2019. In relation to the HLV Lease Agreement the amount represents current annual base rent payable for the current lease year which is the period from January 1, 2019 through December 31, 2019.</w:t>
      </w:r>
    </w:p>
    <w:p>
      <w:pPr>
        <w:pStyle w:val="TextBody"/>
        <w:spacing w:lineRule="auto" w:line="288" w:before="0" w:after="0"/>
        <w:jc w:val="both"/>
        <w:rPr>
          <w:rFonts w:ascii="inherit" w:hAnsi="inherit"/>
          <w:i/>
          <w:sz w:val="13"/>
        </w:rPr>
      </w:pPr>
      <w:r>
        <w:rPr>
          <w:rFonts w:ascii="inherit" w:hAnsi="inherit"/>
          <w:i/>
          <w:sz w:val="13"/>
        </w:rPr>
        <w:t>(4) Any amounts representing rents in excess of the CPI floors specified above are considered contingent rent in accordance with GAAP. No such rent has been recognized for the three months ended March 31, 2019.</w:t>
      </w:r>
    </w:p>
    <w:p>
      <w:pPr>
        <w:pStyle w:val="TextBody"/>
        <w:spacing w:lineRule="auto" w:line="288" w:before="0" w:after="0"/>
        <w:jc w:val="both"/>
        <w:rPr>
          <w:rFonts w:ascii="inherit" w:hAnsi="inherit"/>
          <w:i/>
          <w:sz w:val="13"/>
        </w:rPr>
      </w:pPr>
      <w:r>
        <w:rPr>
          <w:rFonts w:ascii="inherit" w:hAnsi="inherit"/>
          <w:i/>
          <w:sz w:val="13"/>
        </w:rPr>
        <w:t>(5) In the event that the EBITDAR to Rent Ratio coverage is below the stated floor, the Escalator of the respective Caesars Lease Agreements will be reduced to such amount to achieve the stated EBITDAR to Rent Ratio coverage, provided that the amount shall never result in a decrease to the prior year’s rent. The EBITDAR to Rent Ratio floor is conditioned upon obtaining a favorable private letter ruling from the Internal Revenue Service.</w:t>
      </w:r>
    </w:p>
    <w:p>
      <w:pPr>
        <w:pStyle w:val="TextBody"/>
        <w:spacing w:lineRule="auto" w:line="288" w:before="0" w:after="0"/>
        <w:jc w:val="both"/>
        <w:rPr>
          <w:rFonts w:ascii="inherit" w:hAnsi="inherit"/>
          <w:i/>
          <w:sz w:val="13"/>
        </w:rPr>
      </w:pPr>
      <w:r>
        <w:rPr>
          <w:rFonts w:ascii="inherit" w:hAnsi="inherit"/>
          <w:i/>
          <w:sz w:val="13"/>
        </w:rPr>
        <w:t xml:space="preserve">(6) Variable Rent is not subject to the Escalator and is calculated as an increase or decrease of Net Revenues, as defined in the Caesars Lease Agreements, multiplied by the Variable Rent percentage.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16</w:t>
      </w:r>
      <w:r>
        <w:br w:type="page"/>
      </w:r>
    </w:p>
    <w:p>
      <w:pPr>
        <w:pStyle w:val="TextBody"/>
        <w:spacing w:lineRule="auto" w:line="288" w:before="0" w:after="0"/>
        <w:jc w:val="left"/>
        <w:rPr/>
      </w:pPr>
      <w:hyperlink w:anchor="s7181E430E8A9506B896277AC8CF177C4">
        <w:r>
          <w:rPr>
            <w:rStyle w:val="InternetLink"/>
            <w:rFonts w:ascii="inherit" w:hAnsi="inherit"/>
            <w:sz w:val="17"/>
          </w:rPr>
          <w:t>Table of Contents</w:t>
        </w:r>
      </w:hyperlink>
    </w:p>
    <w:p>
      <w:pPr>
        <w:pStyle w:val="TextBody"/>
        <w:spacing w:lineRule="auto" w:line="288" w:before="0" w:after="0"/>
        <w:jc w:val="center"/>
        <w:rPr>
          <w:rFonts w:ascii="inherit" w:hAnsi="inherit"/>
          <w:b/>
          <w:sz w:val="18"/>
        </w:rPr>
      </w:pPr>
      <w:r>
        <w:rPr>
          <w:rFonts w:ascii="inherit" w:hAnsi="inherit"/>
          <w:b/>
          <w:sz w:val="18"/>
        </w:rPr>
        <w:t>VICI PROPERTIES INC.</w:t>
      </w:r>
    </w:p>
    <w:p>
      <w:pPr>
        <w:pStyle w:val="TextBody"/>
        <w:spacing w:lineRule="auto" w:line="288" w:before="0" w:after="0"/>
        <w:jc w:val="center"/>
        <w:rPr>
          <w:rFonts w:ascii="inherit" w:hAnsi="inherit"/>
          <w:b/>
          <w:sz w:val="18"/>
        </w:rPr>
      </w:pPr>
      <w:r>
        <w:rPr>
          <w:rFonts w:ascii="inherit" w:hAnsi="inherit"/>
          <w:b/>
          <w:sz w:val="18"/>
        </w:rPr>
        <w:t>NOTES TO CONSOLIDATED FINANCIAL STATEMENTS (Continued)</w:t>
      </w:r>
    </w:p>
    <w:p>
      <w:pPr>
        <w:pStyle w:val="TextBody"/>
        <w:spacing w:lineRule="auto" w:line="288" w:before="0" w:after="0"/>
        <w:jc w:val="center"/>
        <w:rPr>
          <w:rFonts w:ascii="inherit" w:hAnsi="inherit"/>
          <w:b/>
          <w:sz w:val="18"/>
        </w:rPr>
      </w:pPr>
      <w:r>
        <w:rPr>
          <w:rFonts w:ascii="inherit" w:hAnsi="inherit"/>
          <w:b/>
          <w:sz w:val="18"/>
        </w:rPr>
        <w:t>(UNAUDITED)</w:t>
      </w:r>
    </w:p>
    <w:p>
      <w:pPr>
        <w:pStyle w:val="TextBody"/>
        <w:spacing w:before="0" w:after="0"/>
        <w:rPr/>
      </w:pPr>
      <w:r>
        <w:rPr/>
      </w:r>
    </w:p>
    <w:p>
      <w:pPr>
        <w:pStyle w:val="TextBody"/>
        <w:spacing w:lineRule="auto" w:line="288" w:before="0" w:after="0"/>
        <w:jc w:val="both"/>
        <w:rPr>
          <w:rFonts w:ascii="inherit" w:hAnsi="inherit"/>
          <w:b/>
          <w:i/>
          <w:sz w:val="17"/>
        </w:rPr>
      </w:pPr>
      <w:r>
        <w:rPr>
          <w:rFonts w:ascii="inherit" w:hAnsi="inherit"/>
          <w:b/>
          <w:i/>
          <w:sz w:val="17"/>
        </w:rPr>
        <w:t>Margaritaville Lease Agreement - Overview</w:t>
      </w:r>
    </w:p>
    <w:p>
      <w:pPr>
        <w:pStyle w:val="TextBody"/>
        <w:spacing w:lineRule="auto" w:line="288" w:before="0" w:after="0"/>
        <w:jc w:val="both"/>
        <w:rPr>
          <w:rFonts w:ascii="inherit" w:hAnsi="inherit"/>
          <w:sz w:val="17"/>
        </w:rPr>
      </w:pPr>
      <w:r>
        <w:rPr>
          <w:rFonts w:ascii="inherit" w:hAnsi="inherit"/>
          <w:sz w:val="17"/>
        </w:rPr>
        <w:t>On January 2, 2019, we completed the previously announced transaction to acquire the Margaritaville Resort Casino. The following is a summary of the material lease provisions of our lease with a subsidiary of Penn National which commenced on January 2, 2019, the date of acquisition:</w:t>
      </w:r>
    </w:p>
    <w:tbl>
      <w:tblPr>
        <w:tblW w:w="10205" w:type="dxa"/>
        <w:jc w:val="center"/>
        <w:tblInd w:w="0" w:type="dxa"/>
        <w:tblCellMar>
          <w:top w:w="0" w:type="dxa"/>
          <w:left w:w="0" w:type="dxa"/>
          <w:bottom w:w="0" w:type="dxa"/>
          <w:right w:w="0" w:type="dxa"/>
        </w:tblCellMar>
      </w:tblPr>
      <w:tblGrid>
        <w:gridCol w:w="1849"/>
        <w:gridCol w:w="90"/>
        <w:gridCol w:w="8266"/>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84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26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49" w:type="dxa"/>
            <w:tcBorders/>
            <w:shd w:fill="auto" w:val="clear"/>
            <w:vAlign w:val="center"/>
          </w:tcPr>
          <w:p>
            <w:pPr>
              <w:pStyle w:val="TableContents"/>
              <w:spacing w:before="0" w:after="0"/>
              <w:ind w:left="0" w:right="0" w:firstLine="30"/>
              <w:jc w:val="left"/>
              <w:rPr>
                <w:rFonts w:ascii="inherit" w:hAnsi="inherit"/>
                <w:b/>
                <w:i/>
                <w:sz w:val="13"/>
                <w:u w:val="single"/>
              </w:rPr>
            </w:pPr>
            <w:r>
              <w:rPr>
                <w:rFonts w:ascii="inherit" w:hAnsi="inherit"/>
                <w:b/>
                <w:i/>
                <w:sz w:val="13"/>
                <w:u w:val="single"/>
              </w:rPr>
              <w:t>($ In thousands)</w:t>
            </w:r>
          </w:p>
        </w:tc>
        <w:tc>
          <w:tcPr>
            <w:tcW w:w="90" w:type="dxa"/>
            <w:tcBorders/>
            <w:shd w:fill="auto" w:val="clear"/>
            <w:vAlign w:val="center"/>
          </w:tcPr>
          <w:p>
            <w:pPr>
              <w:pStyle w:val="TableContents"/>
              <w:spacing w:before="0" w:after="0"/>
              <w:ind w:left="0" w:right="0" w:firstLine="30"/>
              <w:rPr/>
            </w:pPr>
            <w:r>
              <w:rPr/>
              <w:t> </w:t>
            </w:r>
          </w:p>
        </w:tc>
        <w:tc>
          <w:tcPr>
            <w:tcW w:w="8266" w:type="dxa"/>
            <w:tcBorders/>
            <w:shd w:fill="auto" w:val="clear"/>
            <w:vAlign w:val="center"/>
          </w:tcPr>
          <w:p>
            <w:pPr>
              <w:pStyle w:val="TableContents"/>
              <w:spacing w:before="0" w:after="0"/>
              <w:ind w:left="0" w:right="0" w:firstLine="30"/>
              <w:rPr/>
            </w:pPr>
            <w:r>
              <w:rPr/>
              <w:t> </w:t>
            </w:r>
          </w:p>
        </w:tc>
      </w:tr>
      <w:tr>
        <w:trPr/>
        <w:tc>
          <w:tcPr>
            <w:tcW w:w="184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5"/>
              </w:rPr>
            </w:pPr>
            <w:r>
              <w:rPr>
                <w:rFonts w:ascii="inherit" w:hAnsi="inherit"/>
                <w:b/>
                <w:sz w:val="15"/>
              </w:rPr>
              <w:t>Lease Provision</w:t>
            </w:r>
          </w:p>
        </w:tc>
        <w:tc>
          <w:tcPr>
            <w:tcW w:w="90" w:type="dxa"/>
            <w:tcBorders/>
            <w:shd w:fill="auto" w:val="clear"/>
            <w:vAlign w:val="center"/>
          </w:tcPr>
          <w:p>
            <w:pPr>
              <w:pStyle w:val="TableContents"/>
              <w:spacing w:before="0" w:after="0"/>
              <w:ind w:left="0" w:right="0" w:firstLine="30"/>
              <w:rPr/>
            </w:pPr>
            <w:r>
              <w:rPr/>
              <w:t> </w:t>
            </w:r>
          </w:p>
        </w:tc>
        <w:tc>
          <w:tcPr>
            <w:tcW w:w="8266"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Term</w:t>
            </w:r>
          </w:p>
        </w:tc>
      </w:tr>
      <w:tr>
        <w:trPr/>
        <w:tc>
          <w:tcPr>
            <w:tcW w:w="1849"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Initial term</w:t>
            </w:r>
          </w:p>
        </w:tc>
        <w:tc>
          <w:tcPr>
            <w:tcW w:w="90" w:type="dxa"/>
            <w:tcBorders/>
            <w:shd w:fill="CCEEFF" w:val="clear"/>
            <w:vAlign w:val="center"/>
          </w:tcPr>
          <w:p>
            <w:pPr>
              <w:pStyle w:val="TableContents"/>
              <w:spacing w:before="0" w:after="0"/>
              <w:ind w:left="0" w:right="0" w:firstLine="30"/>
              <w:rPr/>
            </w:pPr>
            <w:r>
              <w:rPr/>
              <w:t> </w:t>
            </w:r>
          </w:p>
        </w:tc>
        <w:tc>
          <w:tcPr>
            <w:tcW w:w="8266"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15 years</w:t>
            </w:r>
          </w:p>
        </w:tc>
      </w:tr>
      <w:tr>
        <w:trPr/>
        <w:tc>
          <w:tcPr>
            <w:tcW w:w="18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Renewal terms</w:t>
            </w:r>
          </w:p>
        </w:tc>
        <w:tc>
          <w:tcPr>
            <w:tcW w:w="90" w:type="dxa"/>
            <w:tcBorders/>
            <w:shd w:fill="auto" w:val="clear"/>
            <w:vAlign w:val="center"/>
          </w:tcPr>
          <w:p>
            <w:pPr>
              <w:pStyle w:val="TableContents"/>
              <w:spacing w:before="0" w:after="0"/>
              <w:ind w:left="0" w:right="0" w:firstLine="30"/>
              <w:rPr/>
            </w:pPr>
            <w:r>
              <w:rPr/>
              <w:t> </w:t>
            </w:r>
          </w:p>
        </w:tc>
        <w:tc>
          <w:tcPr>
            <w:tcW w:w="82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Four, five-year terms</w:t>
            </w:r>
          </w:p>
        </w:tc>
      </w:tr>
      <w:tr>
        <w:trPr/>
        <w:tc>
          <w:tcPr>
            <w:tcW w:w="18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Building base rent</w:t>
            </w:r>
          </w:p>
        </w:tc>
        <w:tc>
          <w:tcPr>
            <w:tcW w:w="90" w:type="dxa"/>
            <w:tcBorders/>
            <w:shd w:fill="CCEEFF" w:val="clear"/>
            <w:vAlign w:val="center"/>
          </w:tcPr>
          <w:p>
            <w:pPr>
              <w:pStyle w:val="TableContents"/>
              <w:spacing w:before="0" w:after="0"/>
              <w:ind w:left="0" w:right="0" w:firstLine="30"/>
              <w:rPr/>
            </w:pPr>
            <w:r>
              <w:rPr/>
              <w:t> </w:t>
            </w:r>
          </w:p>
        </w:tc>
        <w:tc>
          <w:tcPr>
            <w:tcW w:w="8266"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t>$17,200</w:t>
            </w:r>
          </w:p>
        </w:tc>
      </w:tr>
      <w:tr>
        <w:trPr/>
        <w:tc>
          <w:tcPr>
            <w:tcW w:w="18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Escalation commencement</w:t>
            </w:r>
          </w:p>
        </w:tc>
        <w:tc>
          <w:tcPr>
            <w:tcW w:w="90" w:type="dxa"/>
            <w:tcBorders/>
            <w:shd w:fill="auto" w:val="clear"/>
            <w:vAlign w:val="center"/>
          </w:tcPr>
          <w:p>
            <w:pPr>
              <w:pStyle w:val="TableContents"/>
              <w:spacing w:before="0" w:after="0"/>
              <w:ind w:left="0" w:right="0" w:firstLine="30"/>
              <w:rPr/>
            </w:pPr>
            <w:r>
              <w:rPr/>
              <w:t> </w:t>
            </w:r>
          </w:p>
        </w:tc>
        <w:tc>
          <w:tcPr>
            <w:tcW w:w="8266"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t>Lease in year two</w:t>
            </w:r>
          </w:p>
        </w:tc>
      </w:tr>
      <w:tr>
        <w:trPr/>
        <w:tc>
          <w:tcPr>
            <w:tcW w:w="18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Escalation</w:t>
            </w:r>
          </w:p>
        </w:tc>
        <w:tc>
          <w:tcPr>
            <w:tcW w:w="90" w:type="dxa"/>
            <w:tcBorders/>
            <w:shd w:fill="CCEEFF" w:val="clear"/>
            <w:vAlign w:val="center"/>
          </w:tcPr>
          <w:p>
            <w:pPr>
              <w:pStyle w:val="TableContents"/>
              <w:spacing w:before="0" w:after="0"/>
              <w:ind w:left="0" w:right="0" w:firstLine="30"/>
              <w:rPr/>
            </w:pPr>
            <w:r>
              <w:rPr/>
              <w:t> </w:t>
            </w:r>
          </w:p>
        </w:tc>
        <w:tc>
          <w:tcPr>
            <w:tcW w:w="8266"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t>2% of Building Base rent, subject to the EBITDAR to rent ratio floor</w:t>
            </w:r>
          </w:p>
        </w:tc>
      </w:tr>
      <w:tr>
        <w:trPr/>
        <w:tc>
          <w:tcPr>
            <w:tcW w:w="1849"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EBITDAR to rent ratio floor </w:t>
            </w:r>
            <w:r>
              <w:rPr>
                <w:rFonts w:ascii="inherit" w:hAnsi="inherit"/>
                <w:i/>
                <w:sz w:val="12"/>
              </w:rPr>
              <w:t>(1)</w:t>
            </w:r>
          </w:p>
        </w:tc>
        <w:tc>
          <w:tcPr>
            <w:tcW w:w="90" w:type="dxa"/>
            <w:tcBorders/>
            <w:shd w:fill="auto" w:val="clear"/>
            <w:vAlign w:val="center"/>
          </w:tcPr>
          <w:p>
            <w:pPr>
              <w:pStyle w:val="TableContents"/>
              <w:spacing w:before="0" w:after="0"/>
              <w:ind w:left="0" w:right="0" w:firstLine="30"/>
              <w:rPr/>
            </w:pPr>
            <w:r>
              <w:rPr/>
              <w:t> </w:t>
            </w:r>
          </w:p>
        </w:tc>
        <w:tc>
          <w:tcPr>
            <w:tcW w:w="82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1.9x commencing lease year two</w:t>
            </w:r>
          </w:p>
        </w:tc>
      </w:tr>
      <w:tr>
        <w:trPr/>
        <w:tc>
          <w:tcPr>
            <w:tcW w:w="1849" w:type="dxa"/>
            <w:tcBorders/>
            <w:shd w:fill="CCEEFF" w:val="clear"/>
            <w:vAlign w:val="center"/>
          </w:tcPr>
          <w:p>
            <w:pPr>
              <w:pStyle w:val="TableContents"/>
              <w:spacing w:lineRule="auto" w:line="288" w:before="0" w:after="0"/>
              <w:ind w:left="0" w:right="0" w:firstLine="30"/>
              <w:jc w:val="left"/>
              <w:rPr>
                <w:sz w:val="17"/>
              </w:rPr>
            </w:pPr>
            <w:r>
              <w:rPr>
                <w:rFonts w:ascii="inherit" w:hAnsi="inherit"/>
                <w:sz w:val="17"/>
              </w:rPr>
              <w:t xml:space="preserve">Land base rent </w:t>
            </w:r>
            <w:r>
              <w:rPr>
                <w:rFonts w:ascii="inherit" w:hAnsi="inherit"/>
                <w:sz w:val="12"/>
              </w:rPr>
              <w:t>(2)</w:t>
            </w:r>
          </w:p>
        </w:tc>
        <w:tc>
          <w:tcPr>
            <w:tcW w:w="90" w:type="dxa"/>
            <w:tcBorders/>
            <w:shd w:fill="CCEEFF" w:val="clear"/>
            <w:vAlign w:val="center"/>
          </w:tcPr>
          <w:p>
            <w:pPr>
              <w:pStyle w:val="TableContents"/>
              <w:spacing w:before="0" w:after="0"/>
              <w:ind w:left="0" w:right="0" w:firstLine="30"/>
              <w:rPr/>
            </w:pPr>
            <w:r>
              <w:rPr/>
              <w:t> </w:t>
            </w:r>
          </w:p>
        </w:tc>
        <w:tc>
          <w:tcPr>
            <w:tcW w:w="82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$3,000</w:t>
            </w:r>
          </w:p>
        </w:tc>
      </w:tr>
      <w:tr>
        <w:trPr/>
        <w:tc>
          <w:tcPr>
            <w:tcW w:w="1849"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Percentage rent </w:t>
            </w:r>
            <w:r>
              <w:rPr>
                <w:rFonts w:ascii="inherit" w:hAnsi="inherit"/>
                <w:sz w:val="12"/>
              </w:rPr>
              <w:t>(3)</w:t>
            </w:r>
          </w:p>
        </w:tc>
        <w:tc>
          <w:tcPr>
            <w:tcW w:w="90" w:type="dxa"/>
            <w:tcBorders/>
            <w:shd w:fill="auto" w:val="clear"/>
            <w:vAlign w:val="center"/>
          </w:tcPr>
          <w:p>
            <w:pPr>
              <w:pStyle w:val="TableContents"/>
              <w:spacing w:before="0" w:after="0"/>
              <w:ind w:left="0" w:right="0" w:firstLine="30"/>
              <w:rPr/>
            </w:pPr>
            <w:r>
              <w:rPr/>
              <w:t> </w:t>
            </w:r>
          </w:p>
        </w:tc>
        <w:tc>
          <w:tcPr>
            <w:tcW w:w="8266"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t>$3,000 (fixed for lease year one and two)</w:t>
            </w:r>
          </w:p>
        </w:tc>
      </w:tr>
      <w:tr>
        <w:trPr/>
        <w:tc>
          <w:tcPr>
            <w:tcW w:w="18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Percentage rent reset</w:t>
            </w:r>
          </w:p>
        </w:tc>
        <w:tc>
          <w:tcPr>
            <w:tcW w:w="90" w:type="dxa"/>
            <w:tcBorders/>
            <w:shd w:fill="CCEEFF" w:val="clear"/>
            <w:vAlign w:val="center"/>
          </w:tcPr>
          <w:p>
            <w:pPr>
              <w:pStyle w:val="TableContents"/>
              <w:spacing w:before="0" w:after="0"/>
              <w:ind w:left="0" w:right="0" w:firstLine="30"/>
              <w:rPr/>
            </w:pPr>
            <w:r>
              <w:rPr/>
              <w:t> </w:t>
            </w:r>
          </w:p>
        </w:tc>
        <w:tc>
          <w:tcPr>
            <w:tcW w:w="8266"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t>Lease year three and each and every other lease year thereafter</w:t>
            </w:r>
          </w:p>
        </w:tc>
      </w:tr>
      <w:tr>
        <w:trPr/>
        <w:tc>
          <w:tcPr>
            <w:tcW w:w="18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Percentage rent multiplier</w:t>
            </w:r>
          </w:p>
        </w:tc>
        <w:tc>
          <w:tcPr>
            <w:tcW w:w="90" w:type="dxa"/>
            <w:tcBorders/>
            <w:shd w:fill="auto" w:val="clear"/>
            <w:vAlign w:val="center"/>
          </w:tcPr>
          <w:p>
            <w:pPr>
              <w:pStyle w:val="TableContents"/>
              <w:spacing w:before="0" w:after="0"/>
              <w:ind w:left="0" w:right="0" w:firstLine="30"/>
              <w:rPr/>
            </w:pPr>
            <w:r>
              <w:rPr/>
              <w:t> </w:t>
            </w:r>
          </w:p>
        </w:tc>
        <w:tc>
          <w:tcPr>
            <w:tcW w:w="82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The product of (i) 4% and (ii) the excess (if any) of (a) the average annual net revenue of a trailing two-year period preceding such reset year over (b) a threshold amount (defined as 50% of LTM net revenues prior to acquisition)</w:t>
            </w:r>
          </w:p>
        </w:tc>
      </w:tr>
      <w:tr>
        <w:trPr/>
        <w:tc>
          <w:tcPr>
            <w:tcW w:w="1849" w:type="dxa"/>
            <w:tcBorders/>
            <w:shd w:fill="CCEEFF" w:val="clear"/>
            <w:vAlign w:val="center"/>
          </w:tcPr>
          <w:p>
            <w:pPr>
              <w:pStyle w:val="TableContents"/>
              <w:spacing w:lineRule="auto" w:line="288" w:before="0" w:after="0"/>
              <w:ind w:left="0" w:right="0" w:firstLine="30"/>
              <w:jc w:val="left"/>
              <w:rPr>
                <w:sz w:val="17"/>
              </w:rPr>
            </w:pPr>
            <w:r>
              <w:rPr>
                <w:rFonts w:ascii="inherit" w:hAnsi="inherit"/>
                <w:sz w:val="17"/>
              </w:rPr>
              <w:t xml:space="preserve">Total current rent </w:t>
            </w:r>
            <w:r>
              <w:rPr>
                <w:rFonts w:ascii="inherit" w:hAnsi="inherit"/>
                <w:sz w:val="12"/>
              </w:rPr>
              <w:t>(4)</w:t>
            </w:r>
          </w:p>
        </w:tc>
        <w:tc>
          <w:tcPr>
            <w:tcW w:w="90" w:type="dxa"/>
            <w:tcBorders/>
            <w:shd w:fill="CCEEFF" w:val="clear"/>
            <w:vAlign w:val="center"/>
          </w:tcPr>
          <w:p>
            <w:pPr>
              <w:pStyle w:val="TableContents"/>
              <w:spacing w:before="0" w:after="0"/>
              <w:ind w:left="0" w:right="0" w:firstLine="30"/>
              <w:rPr/>
            </w:pPr>
            <w:r>
              <w:rPr/>
              <w:t> </w:t>
            </w:r>
          </w:p>
        </w:tc>
        <w:tc>
          <w:tcPr>
            <w:tcW w:w="8266" w:type="dxa"/>
            <w:tcBorders/>
            <w:shd w:fill="CCEEFF" w:val="clear"/>
            <w:vAlign w:val="center"/>
          </w:tcPr>
          <w:p>
            <w:pPr>
              <w:pStyle w:val="TableContents"/>
              <w:spacing w:before="0" w:after="0"/>
              <w:jc w:val="left"/>
              <w:rPr>
                <w:rFonts w:ascii="inherit" w:hAnsi="inherit"/>
                <w:sz w:val="17"/>
              </w:rPr>
            </w:pPr>
            <w:r>
              <w:rPr>
                <w:rFonts w:ascii="inherit" w:hAnsi="inherit"/>
                <w:sz w:val="17"/>
              </w:rPr>
              <w:t>$23,200</w:t>
            </w:r>
          </w:p>
        </w:tc>
      </w:tr>
    </w:tbl>
    <w:p>
      <w:pPr>
        <w:pStyle w:val="TextBody"/>
        <w:spacing w:lineRule="auto" w:line="288" w:before="0" w:after="0"/>
        <w:jc w:val="left"/>
        <w:rPr>
          <w:rFonts w:ascii="inherit" w:hAnsi="inherit"/>
          <w:sz w:val="17"/>
        </w:rPr>
      </w:pPr>
      <w:r>
        <w:rPr>
          <w:rFonts w:ascii="inherit" w:hAnsi="inherit"/>
          <w:sz w:val="17"/>
        </w:rPr>
        <w:t>____________________</w:t>
      </w:r>
    </w:p>
    <w:p>
      <w:pPr>
        <w:pStyle w:val="TextBody"/>
        <w:spacing w:lineRule="auto" w:line="288" w:before="0" w:after="0"/>
        <w:jc w:val="both"/>
        <w:rPr>
          <w:rFonts w:ascii="inherit" w:hAnsi="inherit"/>
          <w:i/>
          <w:sz w:val="13"/>
        </w:rPr>
      </w:pPr>
      <w:r>
        <w:rPr>
          <w:rFonts w:ascii="inherit" w:hAnsi="inherit"/>
          <w:i/>
          <w:sz w:val="13"/>
        </w:rPr>
        <w:t>(1) In the event that the EBITDAR to rent ratio coverage is below the stated floor, the escalation will be reduced to such amount to achieve the stated EBITDAR to rent ratio coverage, provided that the amount shall never result in a decrease to the prior year’s rent. The EBITDAR to rent ratio floor is conditioned upon obtaining a favorable private letter ruling from the Internal Revenue Service.</w:t>
      </w:r>
    </w:p>
    <w:p>
      <w:pPr>
        <w:pStyle w:val="TextBody"/>
        <w:spacing w:lineRule="auto" w:line="288" w:before="0" w:after="0"/>
        <w:jc w:val="both"/>
        <w:rPr>
          <w:rFonts w:ascii="inherit" w:hAnsi="inherit"/>
          <w:i/>
          <w:sz w:val="13"/>
        </w:rPr>
      </w:pPr>
      <w:r>
        <w:rPr>
          <w:rFonts w:ascii="inherit" w:hAnsi="inherit"/>
          <w:i/>
          <w:sz w:val="13"/>
        </w:rPr>
        <w:t xml:space="preserve">(2) Land base rent is not subject to escalation. </w:t>
      </w:r>
    </w:p>
    <w:p>
      <w:pPr>
        <w:pStyle w:val="TextBody"/>
        <w:spacing w:lineRule="auto" w:line="288" w:before="0" w:after="0"/>
        <w:jc w:val="both"/>
        <w:rPr>
          <w:rFonts w:ascii="inherit" w:hAnsi="inherit"/>
          <w:i/>
          <w:sz w:val="13"/>
        </w:rPr>
      </w:pPr>
      <w:r>
        <w:rPr>
          <w:rFonts w:ascii="inherit" w:hAnsi="inherit"/>
          <w:i/>
          <w:sz w:val="13"/>
        </w:rPr>
        <w:t xml:space="preserve">(3) Percentage rent is subject to the percentage rent multiplier. </w:t>
      </w:r>
    </w:p>
    <w:p>
      <w:pPr>
        <w:pStyle w:val="TextBody"/>
        <w:spacing w:lineRule="auto" w:line="288" w:before="0" w:after="0"/>
        <w:jc w:val="both"/>
        <w:rPr>
          <w:rFonts w:ascii="inherit" w:hAnsi="inherit"/>
          <w:i/>
          <w:sz w:val="13"/>
        </w:rPr>
      </w:pPr>
      <w:r>
        <w:rPr>
          <w:rFonts w:ascii="inherit" w:hAnsi="inherit"/>
          <w:i/>
          <w:sz w:val="13"/>
        </w:rPr>
        <w:t xml:space="preserve">(4) The amount represents current annual base rent payable for the current lease year which is the period from January 2, 2019 through January 31, 2020.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i/>
          <w:sz w:val="17"/>
        </w:rPr>
      </w:pPr>
      <w:r>
        <w:rPr>
          <w:rFonts w:ascii="inherit" w:hAnsi="inherit"/>
          <w:b/>
          <w:i/>
          <w:sz w:val="17"/>
        </w:rPr>
        <w:t>Capital Expenditure Requirements</w:t>
      </w:r>
    </w:p>
    <w:p>
      <w:pPr>
        <w:pStyle w:val="TextBody"/>
        <w:spacing w:lineRule="auto" w:line="288" w:before="0" w:after="0"/>
        <w:jc w:val="both"/>
        <w:rPr>
          <w:rFonts w:ascii="inherit" w:hAnsi="inherit"/>
          <w:sz w:val="17"/>
        </w:rPr>
      </w:pPr>
      <w:r>
        <w:rPr>
          <w:rFonts w:ascii="inherit" w:hAnsi="inherit"/>
          <w:sz w:val="17"/>
        </w:rPr>
        <w:t>We manage our residual asset risk through protective covenants in our Lease Agreements, which require the tenant to, among other things, hold specific insurance coverage, engage in ongoing maintenance of the property and invest in capital improvements. With respect to the capital improvements, the Lease Agreements specify certain minimum amounts that our tenants must spend on capital expenditures that constitute installation, restoration and repair or other improvements of items with respect to the leased properties. The following table summarizes the capital expenditure requirements of our tenants under the Lease Agreements:</w:t>
      </w:r>
    </w:p>
    <w:tbl>
      <w:tblPr>
        <w:tblW w:w="10205" w:type="dxa"/>
        <w:jc w:val="center"/>
        <w:tblInd w:w="0" w:type="dxa"/>
        <w:tblCellMar>
          <w:top w:w="0" w:type="dxa"/>
          <w:left w:w="0" w:type="dxa"/>
          <w:bottom w:w="0" w:type="dxa"/>
          <w:right w:w="0" w:type="dxa"/>
        </w:tblCellMar>
      </w:tblPr>
      <w:tblGrid>
        <w:gridCol w:w="1800"/>
        <w:gridCol w:w="90"/>
        <w:gridCol w:w="2388"/>
        <w:gridCol w:w="90"/>
        <w:gridCol w:w="1366"/>
        <w:gridCol w:w="90"/>
        <w:gridCol w:w="1990"/>
        <w:gridCol w:w="90"/>
        <w:gridCol w:w="2301"/>
      </w:tblGrid>
      <w:tr>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18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38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9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30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0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Provision</w:t>
            </w:r>
          </w:p>
        </w:tc>
        <w:tc>
          <w:tcPr>
            <w:tcW w:w="90" w:type="dxa"/>
            <w:tcBorders/>
            <w:shd w:fill="auto" w:val="clear"/>
            <w:vAlign w:val="center"/>
          </w:tcPr>
          <w:p>
            <w:pPr>
              <w:pStyle w:val="TableContents"/>
              <w:spacing w:before="0" w:after="0"/>
              <w:ind w:left="0" w:right="0" w:firstLine="30"/>
              <w:rPr/>
            </w:pPr>
            <w:r>
              <w:rPr/>
              <w:t> </w:t>
            </w:r>
          </w:p>
        </w:tc>
        <w:tc>
          <w:tcPr>
            <w:tcW w:w="2388"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Non-CPLV Lease Agreement and Joliet Lease Agreement</w:t>
            </w:r>
          </w:p>
        </w:tc>
        <w:tc>
          <w:tcPr>
            <w:tcW w:w="90" w:type="dxa"/>
            <w:tcBorders/>
            <w:shd w:fill="auto" w:val="clear"/>
            <w:vAlign w:val="center"/>
          </w:tcPr>
          <w:p>
            <w:pPr>
              <w:pStyle w:val="TableContents"/>
              <w:spacing w:before="0" w:after="0"/>
              <w:ind w:left="0" w:right="0" w:firstLine="30"/>
              <w:rPr/>
            </w:pPr>
            <w:r>
              <w:rPr/>
              <w:t> </w:t>
            </w:r>
          </w:p>
        </w:tc>
        <w:tc>
          <w:tcPr>
            <w:tcW w:w="1366"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CPLV Lease Agreement</w:t>
            </w:r>
          </w:p>
        </w:tc>
        <w:tc>
          <w:tcPr>
            <w:tcW w:w="90" w:type="dxa"/>
            <w:tcBorders/>
            <w:shd w:fill="auto" w:val="clear"/>
            <w:vAlign w:val="center"/>
          </w:tcPr>
          <w:p>
            <w:pPr>
              <w:pStyle w:val="TableContents"/>
              <w:spacing w:before="0" w:after="0"/>
              <w:ind w:left="0" w:right="0" w:firstLine="30"/>
              <w:rPr/>
            </w:pPr>
            <w:r>
              <w:rPr/>
              <w:t> </w:t>
            </w:r>
          </w:p>
        </w:tc>
        <w:tc>
          <w:tcPr>
            <w:tcW w:w="199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HLV Lease Agreement</w:t>
            </w:r>
          </w:p>
        </w:tc>
        <w:tc>
          <w:tcPr>
            <w:tcW w:w="90" w:type="dxa"/>
            <w:tcBorders/>
            <w:shd w:fill="auto" w:val="clear"/>
            <w:vAlign w:val="center"/>
          </w:tcPr>
          <w:p>
            <w:pPr>
              <w:pStyle w:val="TableContents"/>
              <w:spacing w:before="0" w:after="0"/>
              <w:ind w:left="0" w:right="0" w:firstLine="30"/>
              <w:rPr/>
            </w:pPr>
            <w:r>
              <w:rPr/>
              <w:t> </w:t>
            </w:r>
          </w:p>
        </w:tc>
        <w:tc>
          <w:tcPr>
            <w:tcW w:w="2301"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Margaritaville Lease Agreement</w:t>
            </w:r>
          </w:p>
        </w:tc>
      </w:tr>
      <w:tr>
        <w:trPr/>
        <w:tc>
          <w:tcPr>
            <w:tcW w:w="18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Yearly minimum expenditure</w:t>
            </w:r>
          </w:p>
        </w:tc>
        <w:tc>
          <w:tcPr>
            <w:tcW w:w="90" w:type="dxa"/>
            <w:tcBorders/>
            <w:shd w:fill="CCEEFF" w:val="clear"/>
            <w:vAlign w:val="center"/>
          </w:tcPr>
          <w:p>
            <w:pPr>
              <w:pStyle w:val="TableContents"/>
              <w:spacing w:before="0" w:after="0"/>
              <w:ind w:left="0" w:right="0" w:firstLine="30"/>
              <w:rPr/>
            </w:pPr>
            <w:r>
              <w:rPr/>
              <w:t> </w:t>
            </w:r>
          </w:p>
        </w:tc>
        <w:tc>
          <w:tcPr>
            <w:tcW w:w="2388" w:type="dxa"/>
            <w:tcBorders/>
            <w:shd w:fill="CCEEFF" w:val="clear"/>
            <w:vAlign w:val="center"/>
          </w:tcPr>
          <w:p>
            <w:pPr>
              <w:pStyle w:val="TableContents"/>
              <w:spacing w:lineRule="auto" w:line="288" w:before="0" w:after="0"/>
              <w:ind w:left="0" w:right="0" w:firstLine="30"/>
              <w:jc w:val="center"/>
              <w:rPr>
                <w:sz w:val="17"/>
              </w:rPr>
            </w:pPr>
            <w:r>
              <w:rPr>
                <w:rFonts w:ascii="inherit" w:hAnsi="inherit"/>
                <w:sz w:val="17"/>
              </w:rPr>
              <w:t xml:space="preserve">1% of net revenues </w:t>
            </w:r>
            <w:r>
              <w:rPr>
                <w:rFonts w:ascii="inherit" w:hAnsi="inherit"/>
                <w:sz w:val="12"/>
              </w:rPr>
              <w:t>(1)</w:t>
            </w:r>
          </w:p>
        </w:tc>
        <w:tc>
          <w:tcPr>
            <w:tcW w:w="90" w:type="dxa"/>
            <w:tcBorders/>
            <w:shd w:fill="CCEEFF" w:val="clear"/>
            <w:vAlign w:val="center"/>
          </w:tcPr>
          <w:p>
            <w:pPr>
              <w:pStyle w:val="TableContents"/>
              <w:spacing w:before="0" w:after="0"/>
              <w:ind w:left="0" w:right="0" w:firstLine="30"/>
              <w:rPr/>
            </w:pPr>
            <w:r>
              <w:rPr/>
              <w:t> </w:t>
            </w:r>
          </w:p>
        </w:tc>
        <w:tc>
          <w:tcPr>
            <w:tcW w:w="1366" w:type="dxa"/>
            <w:tcBorders>
              <w:top w:val="single" w:sz="2" w:space="0" w:color="000000"/>
            </w:tcBorders>
            <w:shd w:fill="CCEEFF" w:val="clear"/>
            <w:tcMar>
              <w:top w:w="30" w:type="dxa"/>
            </w:tcMar>
            <w:vAlign w:val="center"/>
          </w:tcPr>
          <w:p>
            <w:pPr>
              <w:pStyle w:val="TableContents"/>
              <w:spacing w:lineRule="auto" w:line="288" w:before="0" w:after="0"/>
              <w:ind w:left="0" w:right="0" w:firstLine="30"/>
              <w:jc w:val="center"/>
              <w:rPr>
                <w:sz w:val="17"/>
              </w:rPr>
            </w:pPr>
            <w:r>
              <w:rPr>
                <w:rFonts w:ascii="inherit" w:hAnsi="inherit"/>
                <w:sz w:val="17"/>
              </w:rPr>
              <w:t xml:space="preserve">1% of net revenues </w:t>
            </w:r>
            <w:r>
              <w:rPr>
                <w:rFonts w:ascii="inherit" w:hAnsi="inherit"/>
                <w:sz w:val="12"/>
              </w:rPr>
              <w:t>(1)</w:t>
            </w:r>
          </w:p>
        </w:tc>
        <w:tc>
          <w:tcPr>
            <w:tcW w:w="90" w:type="dxa"/>
            <w:tcBorders/>
            <w:shd w:fill="CCEEFF" w:val="clear"/>
            <w:vAlign w:val="center"/>
          </w:tcPr>
          <w:p>
            <w:pPr>
              <w:pStyle w:val="TableContents"/>
              <w:spacing w:before="0" w:after="0"/>
              <w:ind w:left="0" w:right="0" w:firstLine="30"/>
              <w:rPr/>
            </w:pPr>
            <w:r>
              <w:rPr/>
              <w:t> </w:t>
            </w:r>
          </w:p>
        </w:tc>
        <w:tc>
          <w:tcPr>
            <w:tcW w:w="1990" w:type="dxa"/>
            <w:tcBorders>
              <w:top w:val="single" w:sz="2" w:space="0" w:color="000000"/>
            </w:tcBorders>
            <w:shd w:fill="CCEEFF"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1% of net revenues commencing in 2022</w:t>
            </w:r>
          </w:p>
        </w:tc>
        <w:tc>
          <w:tcPr>
            <w:tcW w:w="90" w:type="dxa"/>
            <w:tcBorders/>
            <w:shd w:fill="CCEEFF" w:val="clear"/>
            <w:vAlign w:val="center"/>
          </w:tcPr>
          <w:p>
            <w:pPr>
              <w:pStyle w:val="TableContents"/>
              <w:spacing w:before="0" w:after="0"/>
              <w:ind w:left="0" w:right="0" w:firstLine="30"/>
              <w:rPr/>
            </w:pPr>
            <w:r>
              <w:rPr/>
              <w:t> </w:t>
            </w:r>
          </w:p>
        </w:tc>
        <w:tc>
          <w:tcPr>
            <w:tcW w:w="2301" w:type="dxa"/>
            <w:tcBorders>
              <w:top w:val="single" w:sz="2" w:space="0" w:color="000000"/>
            </w:tcBorders>
            <w:shd w:fill="CCEEFF"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1% of net revenues based on four-year average</w:t>
            </w:r>
          </w:p>
        </w:tc>
      </w:tr>
      <w:tr>
        <w:trPr/>
        <w:tc>
          <w:tcPr>
            <w:tcW w:w="1800"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Rolling three-year minimum </w:t>
            </w:r>
            <w:r>
              <w:rPr>
                <w:rFonts w:ascii="inherit" w:hAnsi="inherit"/>
                <w:sz w:val="12"/>
              </w:rPr>
              <w:t>(2)</w:t>
            </w:r>
          </w:p>
        </w:tc>
        <w:tc>
          <w:tcPr>
            <w:tcW w:w="90" w:type="dxa"/>
            <w:tcBorders/>
            <w:shd w:fill="auto" w:val="clear"/>
            <w:vAlign w:val="center"/>
          </w:tcPr>
          <w:p>
            <w:pPr>
              <w:pStyle w:val="TableContents"/>
              <w:spacing w:before="0" w:after="0"/>
              <w:ind w:left="0" w:right="0" w:firstLine="30"/>
              <w:rPr/>
            </w:pPr>
            <w:r>
              <w:rPr/>
              <w:t> </w:t>
            </w:r>
          </w:p>
        </w:tc>
        <w:tc>
          <w:tcPr>
            <w:tcW w:w="238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$255 million</w:t>
            </w:r>
          </w:p>
        </w:tc>
        <w:tc>
          <w:tcPr>
            <w:tcW w:w="90" w:type="dxa"/>
            <w:tcBorders/>
            <w:shd w:fill="auto" w:val="clear"/>
            <w:vAlign w:val="center"/>
          </w:tcPr>
          <w:p>
            <w:pPr>
              <w:pStyle w:val="TableContents"/>
              <w:spacing w:before="0" w:after="0"/>
              <w:ind w:left="0" w:right="0" w:firstLine="30"/>
              <w:rPr/>
            </w:pPr>
            <w:r>
              <w:rPr/>
              <w:t> </w:t>
            </w:r>
          </w:p>
        </w:tc>
        <w:tc>
          <w:tcPr>
            <w:tcW w:w="136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$84 million</w:t>
            </w:r>
          </w:p>
        </w:tc>
        <w:tc>
          <w:tcPr>
            <w:tcW w:w="90" w:type="dxa"/>
            <w:tcBorders/>
            <w:shd w:fill="auto" w:val="clear"/>
            <w:vAlign w:val="center"/>
          </w:tcPr>
          <w:p>
            <w:pPr>
              <w:pStyle w:val="TableContents"/>
              <w:spacing w:before="0" w:after="0"/>
              <w:ind w:left="0" w:right="0" w:firstLine="30"/>
              <w:rPr/>
            </w:pPr>
            <w:r>
              <w:rPr/>
              <w:t> </w:t>
            </w:r>
          </w:p>
        </w:tc>
        <w:tc>
          <w:tcPr>
            <w:tcW w:w="199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N/A</w:t>
            </w:r>
          </w:p>
        </w:tc>
        <w:tc>
          <w:tcPr>
            <w:tcW w:w="90" w:type="dxa"/>
            <w:tcBorders/>
            <w:shd w:fill="auto" w:val="clear"/>
            <w:vAlign w:val="center"/>
          </w:tcPr>
          <w:p>
            <w:pPr>
              <w:pStyle w:val="TableContents"/>
              <w:spacing w:before="0" w:after="0"/>
              <w:ind w:left="0" w:right="0" w:firstLine="30"/>
              <w:rPr/>
            </w:pPr>
            <w:r>
              <w:rPr/>
              <w:t> </w:t>
            </w:r>
          </w:p>
        </w:tc>
        <w:tc>
          <w:tcPr>
            <w:tcW w:w="2301"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N/A</w:t>
            </w:r>
          </w:p>
        </w:tc>
      </w:tr>
      <w:tr>
        <w:trPr/>
        <w:tc>
          <w:tcPr>
            <w:tcW w:w="18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Initial minimum capital expenditure</w:t>
            </w:r>
          </w:p>
        </w:tc>
        <w:tc>
          <w:tcPr>
            <w:tcW w:w="90" w:type="dxa"/>
            <w:tcBorders/>
            <w:shd w:fill="CCEEFF" w:val="clear"/>
            <w:vAlign w:val="center"/>
          </w:tcPr>
          <w:p>
            <w:pPr>
              <w:pStyle w:val="TableContents"/>
              <w:spacing w:before="0" w:after="0"/>
              <w:ind w:left="0" w:right="0" w:firstLine="30"/>
              <w:rPr/>
            </w:pPr>
            <w:r>
              <w:rPr/>
              <w:t> </w:t>
            </w:r>
          </w:p>
        </w:tc>
        <w:tc>
          <w:tcPr>
            <w:tcW w:w="2388"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N/A</w:t>
            </w:r>
          </w:p>
        </w:tc>
        <w:tc>
          <w:tcPr>
            <w:tcW w:w="90" w:type="dxa"/>
            <w:tcBorders/>
            <w:shd w:fill="CCEEFF" w:val="clear"/>
            <w:vAlign w:val="center"/>
          </w:tcPr>
          <w:p>
            <w:pPr>
              <w:pStyle w:val="TableContents"/>
              <w:spacing w:before="0" w:after="0"/>
              <w:ind w:left="0" w:right="0" w:firstLine="30"/>
              <w:rPr/>
            </w:pPr>
            <w:r>
              <w:rPr/>
              <w:t> </w:t>
            </w:r>
          </w:p>
        </w:tc>
        <w:tc>
          <w:tcPr>
            <w:tcW w:w="1366"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N/A</w:t>
            </w:r>
          </w:p>
        </w:tc>
        <w:tc>
          <w:tcPr>
            <w:tcW w:w="90" w:type="dxa"/>
            <w:tcBorders/>
            <w:shd w:fill="CCEEFF" w:val="clear"/>
            <w:vAlign w:val="center"/>
          </w:tcPr>
          <w:p>
            <w:pPr>
              <w:pStyle w:val="TableContents"/>
              <w:spacing w:before="0" w:after="0"/>
              <w:ind w:left="0" w:right="0" w:firstLine="30"/>
              <w:rPr/>
            </w:pPr>
            <w:r>
              <w:rPr/>
              <w:t> </w:t>
            </w:r>
          </w:p>
        </w:tc>
        <w:tc>
          <w:tcPr>
            <w:tcW w:w="1990"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$171 million (2017 - 2021)</w:t>
            </w:r>
          </w:p>
        </w:tc>
        <w:tc>
          <w:tcPr>
            <w:tcW w:w="90" w:type="dxa"/>
            <w:tcBorders/>
            <w:shd w:fill="CCEEFF" w:val="clear"/>
            <w:vAlign w:val="center"/>
          </w:tcPr>
          <w:p>
            <w:pPr>
              <w:pStyle w:val="TableContents"/>
              <w:spacing w:before="0" w:after="0"/>
              <w:ind w:left="0" w:right="0" w:firstLine="30"/>
              <w:rPr/>
            </w:pPr>
            <w:r>
              <w:rPr/>
              <w:t> </w:t>
            </w:r>
          </w:p>
        </w:tc>
        <w:tc>
          <w:tcPr>
            <w:tcW w:w="2301" w:type="dxa"/>
            <w:tcBorders/>
            <w:shd w:fill="CCEEFF" w:val="clear"/>
            <w:vAlign w:val="center"/>
          </w:tcPr>
          <w:p>
            <w:pPr>
              <w:pStyle w:val="TableContents"/>
              <w:spacing w:before="0" w:after="0"/>
              <w:jc w:val="center"/>
              <w:rPr>
                <w:rFonts w:ascii="inherit" w:hAnsi="inherit"/>
                <w:sz w:val="17"/>
              </w:rPr>
            </w:pPr>
            <w:r>
              <w:rPr>
                <w:rFonts w:ascii="inherit" w:hAnsi="inherit"/>
                <w:sz w:val="17"/>
              </w:rPr>
              <w:t>N/A</w:t>
            </w:r>
          </w:p>
        </w:tc>
      </w:tr>
    </w:tbl>
    <w:p>
      <w:pPr>
        <w:pStyle w:val="TextBody"/>
        <w:spacing w:lineRule="auto" w:line="288" w:before="0" w:after="0"/>
        <w:jc w:val="left"/>
        <w:rPr>
          <w:rFonts w:ascii="inherit" w:hAnsi="inherit"/>
          <w:sz w:val="17"/>
        </w:rPr>
      </w:pPr>
      <w:r>
        <w:rPr>
          <w:rFonts w:ascii="inherit" w:hAnsi="inherit"/>
          <w:sz w:val="17"/>
        </w:rPr>
        <w:t>____________________</w:t>
      </w:r>
    </w:p>
    <w:p>
      <w:pPr>
        <w:pStyle w:val="TextBody"/>
        <w:spacing w:lineRule="auto" w:line="288" w:before="0" w:after="0"/>
        <w:jc w:val="both"/>
        <w:rPr>
          <w:sz w:val="13"/>
        </w:rPr>
      </w:pPr>
      <w:r>
        <w:rPr>
          <w:rFonts w:ascii="inherit" w:hAnsi="inherit"/>
          <w:i/>
          <w:sz w:val="13"/>
        </w:rPr>
        <w:t>(1) The lease agreement requires a $100 million</w:t>
      </w:r>
      <w:r>
        <w:rPr>
          <w:sz w:val="13"/>
        </w:rPr>
        <w:t xml:space="preserve"> </w:t>
      </w:r>
      <w:r>
        <w:rPr>
          <w:rFonts w:ascii="inherit" w:hAnsi="inherit"/>
          <w:i/>
          <w:sz w:val="13"/>
        </w:rPr>
        <w:t>floor on annual capital expenditures for CPLV, Joliet and Non-CPLV in the aggregate. Additionally, annual building &amp; improvement capital improvements must be equal to or greater than 1%</w:t>
      </w:r>
      <w:r>
        <w:rPr>
          <w:sz w:val="13"/>
        </w:rPr>
        <w:t xml:space="preserve"> </w:t>
      </w:r>
      <w:r>
        <w:rPr>
          <w:rFonts w:ascii="inherit" w:hAnsi="inherit"/>
          <w:i/>
          <w:sz w:val="13"/>
        </w:rPr>
        <w:t>of prior year net revenues.</w:t>
      </w:r>
    </w:p>
    <w:p>
      <w:pPr>
        <w:pStyle w:val="TextBody"/>
        <w:spacing w:lineRule="auto" w:line="288" w:before="0" w:after="0"/>
        <w:jc w:val="both"/>
        <w:rPr>
          <w:sz w:val="13"/>
        </w:rPr>
      </w:pPr>
      <w:r>
        <w:rPr>
          <w:rFonts w:ascii="inherit" w:hAnsi="inherit"/>
          <w:i/>
          <w:sz w:val="13"/>
        </w:rPr>
        <w:t>(2) CEOC is required to spend $350 million</w:t>
      </w:r>
      <w:r>
        <w:rPr>
          <w:sz w:val="13"/>
        </w:rPr>
        <w:t xml:space="preserve"> </w:t>
      </w:r>
      <w:r>
        <w:rPr>
          <w:rFonts w:ascii="inherit" w:hAnsi="inherit"/>
          <w:i/>
          <w:sz w:val="13"/>
        </w:rPr>
        <w:t>on capital expenditures over a rolling three-year period, with $255 million</w:t>
      </w:r>
      <w:r>
        <w:rPr>
          <w:sz w:val="13"/>
        </w:rPr>
        <w:t xml:space="preserve"> </w:t>
      </w:r>
      <w:r>
        <w:rPr>
          <w:rFonts w:ascii="inherit" w:hAnsi="inherit"/>
          <w:i/>
          <w:sz w:val="13"/>
        </w:rPr>
        <w:t>allocated to Non-CPLV, $84 million</w:t>
      </w:r>
      <w:r>
        <w:rPr>
          <w:sz w:val="13"/>
        </w:rPr>
        <w:t xml:space="preserve"> </w:t>
      </w:r>
      <w:r>
        <w:rPr>
          <w:rFonts w:ascii="inherit" w:hAnsi="inherit"/>
          <w:i/>
          <w:sz w:val="13"/>
        </w:rPr>
        <w:t>allocated to CPLV and the remaining balance of $11 million</w:t>
      </w:r>
      <w:r>
        <w:rPr>
          <w:sz w:val="13"/>
        </w:rPr>
        <w:t xml:space="preserve"> </w:t>
      </w:r>
      <w:r>
        <w:rPr>
          <w:rFonts w:ascii="inherit" w:hAnsi="inherit"/>
          <w:i/>
          <w:sz w:val="13"/>
        </w:rPr>
        <w:t>to facilities covered by any Formation Lease Agreement in such proportion as CEOC may elect. Additionally, CEOC is required to expend a minimum of $495 million</w:t>
      </w:r>
      <w:r>
        <w:rPr>
          <w:sz w:val="13"/>
        </w:rPr>
        <w:t xml:space="preserve"> </w:t>
      </w:r>
      <w:r>
        <w:rPr>
          <w:rFonts w:ascii="inherit" w:hAnsi="inherit"/>
          <w:i/>
          <w:sz w:val="13"/>
        </w:rPr>
        <w:t>across certain of its affiliates and other assets, together with the $350 million</w:t>
      </w:r>
      <w:r>
        <w:rPr>
          <w:sz w:val="13"/>
        </w:rPr>
        <w:t xml:space="preserve"> </w:t>
      </w:r>
      <w:r>
        <w:rPr>
          <w:rFonts w:ascii="inherit" w:hAnsi="inherit"/>
          <w:i/>
          <w:sz w:val="13"/>
        </w:rPr>
        <w:t xml:space="preserve">requirement.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17</w:t>
      </w:r>
      <w:r>
        <w:br w:type="page"/>
      </w:r>
    </w:p>
    <w:p>
      <w:pPr>
        <w:pStyle w:val="TextBody"/>
        <w:spacing w:lineRule="auto" w:line="288" w:before="0" w:after="0"/>
        <w:jc w:val="left"/>
        <w:rPr/>
      </w:pPr>
      <w:hyperlink w:anchor="s7181E430E8A9506B896277AC8CF177C4">
        <w:bookmarkStart w:id="17" w:name="sBF5509A2D3F05054BA89EF39FC199D1B"/>
        <w:bookmarkEnd w:id="17"/>
        <w:r>
          <w:rPr>
            <w:rStyle w:val="InternetLink"/>
            <w:rFonts w:ascii="inherit" w:hAnsi="inherit"/>
            <w:sz w:val="17"/>
          </w:rPr>
          <w:t>Table of Contents</w:t>
        </w:r>
      </w:hyperlink>
    </w:p>
    <w:p>
      <w:pPr>
        <w:pStyle w:val="TextBody"/>
        <w:spacing w:lineRule="auto" w:line="288" w:before="0" w:after="0"/>
        <w:jc w:val="center"/>
        <w:rPr>
          <w:rFonts w:ascii="inherit" w:hAnsi="inherit"/>
          <w:b/>
          <w:sz w:val="18"/>
        </w:rPr>
      </w:pPr>
      <w:r>
        <w:rPr>
          <w:rFonts w:ascii="inherit" w:hAnsi="inherit"/>
          <w:b/>
          <w:sz w:val="18"/>
        </w:rPr>
        <w:t>VICI PROPERTIES INC.</w:t>
      </w:r>
    </w:p>
    <w:p>
      <w:pPr>
        <w:pStyle w:val="TextBody"/>
        <w:spacing w:lineRule="auto" w:line="288" w:before="0" w:after="0"/>
        <w:jc w:val="center"/>
        <w:rPr>
          <w:rFonts w:ascii="inherit" w:hAnsi="inherit"/>
          <w:b/>
          <w:sz w:val="18"/>
        </w:rPr>
      </w:pPr>
      <w:r>
        <w:rPr>
          <w:rFonts w:ascii="inherit" w:hAnsi="inherit"/>
          <w:b/>
          <w:sz w:val="18"/>
        </w:rPr>
        <w:t>NOTES TO CONSOLIDATED FINANCIAL STATEMENTS (Continued)</w:t>
      </w:r>
    </w:p>
    <w:p>
      <w:pPr>
        <w:pStyle w:val="TextBody"/>
        <w:spacing w:lineRule="auto" w:line="288" w:before="0" w:after="0"/>
        <w:jc w:val="center"/>
        <w:rPr>
          <w:rFonts w:ascii="inherit" w:hAnsi="inherit"/>
          <w:b/>
          <w:sz w:val="18"/>
        </w:rPr>
      </w:pPr>
      <w:r>
        <w:rPr>
          <w:rFonts w:ascii="inherit" w:hAnsi="inherit"/>
          <w:b/>
          <w:sz w:val="18"/>
        </w:rPr>
        <w:t>(UNAUDITED)</w:t>
      </w:r>
    </w:p>
    <w:p>
      <w:pPr>
        <w:pStyle w:val="TextBody"/>
        <w:spacing w:before="0" w:after="0"/>
        <w:rPr/>
      </w:pPr>
      <w:r>
        <w:rPr/>
      </w:r>
    </w:p>
    <w:p>
      <w:pPr>
        <w:pStyle w:val="TextBody"/>
        <w:spacing w:lineRule="auto" w:line="288" w:before="0" w:after="0"/>
        <w:jc w:val="both"/>
        <w:rPr>
          <w:sz w:val="20"/>
        </w:rPr>
      </w:pPr>
      <w:r>
        <w:rPr>
          <w:rFonts w:ascii="inherit" w:hAnsi="inherit"/>
          <w:b/>
          <w:sz w:val="20"/>
        </w:rPr>
        <w:t>Note 6</w:t>
      </w:r>
      <w:r>
        <w:rPr>
          <w:sz w:val="20"/>
        </w:rPr>
        <w:t xml:space="preserve"> — </w:t>
      </w:r>
      <w:r>
        <w:rPr>
          <w:rFonts w:ascii="inherit" w:hAnsi="inherit"/>
          <w:b/>
          <w:sz w:val="20"/>
        </w:rPr>
        <w:t>Property and Equipment Used in Operations, Net</w:t>
      </w:r>
      <w:r>
        <w:rPr>
          <w:sz w:val="20"/>
        </w:rPr>
        <w:t xml:space="preserve"> </w:t>
      </w:r>
    </w:p>
    <w:p>
      <w:pPr>
        <w:pStyle w:val="TextBody"/>
        <w:spacing w:lineRule="auto" w:line="288" w:before="0" w:after="0"/>
        <w:jc w:val="both"/>
        <w:rPr>
          <w:rFonts w:ascii="inherit" w:hAnsi="inherit"/>
          <w:sz w:val="17"/>
        </w:rPr>
      </w:pPr>
      <w:r>
        <w:rPr>
          <w:rFonts w:ascii="inherit" w:hAnsi="inherit"/>
          <w:sz w:val="17"/>
        </w:rPr>
        <w:t xml:space="preserve">Property and equipment used in operations is primarily attributable to the land, building and improvements of our golf operations and consists of the following: </w:t>
      </w:r>
    </w:p>
    <w:tbl>
      <w:tblPr>
        <w:tblW w:w="10205" w:type="dxa"/>
        <w:jc w:val="left"/>
        <w:tblInd w:w="0" w:type="dxa"/>
        <w:tblCellMar>
          <w:top w:w="0" w:type="dxa"/>
          <w:left w:w="0" w:type="dxa"/>
          <w:bottom w:w="0" w:type="dxa"/>
          <w:right w:w="0" w:type="dxa"/>
        </w:tblCellMar>
      </w:tblPr>
      <w:tblGrid>
        <w:gridCol w:w="4215"/>
        <w:gridCol w:w="441"/>
        <w:gridCol w:w="2092"/>
        <w:gridCol w:w="393"/>
        <w:gridCol w:w="90"/>
        <w:gridCol w:w="333"/>
        <w:gridCol w:w="1578"/>
        <w:gridCol w:w="1063"/>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4215"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209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578"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215" w:type="dxa"/>
            <w:tcBorders/>
            <w:shd w:fill="auto" w:val="clear"/>
            <w:vAlign w:val="center"/>
          </w:tcPr>
          <w:p>
            <w:pPr>
              <w:pStyle w:val="TableContents"/>
              <w:spacing w:before="0" w:after="0"/>
              <w:ind w:left="0" w:right="0" w:firstLine="30"/>
              <w:jc w:val="left"/>
              <w:rPr>
                <w:rFonts w:ascii="inherit" w:hAnsi="inherit"/>
                <w:b/>
                <w:i/>
                <w:sz w:val="13"/>
                <w:u w:val="single"/>
              </w:rPr>
            </w:pPr>
            <w:r>
              <w:rPr>
                <w:rFonts w:ascii="inherit" w:hAnsi="inherit"/>
                <w:b/>
                <w:i/>
                <w:sz w:val="13"/>
                <w:u w:val="single"/>
              </w:rPr>
              <w:t>(In thousands)</w:t>
            </w:r>
          </w:p>
        </w:tc>
        <w:tc>
          <w:tcPr>
            <w:tcW w:w="292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March 31, 2019</w:t>
            </w:r>
          </w:p>
        </w:tc>
        <w:tc>
          <w:tcPr>
            <w:tcW w:w="90" w:type="dxa"/>
            <w:tcBorders/>
            <w:shd w:fill="auto" w:val="clear"/>
            <w:vAlign w:val="center"/>
          </w:tcPr>
          <w:p>
            <w:pPr>
              <w:pStyle w:val="TableContents"/>
              <w:spacing w:before="0" w:after="0"/>
              <w:ind w:left="0" w:right="0" w:firstLine="30"/>
              <w:rPr/>
            </w:pPr>
            <w:r>
              <w:rPr/>
              <w:t> </w:t>
            </w:r>
          </w:p>
        </w:tc>
        <w:tc>
          <w:tcPr>
            <w:tcW w:w="297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December 31, 2018</w:t>
            </w:r>
          </w:p>
        </w:tc>
      </w:tr>
      <w:tr>
        <w:trPr/>
        <w:tc>
          <w:tcPr>
            <w:tcW w:w="42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Land and land improvements</w:t>
            </w:r>
          </w:p>
        </w:tc>
        <w:tc>
          <w:tcPr>
            <w:tcW w:w="441"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2092"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58,729</w:t>
            </w:r>
          </w:p>
        </w:tc>
        <w:tc>
          <w:tcPr>
            <w:tcW w:w="39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33"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578"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58,573</w:t>
            </w:r>
          </w:p>
        </w:tc>
        <w:tc>
          <w:tcPr>
            <w:tcW w:w="106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Buildings and improvements</w:t>
            </w:r>
          </w:p>
        </w:tc>
        <w:tc>
          <w:tcPr>
            <w:tcW w:w="25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14,572</w:t>
            </w:r>
          </w:p>
        </w:tc>
        <w:tc>
          <w:tcPr>
            <w:tcW w:w="3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9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14,572</w:t>
            </w:r>
          </w:p>
        </w:tc>
        <w:tc>
          <w:tcPr>
            <w:tcW w:w="10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Furniture and equipment </w:t>
            </w:r>
          </w:p>
        </w:tc>
        <w:tc>
          <w:tcPr>
            <w:tcW w:w="253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3,839</w:t>
            </w:r>
          </w:p>
        </w:tc>
        <w:tc>
          <w:tcPr>
            <w:tcW w:w="39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91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2,805</w:t>
            </w:r>
          </w:p>
        </w:tc>
        <w:tc>
          <w:tcPr>
            <w:tcW w:w="1063" w:type="dxa"/>
            <w:tcBorders>
              <w:bottom w:val="single" w:sz="2" w:space="0" w:color="000000"/>
            </w:tcBorders>
            <w:shd w:fill="CCEEFF"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2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property and equipment used in operations</w:t>
            </w:r>
          </w:p>
        </w:tc>
        <w:tc>
          <w:tcPr>
            <w:tcW w:w="253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77,140</w:t>
            </w:r>
          </w:p>
        </w:tc>
        <w:tc>
          <w:tcPr>
            <w:tcW w:w="393"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911"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75,950</w:t>
            </w:r>
          </w:p>
        </w:tc>
        <w:tc>
          <w:tcPr>
            <w:tcW w:w="1063"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Less: accumulated depreciation</w:t>
            </w:r>
          </w:p>
        </w:tc>
        <w:tc>
          <w:tcPr>
            <w:tcW w:w="25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(5,365</w:t>
            </w:r>
          </w:p>
        </w:tc>
        <w:tc>
          <w:tcPr>
            <w:tcW w:w="3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91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(4,437</w:t>
            </w:r>
          </w:p>
        </w:tc>
        <w:tc>
          <w:tcPr>
            <w:tcW w:w="1063"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42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property and equipment used in operations, net</w:t>
            </w:r>
          </w:p>
        </w:tc>
        <w:tc>
          <w:tcPr>
            <w:tcW w:w="4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09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71,775</w:t>
            </w:r>
          </w:p>
        </w:tc>
        <w:tc>
          <w:tcPr>
            <w:tcW w:w="39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3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57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71,513</w:t>
            </w:r>
          </w:p>
        </w:tc>
        <w:tc>
          <w:tcPr>
            <w:tcW w:w="106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15" w:type="dxa"/>
            <w:tcBorders/>
            <w:shd w:fill="auto" w:val="clear"/>
            <w:vAlign w:val="center"/>
          </w:tcPr>
          <w:p>
            <w:pPr>
              <w:pStyle w:val="TableContents"/>
              <w:spacing w:before="0" w:after="0"/>
              <w:ind w:left="0" w:right="0" w:firstLine="30"/>
              <w:rPr/>
            </w:pPr>
            <w:r>
              <w:rPr/>
              <w:t> </w:t>
            </w:r>
          </w:p>
        </w:tc>
        <w:tc>
          <w:tcPr>
            <w:tcW w:w="292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974" w:type="dxa"/>
            <w:gridSpan w:val="3"/>
            <w:tcBorders/>
            <w:shd w:fill="auto" w:val="clear"/>
            <w:vAlign w:val="center"/>
          </w:tcPr>
          <w:p>
            <w:pPr>
              <w:pStyle w:val="TableContents"/>
              <w:spacing w:before="0" w:after="0"/>
              <w:ind w:left="0" w:right="0" w:firstLine="30"/>
              <w:rPr/>
            </w:pPr>
            <w:r>
              <w:rPr/>
              <w:t> </w:t>
            </w:r>
          </w:p>
        </w:tc>
      </w:tr>
      <w:tr>
        <w:trPr/>
        <w:tc>
          <w:tcPr>
            <w:tcW w:w="4215" w:type="dxa"/>
            <w:tcBorders/>
            <w:shd w:fill="auto" w:val="clear"/>
            <w:vAlign w:val="center"/>
          </w:tcPr>
          <w:p>
            <w:pPr>
              <w:pStyle w:val="TableContents"/>
              <w:spacing w:before="0" w:after="0"/>
              <w:ind w:left="0" w:right="0" w:firstLine="30"/>
              <w:jc w:val="left"/>
              <w:rPr>
                <w:rFonts w:ascii="inherit" w:hAnsi="inherit"/>
                <w:b/>
                <w:i/>
                <w:sz w:val="13"/>
                <w:u w:val="single"/>
              </w:rPr>
            </w:pPr>
            <w:r>
              <w:rPr>
                <w:rFonts w:ascii="inherit" w:hAnsi="inherit"/>
                <w:b/>
                <w:i/>
                <w:sz w:val="13"/>
                <w:u w:val="single"/>
              </w:rPr>
              <w:t>(In thousands)</w:t>
            </w:r>
          </w:p>
        </w:tc>
        <w:tc>
          <w:tcPr>
            <w:tcW w:w="292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Three Months Ended March 31, 2019</w:t>
            </w:r>
          </w:p>
        </w:tc>
        <w:tc>
          <w:tcPr>
            <w:tcW w:w="90" w:type="dxa"/>
            <w:tcBorders/>
            <w:shd w:fill="auto" w:val="clear"/>
            <w:vAlign w:val="center"/>
          </w:tcPr>
          <w:p>
            <w:pPr>
              <w:pStyle w:val="TableContents"/>
              <w:spacing w:before="0" w:after="0"/>
              <w:ind w:left="0" w:right="0" w:firstLine="30"/>
              <w:rPr/>
            </w:pPr>
            <w:r>
              <w:rPr/>
              <w:t> </w:t>
            </w:r>
          </w:p>
        </w:tc>
        <w:tc>
          <w:tcPr>
            <w:tcW w:w="297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Three Months Ended March 31, 2018</w:t>
            </w:r>
          </w:p>
        </w:tc>
      </w:tr>
      <w:tr>
        <w:trPr/>
        <w:tc>
          <w:tcPr>
            <w:tcW w:w="42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 expense</w:t>
            </w:r>
          </w:p>
        </w:tc>
        <w:tc>
          <w:tcPr>
            <w:tcW w:w="441"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2092"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930</w:t>
            </w:r>
          </w:p>
        </w:tc>
        <w:tc>
          <w:tcPr>
            <w:tcW w:w="39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33"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578"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906</w:t>
            </w:r>
          </w:p>
        </w:tc>
        <w:tc>
          <w:tcPr>
            <w:tcW w:w="1063" w:type="dxa"/>
            <w:tcBorders>
              <w:top w:val="single" w:sz="2" w:space="0" w:color="000000"/>
            </w:tcBorders>
            <w:shd w:fill="CCEEFF" w:val="clear"/>
            <w:tcMar>
              <w:top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both"/>
        <w:rPr>
          <w:sz w:val="20"/>
        </w:rPr>
      </w:pPr>
      <w:bookmarkStart w:id="18" w:name="s91AEC96343125328851F4755E01A03D1"/>
      <w:bookmarkEnd w:id="18"/>
      <w:r>
        <w:rPr>
          <w:rFonts w:ascii="inherit" w:hAnsi="inherit"/>
          <w:b/>
          <w:sz w:val="20"/>
        </w:rPr>
        <w:t>Note 7</w:t>
      </w:r>
      <w:r>
        <w:rPr>
          <w:sz w:val="20"/>
        </w:rPr>
        <w:t xml:space="preserve"> — </w:t>
      </w:r>
      <w:r>
        <w:rPr>
          <w:rFonts w:ascii="inherit" w:hAnsi="inherit"/>
          <w:b/>
          <w:sz w:val="20"/>
        </w:rPr>
        <w:t>Other Assets and Other Liabilities</w:t>
      </w:r>
      <w:r>
        <w:rPr>
          <w:sz w:val="20"/>
        </w:rPr>
        <w:t xml:space="preserve"> </w:t>
      </w:r>
    </w:p>
    <w:p>
      <w:pPr>
        <w:pStyle w:val="TextBody"/>
        <w:spacing w:lineRule="auto" w:line="288" w:before="0" w:after="0"/>
        <w:jc w:val="both"/>
        <w:rPr>
          <w:rFonts w:ascii="inherit" w:hAnsi="inherit"/>
          <w:sz w:val="17"/>
        </w:rPr>
      </w:pPr>
      <w:r>
        <w:rPr>
          <w:rFonts w:ascii="inherit" w:hAnsi="inherit"/>
          <w:sz w:val="17"/>
        </w:rPr>
        <w:t>The following table details the components of our other assets:</w:t>
      </w:r>
    </w:p>
    <w:tbl>
      <w:tblPr>
        <w:tblW w:w="7152" w:type="dxa"/>
        <w:jc w:val="center"/>
        <w:tblInd w:w="0" w:type="dxa"/>
        <w:tblCellMar>
          <w:top w:w="0" w:type="dxa"/>
          <w:left w:w="0" w:type="dxa"/>
          <w:bottom w:w="0" w:type="dxa"/>
          <w:right w:w="0" w:type="dxa"/>
        </w:tblCellMar>
      </w:tblPr>
      <w:tblGrid>
        <w:gridCol w:w="4010"/>
        <w:gridCol w:w="226"/>
        <w:gridCol w:w="1071"/>
        <w:gridCol w:w="56"/>
        <w:gridCol w:w="90"/>
        <w:gridCol w:w="205"/>
        <w:gridCol w:w="973"/>
        <w:gridCol w:w="521"/>
      </w:tblGrid>
      <w:tr>
        <w:trPr/>
        <w:tc>
          <w:tcPr>
            <w:tcW w:w="7152" w:type="dxa"/>
            <w:gridSpan w:val="8"/>
            <w:tcBorders/>
            <w:shd w:fill="auto" w:val="clear"/>
            <w:vAlign w:val="center"/>
          </w:tcPr>
          <w:p>
            <w:pPr>
              <w:pStyle w:val="TableContents"/>
              <w:spacing w:before="0" w:after="283"/>
              <w:rPr>
                <w:sz w:val="4"/>
                <w:szCs w:val="4"/>
              </w:rPr>
            </w:pPr>
            <w:r>
              <w:rPr>
                <w:sz w:val="4"/>
                <w:szCs w:val="4"/>
              </w:rPr>
            </w:r>
          </w:p>
        </w:tc>
      </w:tr>
      <w:tr>
        <w:trPr/>
        <w:tc>
          <w:tcPr>
            <w:tcW w:w="4010"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5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010" w:type="dxa"/>
            <w:tcBorders/>
            <w:shd w:fill="auto" w:val="clear"/>
            <w:vAlign w:val="center"/>
          </w:tcPr>
          <w:p>
            <w:pPr>
              <w:pStyle w:val="TableContents"/>
              <w:spacing w:before="0" w:after="0"/>
              <w:ind w:left="0" w:right="0" w:firstLine="30"/>
              <w:jc w:val="left"/>
              <w:rPr>
                <w:rFonts w:ascii="inherit" w:hAnsi="inherit"/>
                <w:b/>
                <w:i/>
                <w:sz w:val="13"/>
                <w:u w:val="single"/>
              </w:rPr>
            </w:pPr>
            <w:r>
              <w:rPr>
                <w:rFonts w:ascii="inherit" w:hAnsi="inherit"/>
                <w:b/>
                <w:i/>
                <w:sz w:val="13"/>
                <w:u w:val="single"/>
              </w:rPr>
              <w:t>(In thousands)</w:t>
            </w:r>
          </w:p>
        </w:tc>
        <w:tc>
          <w:tcPr>
            <w:tcW w:w="135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March 31, 2019</w:t>
            </w:r>
          </w:p>
        </w:tc>
        <w:tc>
          <w:tcPr>
            <w:tcW w:w="90" w:type="dxa"/>
            <w:tcBorders/>
            <w:shd w:fill="auto" w:val="clear"/>
            <w:vAlign w:val="center"/>
          </w:tcPr>
          <w:p>
            <w:pPr>
              <w:pStyle w:val="TableContents"/>
              <w:spacing w:before="0" w:after="0"/>
              <w:ind w:left="0" w:right="0" w:firstLine="30"/>
              <w:rPr/>
            </w:pPr>
            <w:r>
              <w:rPr/>
              <w:t> </w:t>
            </w:r>
          </w:p>
        </w:tc>
        <w:tc>
          <w:tcPr>
            <w:tcW w:w="169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December 31, 2018</w:t>
            </w:r>
          </w:p>
        </w:tc>
      </w:tr>
      <w:tr>
        <w:trPr/>
        <w:tc>
          <w:tcPr>
            <w:tcW w:w="40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Right of use asset</w:t>
            </w:r>
          </w:p>
        </w:tc>
        <w:tc>
          <w:tcPr>
            <w:tcW w:w="226"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071"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11,104</w:t>
            </w:r>
          </w:p>
        </w:tc>
        <w:tc>
          <w:tcPr>
            <w:tcW w:w="5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0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973"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52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Debt financing costs and original issue discount</w:t>
            </w:r>
          </w:p>
        </w:tc>
        <w:tc>
          <w:tcPr>
            <w:tcW w:w="129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5,810</w:t>
            </w:r>
          </w:p>
        </w:tc>
        <w:tc>
          <w:tcPr>
            <w:tcW w:w="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7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6,190</w:t>
            </w:r>
          </w:p>
        </w:tc>
        <w:tc>
          <w:tcPr>
            <w:tcW w:w="5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acquisition costs</w:t>
            </w:r>
          </w:p>
        </w:tc>
        <w:tc>
          <w:tcPr>
            <w:tcW w:w="129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4,208</w:t>
            </w:r>
          </w:p>
        </w:tc>
        <w:tc>
          <w:tcPr>
            <w:tcW w:w="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7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7,062</w:t>
            </w:r>
          </w:p>
        </w:tc>
        <w:tc>
          <w:tcPr>
            <w:tcW w:w="5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receivable</w:t>
            </w:r>
          </w:p>
        </w:tc>
        <w:tc>
          <w:tcPr>
            <w:tcW w:w="129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3,559</w:t>
            </w:r>
          </w:p>
        </w:tc>
        <w:tc>
          <w:tcPr>
            <w:tcW w:w="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7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886</w:t>
            </w:r>
          </w:p>
        </w:tc>
        <w:tc>
          <w:tcPr>
            <w:tcW w:w="5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w:t>
            </w:r>
          </w:p>
        </w:tc>
        <w:tc>
          <w:tcPr>
            <w:tcW w:w="129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3,449</w:t>
            </w:r>
          </w:p>
        </w:tc>
        <w:tc>
          <w:tcPr>
            <w:tcW w:w="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7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3,060</w:t>
            </w:r>
          </w:p>
        </w:tc>
        <w:tc>
          <w:tcPr>
            <w:tcW w:w="5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29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1,733</w:t>
            </w:r>
          </w:p>
        </w:tc>
        <w:tc>
          <w:tcPr>
            <w:tcW w:w="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7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1,253</w:t>
            </w:r>
          </w:p>
        </w:tc>
        <w:tc>
          <w:tcPr>
            <w:tcW w:w="5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Tenant receivable for property taxes</w:t>
            </w:r>
          </w:p>
        </w:tc>
        <w:tc>
          <w:tcPr>
            <w:tcW w:w="1297" w:type="dxa"/>
            <w:gridSpan w:val="2"/>
            <w:tcBorders/>
            <w:shd w:fill="CCEEFF" w:val="clear"/>
            <w:vAlign w:val="center"/>
          </w:tcPr>
          <w:p>
            <w:pPr>
              <w:pStyle w:val="TableContents"/>
              <w:spacing w:before="0" w:after="0"/>
              <w:jc w:val="right"/>
              <w:rPr/>
            </w:pPr>
            <w:r>
              <w:rPr/>
              <w:t>—</w:t>
            </w:r>
          </w:p>
        </w:tc>
        <w:tc>
          <w:tcPr>
            <w:tcW w:w="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7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25,586</w:t>
            </w:r>
          </w:p>
        </w:tc>
        <w:tc>
          <w:tcPr>
            <w:tcW w:w="52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0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other assets</w:t>
            </w:r>
          </w:p>
        </w:tc>
        <w:tc>
          <w:tcPr>
            <w:tcW w:w="22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7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29,863</w:t>
            </w:r>
          </w:p>
        </w:tc>
        <w:tc>
          <w:tcPr>
            <w:tcW w:w="5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0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44,037</w:t>
            </w:r>
          </w:p>
        </w:tc>
        <w:tc>
          <w:tcPr>
            <w:tcW w:w="52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The following table details the components of our other liabilities:</w:t>
      </w:r>
    </w:p>
    <w:tbl>
      <w:tblPr>
        <w:tblW w:w="6612" w:type="dxa"/>
        <w:jc w:val="left"/>
        <w:tblInd w:w="0" w:type="dxa"/>
        <w:tblCellMar>
          <w:top w:w="0" w:type="dxa"/>
          <w:left w:w="0" w:type="dxa"/>
          <w:bottom w:w="0" w:type="dxa"/>
          <w:right w:w="0" w:type="dxa"/>
        </w:tblCellMar>
      </w:tblPr>
      <w:tblGrid>
        <w:gridCol w:w="3470"/>
        <w:gridCol w:w="226"/>
        <w:gridCol w:w="1071"/>
        <w:gridCol w:w="56"/>
        <w:gridCol w:w="90"/>
        <w:gridCol w:w="205"/>
        <w:gridCol w:w="973"/>
        <w:gridCol w:w="521"/>
      </w:tblGrid>
      <w:tr>
        <w:trPr/>
        <w:tc>
          <w:tcPr>
            <w:tcW w:w="6612" w:type="dxa"/>
            <w:gridSpan w:val="8"/>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5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470" w:type="dxa"/>
            <w:tcBorders/>
            <w:shd w:fill="auto" w:val="clear"/>
            <w:vAlign w:val="center"/>
          </w:tcPr>
          <w:p>
            <w:pPr>
              <w:pStyle w:val="TableContents"/>
              <w:spacing w:before="0" w:after="0"/>
              <w:ind w:left="0" w:right="0" w:firstLine="30"/>
              <w:jc w:val="left"/>
              <w:rPr>
                <w:rFonts w:ascii="inherit" w:hAnsi="inherit"/>
                <w:b/>
                <w:i/>
                <w:sz w:val="13"/>
                <w:u w:val="single"/>
              </w:rPr>
            </w:pPr>
            <w:r>
              <w:rPr>
                <w:rFonts w:ascii="inherit" w:hAnsi="inherit"/>
                <w:b/>
                <w:i/>
                <w:sz w:val="13"/>
                <w:u w:val="single"/>
              </w:rPr>
              <w:t>(In thousands)</w:t>
            </w:r>
          </w:p>
        </w:tc>
        <w:tc>
          <w:tcPr>
            <w:tcW w:w="135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March 31, 2019</w:t>
            </w:r>
          </w:p>
        </w:tc>
        <w:tc>
          <w:tcPr>
            <w:tcW w:w="90" w:type="dxa"/>
            <w:tcBorders/>
            <w:shd w:fill="auto" w:val="clear"/>
            <w:vAlign w:val="center"/>
          </w:tcPr>
          <w:p>
            <w:pPr>
              <w:pStyle w:val="TableContents"/>
              <w:spacing w:before="0" w:after="0"/>
              <w:ind w:left="0" w:right="0" w:firstLine="30"/>
              <w:rPr/>
            </w:pPr>
            <w:r>
              <w:rPr/>
              <w:t> </w:t>
            </w:r>
          </w:p>
        </w:tc>
        <w:tc>
          <w:tcPr>
            <w:tcW w:w="169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December 31, 2018</w:t>
            </w:r>
          </w:p>
        </w:tc>
      </w:tr>
      <w:tr>
        <w:trPr/>
        <w:tc>
          <w:tcPr>
            <w:tcW w:w="3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Derivative liability</w:t>
            </w:r>
          </w:p>
        </w:tc>
        <w:tc>
          <w:tcPr>
            <w:tcW w:w="22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71" w:type="dxa"/>
            <w:tcBorders/>
            <w:shd w:fill="CCEEFF" w:val="clear"/>
            <w:vAlign w:val="center"/>
          </w:tcPr>
          <w:p>
            <w:pPr>
              <w:pStyle w:val="TableContents"/>
              <w:spacing w:before="0" w:after="0"/>
              <w:jc w:val="right"/>
              <w:rPr>
                <w:rFonts w:ascii="inherit" w:hAnsi="inherit"/>
                <w:sz w:val="17"/>
              </w:rPr>
            </w:pPr>
            <w:r>
              <w:rPr>
                <w:rFonts w:ascii="inherit" w:hAnsi="inherit"/>
                <w:sz w:val="17"/>
              </w:rPr>
              <w:t>39,315</w:t>
            </w:r>
          </w:p>
        </w:tc>
        <w:tc>
          <w:tcPr>
            <w:tcW w:w="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0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73" w:type="dxa"/>
            <w:tcBorders/>
            <w:shd w:fill="CCEEFF" w:val="clear"/>
            <w:vAlign w:val="center"/>
          </w:tcPr>
          <w:p>
            <w:pPr>
              <w:pStyle w:val="TableContents"/>
              <w:spacing w:before="0" w:after="0"/>
              <w:jc w:val="right"/>
              <w:rPr>
                <w:rFonts w:ascii="inherit" w:hAnsi="inherit"/>
                <w:sz w:val="17"/>
              </w:rPr>
            </w:pPr>
            <w:r>
              <w:rPr>
                <w:rFonts w:ascii="inherit" w:hAnsi="inherit"/>
                <w:sz w:val="17"/>
              </w:rPr>
              <w:t>22,124</w:t>
            </w:r>
          </w:p>
        </w:tc>
        <w:tc>
          <w:tcPr>
            <w:tcW w:w="5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Lease liability</w:t>
            </w:r>
          </w:p>
        </w:tc>
        <w:tc>
          <w:tcPr>
            <w:tcW w:w="129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11,104</w:t>
            </w:r>
          </w:p>
        </w:tc>
        <w:tc>
          <w:tcPr>
            <w:tcW w:w="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78" w:type="dxa"/>
            <w:gridSpan w:val="2"/>
            <w:tcBorders/>
            <w:shd w:fill="auto" w:val="clear"/>
            <w:vAlign w:val="center"/>
          </w:tcPr>
          <w:p>
            <w:pPr>
              <w:pStyle w:val="TableContents"/>
              <w:spacing w:before="0" w:after="0"/>
              <w:jc w:val="right"/>
              <w:rPr/>
            </w:pPr>
            <w:r>
              <w:rPr/>
              <w:t>—</w:t>
            </w:r>
          </w:p>
        </w:tc>
        <w:tc>
          <w:tcPr>
            <w:tcW w:w="5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accrued expenses</w:t>
            </w:r>
          </w:p>
        </w:tc>
        <w:tc>
          <w:tcPr>
            <w:tcW w:w="129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5,608</w:t>
            </w:r>
          </w:p>
        </w:tc>
        <w:tc>
          <w:tcPr>
            <w:tcW w:w="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7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30,951</w:t>
            </w:r>
          </w:p>
        </w:tc>
        <w:tc>
          <w:tcPr>
            <w:tcW w:w="5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Accrued payroll and other compensation</w:t>
            </w:r>
          </w:p>
        </w:tc>
        <w:tc>
          <w:tcPr>
            <w:tcW w:w="129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2,174</w:t>
            </w:r>
          </w:p>
        </w:tc>
        <w:tc>
          <w:tcPr>
            <w:tcW w:w="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7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4,934</w:t>
            </w:r>
          </w:p>
        </w:tc>
        <w:tc>
          <w:tcPr>
            <w:tcW w:w="5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income taxes</w:t>
            </w:r>
          </w:p>
        </w:tc>
        <w:tc>
          <w:tcPr>
            <w:tcW w:w="129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3,292</w:t>
            </w:r>
          </w:p>
        </w:tc>
        <w:tc>
          <w:tcPr>
            <w:tcW w:w="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7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3,340</w:t>
            </w:r>
          </w:p>
        </w:tc>
        <w:tc>
          <w:tcPr>
            <w:tcW w:w="5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w:t>
            </w:r>
          </w:p>
        </w:tc>
        <w:tc>
          <w:tcPr>
            <w:tcW w:w="129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1,227</w:t>
            </w:r>
          </w:p>
        </w:tc>
        <w:tc>
          <w:tcPr>
            <w:tcW w:w="5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7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1,057</w:t>
            </w:r>
          </w:p>
        </w:tc>
        <w:tc>
          <w:tcPr>
            <w:tcW w:w="521" w:type="dxa"/>
            <w:tcBorders>
              <w:bottom w:val="single" w:sz="2" w:space="0" w:color="000000"/>
            </w:tcBorders>
            <w:shd w:fill="auto"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other liabilities</w:t>
            </w:r>
          </w:p>
        </w:tc>
        <w:tc>
          <w:tcPr>
            <w:tcW w:w="22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7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62,720</w:t>
            </w:r>
          </w:p>
        </w:tc>
        <w:tc>
          <w:tcPr>
            <w:tcW w:w="5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0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62,406</w:t>
            </w:r>
          </w:p>
        </w:tc>
        <w:tc>
          <w:tcPr>
            <w:tcW w:w="521"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18</w:t>
      </w:r>
      <w:r>
        <w:br w:type="page"/>
      </w:r>
    </w:p>
    <w:p>
      <w:pPr>
        <w:pStyle w:val="TextBody"/>
        <w:spacing w:lineRule="auto" w:line="288" w:before="0" w:after="0"/>
        <w:jc w:val="left"/>
        <w:rPr/>
      </w:pPr>
      <w:hyperlink w:anchor="s7181E430E8A9506B896277AC8CF177C4">
        <w:bookmarkStart w:id="19" w:name="s68EB77FE001D5AF1B7C67C39F00BEBCF"/>
        <w:bookmarkEnd w:id="19"/>
        <w:r>
          <w:rPr>
            <w:rStyle w:val="InternetLink"/>
            <w:rFonts w:ascii="inherit" w:hAnsi="inherit"/>
            <w:sz w:val="17"/>
          </w:rPr>
          <w:t>Table of Contents</w:t>
        </w:r>
      </w:hyperlink>
    </w:p>
    <w:p>
      <w:pPr>
        <w:pStyle w:val="TextBody"/>
        <w:spacing w:lineRule="auto" w:line="288" w:before="0" w:after="0"/>
        <w:jc w:val="center"/>
        <w:rPr>
          <w:rFonts w:ascii="inherit" w:hAnsi="inherit"/>
          <w:b/>
          <w:sz w:val="18"/>
        </w:rPr>
      </w:pPr>
      <w:r>
        <w:rPr>
          <w:rFonts w:ascii="inherit" w:hAnsi="inherit"/>
          <w:b/>
          <w:sz w:val="18"/>
        </w:rPr>
        <w:t>VICI PROPERTIES INC.</w:t>
      </w:r>
    </w:p>
    <w:p>
      <w:pPr>
        <w:pStyle w:val="TextBody"/>
        <w:spacing w:lineRule="auto" w:line="288" w:before="0" w:after="0"/>
        <w:jc w:val="center"/>
        <w:rPr>
          <w:rFonts w:ascii="inherit" w:hAnsi="inherit"/>
          <w:b/>
          <w:sz w:val="18"/>
        </w:rPr>
      </w:pPr>
      <w:r>
        <w:rPr>
          <w:rFonts w:ascii="inherit" w:hAnsi="inherit"/>
          <w:b/>
          <w:sz w:val="18"/>
        </w:rPr>
        <w:t>NOTES TO CONSOLIDATED FINANCIAL STATEMENTS (Continued)</w:t>
      </w:r>
    </w:p>
    <w:p>
      <w:pPr>
        <w:pStyle w:val="TextBody"/>
        <w:spacing w:lineRule="auto" w:line="288" w:before="0" w:after="0"/>
        <w:jc w:val="center"/>
        <w:rPr>
          <w:rFonts w:ascii="inherit" w:hAnsi="inherit"/>
          <w:b/>
          <w:sz w:val="18"/>
        </w:rPr>
      </w:pPr>
      <w:r>
        <w:rPr>
          <w:rFonts w:ascii="inherit" w:hAnsi="inherit"/>
          <w:b/>
          <w:sz w:val="18"/>
        </w:rPr>
        <w:t>(UNAUDITED)</w:t>
      </w:r>
    </w:p>
    <w:p>
      <w:pPr>
        <w:pStyle w:val="TextBody"/>
        <w:spacing w:before="0" w:after="0"/>
        <w:rPr/>
      </w:pPr>
      <w:r>
        <w:rPr/>
      </w:r>
    </w:p>
    <w:p>
      <w:pPr>
        <w:pStyle w:val="TextBody"/>
        <w:spacing w:lineRule="auto" w:line="288" w:before="0" w:after="0"/>
        <w:jc w:val="both"/>
        <w:rPr>
          <w:sz w:val="20"/>
        </w:rPr>
      </w:pPr>
      <w:r>
        <w:rPr>
          <w:rFonts w:ascii="inherit" w:hAnsi="inherit"/>
          <w:b/>
          <w:sz w:val="20"/>
        </w:rPr>
        <w:t>Note 8</w:t>
      </w:r>
      <w:r>
        <w:rPr>
          <w:sz w:val="20"/>
        </w:rPr>
        <w:t xml:space="preserve">— </w:t>
      </w:r>
      <w:r>
        <w:rPr>
          <w:rFonts w:ascii="inherit" w:hAnsi="inherit"/>
          <w:b/>
          <w:sz w:val="20"/>
        </w:rPr>
        <w:t>Debt</w:t>
      </w:r>
      <w:r>
        <w:rPr>
          <w:sz w:val="20"/>
        </w:rPr>
        <w:t xml:space="preserve"> </w:t>
      </w:r>
    </w:p>
    <w:p>
      <w:pPr>
        <w:pStyle w:val="TextBody"/>
        <w:spacing w:lineRule="auto" w:line="288" w:before="0" w:after="0"/>
        <w:jc w:val="left"/>
        <w:rPr>
          <w:sz w:val="17"/>
        </w:rPr>
      </w:pPr>
      <w:r>
        <w:rPr>
          <w:rFonts w:ascii="inherit" w:hAnsi="inherit"/>
          <w:sz w:val="17"/>
        </w:rPr>
        <w:t>The following tables detail our debt obligations as of March 31, 2019</w:t>
      </w:r>
      <w:r>
        <w:rPr>
          <w:sz w:val="17"/>
        </w:rPr>
        <w:t xml:space="preserve"> </w:t>
      </w:r>
      <w:r>
        <w:rPr>
          <w:rFonts w:ascii="inherit" w:hAnsi="inherit"/>
          <w:sz w:val="17"/>
        </w:rPr>
        <w:t>and December 31, 2018:</w:t>
      </w:r>
    </w:p>
    <w:tbl>
      <w:tblPr>
        <w:tblW w:w="8503" w:type="dxa"/>
        <w:jc w:val="left"/>
        <w:tblInd w:w="0" w:type="dxa"/>
        <w:tblCellMar>
          <w:top w:w="0" w:type="dxa"/>
          <w:left w:w="0" w:type="dxa"/>
          <w:bottom w:w="0" w:type="dxa"/>
          <w:right w:w="0" w:type="dxa"/>
        </w:tblCellMar>
      </w:tblPr>
      <w:tblGrid>
        <w:gridCol w:w="3695"/>
        <w:gridCol w:w="90"/>
        <w:gridCol w:w="785"/>
        <w:gridCol w:w="90"/>
        <w:gridCol w:w="1190"/>
        <w:gridCol w:w="90"/>
        <w:gridCol w:w="125"/>
        <w:gridCol w:w="845"/>
        <w:gridCol w:w="30"/>
        <w:gridCol w:w="90"/>
        <w:gridCol w:w="143"/>
        <w:gridCol w:w="969"/>
        <w:gridCol w:w="361"/>
      </w:tblGrid>
      <w:tr>
        <w:trPr/>
        <w:tc>
          <w:tcPr>
            <w:tcW w:w="8503" w:type="dxa"/>
            <w:gridSpan w:val="13"/>
            <w:tcBorders/>
            <w:shd w:fill="auto" w:val="clear"/>
            <w:vAlign w:val="center"/>
          </w:tcPr>
          <w:p>
            <w:pPr>
              <w:pStyle w:val="TableContents"/>
              <w:spacing w:before="0" w:after="283"/>
              <w:rPr>
                <w:sz w:val="4"/>
                <w:szCs w:val="4"/>
              </w:rPr>
            </w:pPr>
            <w:r>
              <w:rPr>
                <w:sz w:val="4"/>
                <w:szCs w:val="4"/>
              </w:rPr>
            </w:r>
          </w:p>
        </w:tc>
      </w:tr>
      <w:tr>
        <w:trPr/>
        <w:tc>
          <w:tcPr>
            <w:tcW w:w="369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695" w:type="dxa"/>
            <w:tcBorders/>
            <w:shd w:fill="auto" w:val="clear"/>
            <w:vAlign w:val="center"/>
          </w:tcPr>
          <w:p>
            <w:pPr>
              <w:pStyle w:val="TableContents"/>
              <w:spacing w:before="0" w:after="0"/>
              <w:ind w:left="0" w:right="0" w:firstLine="30"/>
              <w:jc w:val="left"/>
              <w:rPr>
                <w:rFonts w:ascii="inherit" w:hAnsi="inherit"/>
                <w:b/>
                <w:i/>
                <w:sz w:val="13"/>
                <w:u w:val="single"/>
              </w:rPr>
            </w:pPr>
            <w:r>
              <w:rPr>
                <w:rFonts w:ascii="inherit" w:hAnsi="inherit"/>
                <w:b/>
                <w:i/>
                <w:sz w:val="13"/>
                <w:u w:val="single"/>
              </w:rPr>
              <w:t>($ in thousands)</w:t>
            </w:r>
          </w:p>
        </w:tc>
        <w:tc>
          <w:tcPr>
            <w:tcW w:w="90" w:type="dxa"/>
            <w:tcBorders/>
            <w:shd w:fill="auto" w:val="clear"/>
            <w:vAlign w:val="center"/>
          </w:tcPr>
          <w:p>
            <w:pPr>
              <w:pStyle w:val="TableContents"/>
              <w:spacing w:before="0" w:after="0"/>
              <w:ind w:left="0" w:right="0" w:firstLine="30"/>
              <w:rPr/>
            </w:pPr>
            <w:r>
              <w:rPr/>
              <w:t> </w:t>
            </w:r>
          </w:p>
        </w:tc>
        <w:tc>
          <w:tcPr>
            <w:tcW w:w="4718"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March 31, 2019</w:t>
            </w:r>
          </w:p>
        </w:tc>
      </w:tr>
      <w:tr>
        <w:trPr/>
        <w:tc>
          <w:tcPr>
            <w:tcW w:w="369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5"/>
              </w:rPr>
            </w:pPr>
            <w:r>
              <w:rPr>
                <w:rFonts w:ascii="inherit" w:hAnsi="inherit"/>
                <w:b/>
                <w:sz w:val="15"/>
              </w:rPr>
              <w:t>Description of Debt</w:t>
            </w:r>
          </w:p>
        </w:tc>
        <w:tc>
          <w:tcPr>
            <w:tcW w:w="90" w:type="dxa"/>
            <w:tcBorders/>
            <w:shd w:fill="auto" w:val="clear"/>
            <w:vAlign w:val="center"/>
          </w:tcPr>
          <w:p>
            <w:pPr>
              <w:pStyle w:val="TableContents"/>
              <w:spacing w:before="0" w:after="0"/>
              <w:ind w:left="0" w:right="0" w:firstLine="30"/>
              <w:rPr/>
            </w:pPr>
            <w:r>
              <w:rPr/>
              <w:t> </w:t>
            </w:r>
          </w:p>
        </w:tc>
        <w:tc>
          <w:tcPr>
            <w:tcW w:w="785" w:type="dxa"/>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5"/>
              </w:rPr>
            </w:pPr>
            <w:r>
              <w:rPr>
                <w:rFonts w:ascii="inherit" w:hAnsi="inherit"/>
                <w:b/>
                <w:sz w:val="15"/>
              </w:rPr>
              <w:t>Final</w:t>
            </w:r>
          </w:p>
          <w:p>
            <w:pPr>
              <w:pStyle w:val="TableContents"/>
              <w:spacing w:before="0" w:after="0"/>
              <w:ind w:left="0" w:right="0" w:firstLine="30"/>
              <w:jc w:val="center"/>
              <w:rPr>
                <w:rFonts w:ascii="inherit" w:hAnsi="inherit"/>
                <w:b/>
                <w:sz w:val="15"/>
              </w:rPr>
            </w:pPr>
            <w:r>
              <w:rPr>
                <w:rFonts w:ascii="inherit" w:hAnsi="inherit"/>
                <w:b/>
                <w:sz w:val="15"/>
              </w:rPr>
              <w:t>Maturity</w:t>
            </w:r>
          </w:p>
        </w:tc>
        <w:tc>
          <w:tcPr>
            <w:tcW w:w="90" w:type="dxa"/>
            <w:tcBorders/>
            <w:shd w:fill="auto" w:val="clear"/>
            <w:vAlign w:val="center"/>
          </w:tcPr>
          <w:p>
            <w:pPr>
              <w:pStyle w:val="TableContents"/>
              <w:spacing w:before="0" w:after="0"/>
              <w:ind w:left="0" w:right="0" w:firstLine="30"/>
              <w:rPr/>
            </w:pPr>
            <w:r>
              <w:rPr/>
              <w:t> </w:t>
            </w:r>
          </w:p>
        </w:tc>
        <w:tc>
          <w:tcPr>
            <w:tcW w:w="119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Interest Rate</w:t>
            </w:r>
          </w:p>
        </w:tc>
        <w:tc>
          <w:tcPr>
            <w:tcW w:w="90" w:type="dxa"/>
            <w:tcBorders/>
            <w:shd w:fill="auto" w:val="clear"/>
            <w:vAlign w:val="center"/>
          </w:tcPr>
          <w:p>
            <w:pPr>
              <w:pStyle w:val="TableContents"/>
              <w:spacing w:before="0" w:after="0"/>
              <w:ind w:left="0" w:right="0" w:firstLine="30"/>
              <w:rPr/>
            </w:pPr>
            <w:r>
              <w:rPr/>
              <w:t> </w:t>
            </w:r>
          </w:p>
        </w:tc>
        <w:tc>
          <w:tcPr>
            <w:tcW w:w="100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Face Value</w:t>
            </w:r>
          </w:p>
        </w:tc>
        <w:tc>
          <w:tcPr>
            <w:tcW w:w="90" w:type="dxa"/>
            <w:tcBorders/>
            <w:shd w:fill="auto" w:val="clear"/>
            <w:vAlign w:val="center"/>
          </w:tcPr>
          <w:p>
            <w:pPr>
              <w:pStyle w:val="TableContents"/>
              <w:spacing w:before="0" w:after="0"/>
              <w:ind w:left="0" w:right="0" w:firstLine="30"/>
              <w:rPr/>
            </w:pPr>
            <w:r>
              <w:rPr/>
              <w:t> </w:t>
            </w:r>
          </w:p>
        </w:tc>
        <w:tc>
          <w:tcPr>
            <w:tcW w:w="147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lineRule="auto" w:line="288" w:before="0" w:after="0"/>
              <w:ind w:left="0" w:right="0" w:firstLine="30"/>
              <w:jc w:val="center"/>
              <w:rPr>
                <w:sz w:val="17"/>
              </w:rPr>
            </w:pPr>
            <w:r>
              <w:rPr>
                <w:rFonts w:ascii="inherit" w:hAnsi="inherit"/>
                <w:b/>
                <w:sz w:val="15"/>
              </w:rPr>
              <w:t>Carrying Value</w:t>
            </w:r>
            <w:r>
              <w:rPr>
                <w:rFonts w:ascii="inherit" w:hAnsi="inherit"/>
                <w:i/>
                <w:sz w:val="12"/>
              </w:rPr>
              <w:t>(1)</w:t>
            </w:r>
          </w:p>
        </w:tc>
      </w:tr>
      <w:tr>
        <w:trPr/>
        <w:tc>
          <w:tcPr>
            <w:tcW w:w="36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VICI PropCo Senior Secured Credit Facilities</w:t>
            </w:r>
          </w:p>
        </w:tc>
        <w:tc>
          <w:tcPr>
            <w:tcW w:w="90" w:type="dxa"/>
            <w:tcBorders/>
            <w:shd w:fill="CCEEFF" w:val="clear"/>
            <w:vAlign w:val="center"/>
          </w:tcPr>
          <w:p>
            <w:pPr>
              <w:pStyle w:val="TableContents"/>
              <w:spacing w:before="0" w:after="0"/>
              <w:ind w:left="0" w:right="0" w:firstLine="30"/>
              <w:rPr/>
            </w:pPr>
            <w:r>
              <w:rPr/>
              <w:t> </w:t>
            </w:r>
          </w:p>
        </w:tc>
        <w:tc>
          <w:tcPr>
            <w:tcW w:w="78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90"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0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473" w:type="dxa"/>
            <w:gridSpan w:val="3"/>
            <w:tcBorders/>
            <w:shd w:fill="CCEEFF" w:val="clear"/>
            <w:vAlign w:val="center"/>
          </w:tcPr>
          <w:p>
            <w:pPr>
              <w:pStyle w:val="TableContents"/>
              <w:spacing w:before="0" w:after="0"/>
              <w:ind w:left="0" w:right="0" w:firstLine="300"/>
              <w:rPr/>
            </w:pPr>
            <w:r>
              <w:rPr/>
              <w:t> </w:t>
            </w:r>
          </w:p>
        </w:tc>
      </w:tr>
      <w:tr>
        <w:trPr/>
        <w:tc>
          <w:tcPr>
            <w:tcW w:w="369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Revolving Credit Facility </w:t>
            </w:r>
            <w:r>
              <w:rPr>
                <w:rFonts w:ascii="inherit" w:hAnsi="inherit"/>
                <w:i/>
                <w:sz w:val="12"/>
              </w:rPr>
              <w:t>(2)(3)</w:t>
            </w:r>
          </w:p>
        </w:tc>
        <w:tc>
          <w:tcPr>
            <w:tcW w:w="90" w:type="dxa"/>
            <w:tcBorders/>
            <w:shd w:fill="auto" w:val="clear"/>
            <w:vAlign w:val="center"/>
          </w:tcPr>
          <w:p>
            <w:pPr>
              <w:pStyle w:val="TableContents"/>
              <w:spacing w:before="0" w:after="0"/>
              <w:ind w:left="0" w:right="0" w:firstLine="30"/>
              <w:rPr/>
            </w:pPr>
            <w:r>
              <w:rPr/>
              <w:t> </w:t>
            </w:r>
          </w:p>
        </w:tc>
        <w:tc>
          <w:tcPr>
            <w:tcW w:w="7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2022</w:t>
            </w:r>
          </w:p>
        </w:tc>
        <w:tc>
          <w:tcPr>
            <w:tcW w:w="90" w:type="dxa"/>
            <w:tcBorders/>
            <w:shd w:fill="auto" w:val="clear"/>
            <w:vAlign w:val="center"/>
          </w:tcPr>
          <w:p>
            <w:pPr>
              <w:pStyle w:val="TableContents"/>
              <w:spacing w:before="0" w:after="0"/>
              <w:ind w:left="0" w:right="0" w:firstLine="30"/>
              <w:rPr/>
            </w:pPr>
            <w:r>
              <w:rPr/>
              <w:t> </w:t>
            </w:r>
          </w:p>
        </w:tc>
        <w:tc>
          <w:tcPr>
            <w:tcW w:w="119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L + 2.00%</w:t>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69" w:type="dxa"/>
            <w:tcBorders/>
            <w:shd w:fill="auto" w:val="clear"/>
            <w:vAlign w:val="center"/>
          </w:tcPr>
          <w:p>
            <w:pPr>
              <w:pStyle w:val="TableContents"/>
              <w:spacing w:before="0" w:after="0"/>
              <w:jc w:val="right"/>
              <w:rPr/>
            </w:pPr>
            <w:r>
              <w:rPr/>
              <w:t>—</w:t>
            </w:r>
          </w:p>
        </w:tc>
        <w:tc>
          <w:tcPr>
            <w:tcW w:w="3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695" w:type="dxa"/>
            <w:tcBorders/>
            <w:shd w:fill="CCEEFF" w:val="clear"/>
            <w:vAlign w:val="center"/>
          </w:tcPr>
          <w:p>
            <w:pPr>
              <w:pStyle w:val="TableContents"/>
              <w:spacing w:lineRule="auto" w:line="288" w:before="0" w:after="0"/>
              <w:ind w:left="0" w:right="0" w:firstLine="30"/>
              <w:jc w:val="left"/>
              <w:rPr>
                <w:sz w:val="17"/>
              </w:rPr>
            </w:pPr>
            <w:r>
              <w:rPr>
                <w:rFonts w:ascii="inherit" w:hAnsi="inherit"/>
                <w:sz w:val="17"/>
              </w:rPr>
              <w:t xml:space="preserve">Term Loan B Facility </w:t>
            </w:r>
            <w:r>
              <w:rPr>
                <w:rFonts w:ascii="inherit" w:hAnsi="inherit"/>
                <w:i/>
                <w:sz w:val="12"/>
              </w:rPr>
              <w:t>(3)(4)(5)</w:t>
            </w:r>
          </w:p>
        </w:tc>
        <w:tc>
          <w:tcPr>
            <w:tcW w:w="90" w:type="dxa"/>
            <w:tcBorders/>
            <w:shd w:fill="CCEEFF" w:val="clear"/>
            <w:vAlign w:val="center"/>
          </w:tcPr>
          <w:p>
            <w:pPr>
              <w:pStyle w:val="TableContents"/>
              <w:spacing w:before="0" w:after="0"/>
              <w:ind w:left="0" w:right="0" w:firstLine="30"/>
              <w:rPr/>
            </w:pPr>
            <w:r>
              <w:rPr/>
              <w:t> </w:t>
            </w:r>
          </w:p>
        </w:tc>
        <w:tc>
          <w:tcPr>
            <w:tcW w:w="78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2024</w:t>
            </w:r>
          </w:p>
        </w:tc>
        <w:tc>
          <w:tcPr>
            <w:tcW w:w="90" w:type="dxa"/>
            <w:tcBorders/>
            <w:shd w:fill="CCEEFF" w:val="clear"/>
            <w:vAlign w:val="center"/>
          </w:tcPr>
          <w:p>
            <w:pPr>
              <w:pStyle w:val="TableContents"/>
              <w:spacing w:before="0" w:after="0"/>
              <w:ind w:left="0" w:right="0" w:firstLine="30"/>
              <w:rPr/>
            </w:pPr>
            <w:r>
              <w:rPr/>
              <w:t> </w:t>
            </w:r>
          </w:p>
        </w:tc>
        <w:tc>
          <w:tcPr>
            <w:tcW w:w="1190"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L + 2.00%</w:t>
            </w:r>
          </w:p>
        </w:tc>
        <w:tc>
          <w:tcPr>
            <w:tcW w:w="90" w:type="dxa"/>
            <w:tcBorders/>
            <w:shd w:fill="CCEEFF" w:val="clear"/>
            <w:vAlign w:val="center"/>
          </w:tcPr>
          <w:p>
            <w:pPr>
              <w:pStyle w:val="TableContents"/>
              <w:spacing w:before="0" w:after="0"/>
              <w:ind w:left="0" w:right="0" w:firstLine="30"/>
              <w:rPr/>
            </w:pPr>
            <w:r>
              <w:rPr/>
              <w:t> </w:t>
            </w:r>
          </w:p>
        </w:tc>
        <w:tc>
          <w:tcPr>
            <w:tcW w:w="9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2,100,000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2,074,870</w:t>
            </w:r>
          </w:p>
        </w:tc>
        <w:tc>
          <w:tcPr>
            <w:tcW w:w="3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69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Second Lien Notes </w:t>
            </w:r>
            <w:r>
              <w:rPr>
                <w:rFonts w:ascii="inherit" w:hAnsi="inherit"/>
                <w:i/>
                <w:sz w:val="12"/>
              </w:rPr>
              <w:t>(6)</w:t>
            </w:r>
          </w:p>
        </w:tc>
        <w:tc>
          <w:tcPr>
            <w:tcW w:w="90" w:type="dxa"/>
            <w:tcBorders/>
            <w:shd w:fill="auto" w:val="clear"/>
            <w:vAlign w:val="center"/>
          </w:tcPr>
          <w:p>
            <w:pPr>
              <w:pStyle w:val="TableContents"/>
              <w:spacing w:before="0" w:after="0"/>
              <w:ind w:left="0" w:right="0" w:firstLine="30"/>
              <w:rPr/>
            </w:pPr>
            <w:r>
              <w:rPr/>
              <w:t> </w:t>
            </w:r>
          </w:p>
        </w:tc>
        <w:tc>
          <w:tcPr>
            <w:tcW w:w="7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2023</w:t>
            </w:r>
          </w:p>
        </w:tc>
        <w:tc>
          <w:tcPr>
            <w:tcW w:w="90" w:type="dxa"/>
            <w:tcBorders/>
            <w:shd w:fill="auto" w:val="clear"/>
            <w:vAlign w:val="center"/>
          </w:tcPr>
          <w:p>
            <w:pPr>
              <w:pStyle w:val="TableContents"/>
              <w:spacing w:before="0" w:after="0"/>
              <w:ind w:left="0" w:right="0" w:firstLine="30"/>
              <w:rPr/>
            </w:pPr>
            <w:r>
              <w:rPr/>
              <w:t> </w:t>
            </w:r>
          </w:p>
        </w:tc>
        <w:tc>
          <w:tcPr>
            <w:tcW w:w="119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8.00%</w:t>
            </w:r>
          </w:p>
        </w:tc>
        <w:tc>
          <w:tcPr>
            <w:tcW w:w="90" w:type="dxa"/>
            <w:tcBorders/>
            <w:shd w:fill="auto" w:val="clear"/>
            <w:vAlign w:val="center"/>
          </w:tcPr>
          <w:p>
            <w:pPr>
              <w:pStyle w:val="TableContents"/>
              <w:spacing w:before="0" w:after="0"/>
              <w:ind w:left="0" w:right="0" w:firstLine="30"/>
              <w:rPr/>
            </w:pPr>
            <w:r>
              <w:rPr/>
              <w:t> </w:t>
            </w:r>
          </w:p>
        </w:tc>
        <w:tc>
          <w:tcPr>
            <w:tcW w:w="9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498,480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498,480</w:t>
            </w:r>
          </w:p>
        </w:tc>
        <w:tc>
          <w:tcPr>
            <w:tcW w:w="3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CPLV Debt</w:t>
            </w:r>
          </w:p>
        </w:tc>
        <w:tc>
          <w:tcPr>
            <w:tcW w:w="90" w:type="dxa"/>
            <w:tcBorders/>
            <w:shd w:fill="CCEEFF" w:val="clear"/>
            <w:vAlign w:val="center"/>
          </w:tcPr>
          <w:p>
            <w:pPr>
              <w:pStyle w:val="TableContents"/>
              <w:spacing w:before="0" w:after="0"/>
              <w:ind w:left="0" w:right="0" w:firstLine="30"/>
              <w:rPr/>
            </w:pPr>
            <w:r>
              <w:rPr/>
              <w:t> </w:t>
            </w:r>
          </w:p>
        </w:tc>
        <w:tc>
          <w:tcPr>
            <w:tcW w:w="78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90"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0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473" w:type="dxa"/>
            <w:gridSpan w:val="3"/>
            <w:tcBorders/>
            <w:shd w:fill="CCEEFF" w:val="clear"/>
            <w:vAlign w:val="center"/>
          </w:tcPr>
          <w:p>
            <w:pPr>
              <w:pStyle w:val="TableContents"/>
              <w:spacing w:before="0" w:after="0"/>
              <w:ind w:left="0" w:right="0" w:firstLine="300"/>
              <w:rPr/>
            </w:pPr>
            <w:r>
              <w:rPr/>
              <w:t> </w:t>
            </w:r>
          </w:p>
        </w:tc>
      </w:tr>
      <w:tr>
        <w:trPr/>
        <w:tc>
          <w:tcPr>
            <w:tcW w:w="369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CPLV CMBS Debt </w:t>
            </w:r>
            <w:r>
              <w:rPr>
                <w:rFonts w:ascii="inherit" w:hAnsi="inherit"/>
                <w:i/>
                <w:sz w:val="12"/>
              </w:rPr>
              <w:t>(7)</w:t>
            </w:r>
          </w:p>
        </w:tc>
        <w:tc>
          <w:tcPr>
            <w:tcW w:w="90" w:type="dxa"/>
            <w:tcBorders/>
            <w:shd w:fill="auto" w:val="clear"/>
            <w:vAlign w:val="center"/>
          </w:tcPr>
          <w:p>
            <w:pPr>
              <w:pStyle w:val="TableContents"/>
              <w:spacing w:before="0" w:after="0"/>
              <w:ind w:left="0" w:right="0" w:firstLine="30"/>
              <w:rPr/>
            </w:pPr>
            <w:r>
              <w:rPr/>
              <w:t> </w:t>
            </w:r>
          </w:p>
        </w:tc>
        <w:tc>
          <w:tcPr>
            <w:tcW w:w="7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2022</w:t>
            </w:r>
          </w:p>
        </w:tc>
        <w:tc>
          <w:tcPr>
            <w:tcW w:w="90" w:type="dxa"/>
            <w:tcBorders/>
            <w:shd w:fill="auto" w:val="clear"/>
            <w:vAlign w:val="center"/>
          </w:tcPr>
          <w:p>
            <w:pPr>
              <w:pStyle w:val="TableContents"/>
              <w:spacing w:before="0" w:after="0"/>
              <w:ind w:left="0" w:right="0" w:firstLine="30"/>
              <w:rPr/>
            </w:pPr>
            <w:r>
              <w:rPr/>
              <w:t> </w:t>
            </w:r>
          </w:p>
        </w:tc>
        <w:tc>
          <w:tcPr>
            <w:tcW w:w="119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4.36%</w:t>
            </w:r>
          </w:p>
        </w:tc>
        <w:tc>
          <w:tcPr>
            <w:tcW w:w="90" w:type="dxa"/>
            <w:tcBorders/>
            <w:shd w:fill="auto" w:val="clear"/>
            <w:vAlign w:val="center"/>
          </w:tcPr>
          <w:p>
            <w:pPr>
              <w:pStyle w:val="TableContents"/>
              <w:spacing w:before="0" w:after="0"/>
              <w:ind w:left="0" w:right="0" w:firstLine="30"/>
              <w:rPr/>
            </w:pPr>
            <w:r>
              <w:rPr/>
              <w:t> </w:t>
            </w:r>
          </w:p>
        </w:tc>
        <w:tc>
          <w:tcPr>
            <w:tcW w:w="9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1,550,000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1,550,000</w:t>
            </w:r>
          </w:p>
        </w:tc>
        <w:tc>
          <w:tcPr>
            <w:tcW w:w="3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50" w:type="dxa"/>
            <w:gridSpan w:val="5"/>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Debt</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4,148,480</w:t>
            </w:r>
          </w:p>
        </w:tc>
        <w:tc>
          <w:tcPr>
            <w:tcW w:w="3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4,123,350</w:t>
            </w:r>
          </w:p>
        </w:tc>
        <w:tc>
          <w:tcPr>
            <w:tcW w:w="36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8503" w:type="dxa"/>
        <w:jc w:val="left"/>
        <w:tblInd w:w="0" w:type="dxa"/>
        <w:tblCellMar>
          <w:top w:w="0" w:type="dxa"/>
          <w:left w:w="0" w:type="dxa"/>
          <w:bottom w:w="0" w:type="dxa"/>
          <w:right w:w="0" w:type="dxa"/>
        </w:tblCellMar>
      </w:tblPr>
      <w:tblGrid>
        <w:gridCol w:w="3695"/>
        <w:gridCol w:w="90"/>
        <w:gridCol w:w="785"/>
        <w:gridCol w:w="90"/>
        <w:gridCol w:w="1190"/>
        <w:gridCol w:w="90"/>
        <w:gridCol w:w="125"/>
        <w:gridCol w:w="845"/>
        <w:gridCol w:w="30"/>
        <w:gridCol w:w="90"/>
        <w:gridCol w:w="143"/>
        <w:gridCol w:w="969"/>
        <w:gridCol w:w="361"/>
      </w:tblGrid>
      <w:tr>
        <w:trPr/>
        <w:tc>
          <w:tcPr>
            <w:tcW w:w="8503" w:type="dxa"/>
            <w:gridSpan w:val="13"/>
            <w:tcBorders/>
            <w:shd w:fill="auto" w:val="clear"/>
            <w:vAlign w:val="center"/>
          </w:tcPr>
          <w:p>
            <w:pPr>
              <w:pStyle w:val="TableContents"/>
              <w:spacing w:before="0" w:after="283"/>
              <w:rPr>
                <w:sz w:val="4"/>
                <w:szCs w:val="4"/>
              </w:rPr>
            </w:pPr>
            <w:r>
              <w:rPr>
                <w:sz w:val="4"/>
                <w:szCs w:val="4"/>
              </w:rPr>
            </w:r>
          </w:p>
        </w:tc>
      </w:tr>
      <w:tr>
        <w:trPr/>
        <w:tc>
          <w:tcPr>
            <w:tcW w:w="369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695" w:type="dxa"/>
            <w:tcBorders/>
            <w:shd w:fill="auto" w:val="clear"/>
            <w:vAlign w:val="center"/>
          </w:tcPr>
          <w:p>
            <w:pPr>
              <w:pStyle w:val="TableContents"/>
              <w:spacing w:before="0" w:after="0"/>
              <w:ind w:left="0" w:right="0" w:firstLine="30"/>
              <w:jc w:val="left"/>
              <w:rPr>
                <w:rFonts w:ascii="inherit" w:hAnsi="inherit"/>
                <w:b/>
                <w:i/>
                <w:sz w:val="13"/>
                <w:u w:val="single"/>
              </w:rPr>
            </w:pPr>
            <w:r>
              <w:rPr>
                <w:rFonts w:ascii="inherit" w:hAnsi="inherit"/>
                <w:b/>
                <w:i/>
                <w:sz w:val="13"/>
                <w:u w:val="single"/>
              </w:rPr>
              <w:t>($ in thousands)</w:t>
            </w:r>
          </w:p>
        </w:tc>
        <w:tc>
          <w:tcPr>
            <w:tcW w:w="90" w:type="dxa"/>
            <w:tcBorders/>
            <w:shd w:fill="auto" w:val="clear"/>
            <w:vAlign w:val="center"/>
          </w:tcPr>
          <w:p>
            <w:pPr>
              <w:pStyle w:val="TableContents"/>
              <w:spacing w:before="0" w:after="0"/>
              <w:ind w:left="0" w:right="0" w:firstLine="30"/>
              <w:rPr/>
            </w:pPr>
            <w:r>
              <w:rPr/>
              <w:t> </w:t>
            </w:r>
          </w:p>
        </w:tc>
        <w:tc>
          <w:tcPr>
            <w:tcW w:w="4718"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December 31, 2018</w:t>
            </w:r>
          </w:p>
        </w:tc>
      </w:tr>
      <w:tr>
        <w:trPr/>
        <w:tc>
          <w:tcPr>
            <w:tcW w:w="369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5"/>
              </w:rPr>
            </w:pPr>
            <w:r>
              <w:rPr>
                <w:rFonts w:ascii="inherit" w:hAnsi="inherit"/>
                <w:b/>
                <w:sz w:val="15"/>
              </w:rPr>
              <w:t>Description of Debt</w:t>
            </w:r>
          </w:p>
        </w:tc>
        <w:tc>
          <w:tcPr>
            <w:tcW w:w="90" w:type="dxa"/>
            <w:tcBorders/>
            <w:shd w:fill="auto" w:val="clear"/>
            <w:vAlign w:val="center"/>
          </w:tcPr>
          <w:p>
            <w:pPr>
              <w:pStyle w:val="TableContents"/>
              <w:spacing w:before="0" w:after="0"/>
              <w:ind w:left="0" w:right="0" w:firstLine="30"/>
              <w:rPr/>
            </w:pPr>
            <w:r>
              <w:rPr/>
              <w:t> </w:t>
            </w:r>
          </w:p>
        </w:tc>
        <w:tc>
          <w:tcPr>
            <w:tcW w:w="785" w:type="dxa"/>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5"/>
              </w:rPr>
            </w:pPr>
            <w:r>
              <w:rPr>
                <w:rFonts w:ascii="inherit" w:hAnsi="inherit"/>
                <w:b/>
                <w:sz w:val="15"/>
              </w:rPr>
              <w:t>Final</w:t>
            </w:r>
          </w:p>
          <w:p>
            <w:pPr>
              <w:pStyle w:val="TableContents"/>
              <w:spacing w:before="0" w:after="0"/>
              <w:ind w:left="0" w:right="0" w:firstLine="30"/>
              <w:jc w:val="center"/>
              <w:rPr>
                <w:rFonts w:ascii="inherit" w:hAnsi="inherit"/>
                <w:b/>
                <w:sz w:val="15"/>
              </w:rPr>
            </w:pPr>
            <w:r>
              <w:rPr>
                <w:rFonts w:ascii="inherit" w:hAnsi="inherit"/>
                <w:b/>
                <w:sz w:val="15"/>
              </w:rPr>
              <w:t>Maturity</w:t>
            </w:r>
          </w:p>
        </w:tc>
        <w:tc>
          <w:tcPr>
            <w:tcW w:w="90" w:type="dxa"/>
            <w:tcBorders/>
            <w:shd w:fill="auto" w:val="clear"/>
            <w:vAlign w:val="center"/>
          </w:tcPr>
          <w:p>
            <w:pPr>
              <w:pStyle w:val="TableContents"/>
              <w:spacing w:before="0" w:after="0"/>
              <w:ind w:left="0" w:right="0" w:firstLine="30"/>
              <w:rPr/>
            </w:pPr>
            <w:r>
              <w:rPr/>
              <w:t> </w:t>
            </w:r>
          </w:p>
        </w:tc>
        <w:tc>
          <w:tcPr>
            <w:tcW w:w="119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Interest Rate</w:t>
            </w:r>
          </w:p>
        </w:tc>
        <w:tc>
          <w:tcPr>
            <w:tcW w:w="90" w:type="dxa"/>
            <w:tcBorders/>
            <w:shd w:fill="auto" w:val="clear"/>
            <w:vAlign w:val="center"/>
          </w:tcPr>
          <w:p>
            <w:pPr>
              <w:pStyle w:val="TableContents"/>
              <w:spacing w:before="0" w:after="0"/>
              <w:ind w:left="0" w:right="0" w:firstLine="30"/>
              <w:rPr/>
            </w:pPr>
            <w:r>
              <w:rPr/>
              <w:t> </w:t>
            </w:r>
          </w:p>
        </w:tc>
        <w:tc>
          <w:tcPr>
            <w:tcW w:w="100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Face Value</w:t>
            </w:r>
          </w:p>
        </w:tc>
        <w:tc>
          <w:tcPr>
            <w:tcW w:w="90" w:type="dxa"/>
            <w:tcBorders/>
            <w:shd w:fill="auto" w:val="clear"/>
            <w:vAlign w:val="center"/>
          </w:tcPr>
          <w:p>
            <w:pPr>
              <w:pStyle w:val="TableContents"/>
              <w:spacing w:before="0" w:after="0"/>
              <w:ind w:left="0" w:right="0" w:firstLine="30"/>
              <w:rPr/>
            </w:pPr>
            <w:r>
              <w:rPr/>
              <w:t> </w:t>
            </w:r>
          </w:p>
        </w:tc>
        <w:tc>
          <w:tcPr>
            <w:tcW w:w="1473" w:type="dxa"/>
            <w:gridSpan w:val="3"/>
            <w:tcBorders>
              <w:bottom w:val="single" w:sz="2" w:space="0" w:color="000000"/>
            </w:tcBorders>
            <w:shd w:fill="auto" w:val="clear"/>
            <w:tcMar>
              <w:bottom w:w="30" w:type="dxa"/>
            </w:tcMar>
            <w:vAlign w:val="center"/>
          </w:tcPr>
          <w:p>
            <w:pPr>
              <w:pStyle w:val="TableContents"/>
              <w:spacing w:lineRule="auto" w:line="288" w:before="0" w:after="0"/>
              <w:ind w:left="0" w:right="0" w:firstLine="30"/>
              <w:jc w:val="center"/>
              <w:rPr>
                <w:sz w:val="17"/>
              </w:rPr>
            </w:pPr>
            <w:r>
              <w:rPr>
                <w:rFonts w:ascii="inherit" w:hAnsi="inherit"/>
                <w:b/>
                <w:sz w:val="15"/>
              </w:rPr>
              <w:t>Carrying Value</w:t>
            </w:r>
            <w:r>
              <w:rPr>
                <w:rFonts w:ascii="inherit" w:hAnsi="inherit"/>
                <w:i/>
                <w:sz w:val="12"/>
              </w:rPr>
              <w:t>(1)</w:t>
            </w:r>
          </w:p>
        </w:tc>
      </w:tr>
      <w:tr>
        <w:trPr/>
        <w:tc>
          <w:tcPr>
            <w:tcW w:w="36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VICI PropCo Senior Secured Credit Facilities</w:t>
            </w:r>
          </w:p>
        </w:tc>
        <w:tc>
          <w:tcPr>
            <w:tcW w:w="90" w:type="dxa"/>
            <w:tcBorders/>
            <w:shd w:fill="CCEEFF" w:val="clear"/>
            <w:vAlign w:val="center"/>
          </w:tcPr>
          <w:p>
            <w:pPr>
              <w:pStyle w:val="TableContents"/>
              <w:spacing w:before="0" w:after="0"/>
              <w:ind w:left="0" w:right="0" w:firstLine="30"/>
              <w:rPr/>
            </w:pPr>
            <w:r>
              <w:rPr/>
              <w:t> </w:t>
            </w:r>
          </w:p>
        </w:tc>
        <w:tc>
          <w:tcPr>
            <w:tcW w:w="78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90"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0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473" w:type="dxa"/>
            <w:gridSpan w:val="3"/>
            <w:tcBorders/>
            <w:shd w:fill="CCEEFF" w:val="clear"/>
            <w:vAlign w:val="center"/>
          </w:tcPr>
          <w:p>
            <w:pPr>
              <w:pStyle w:val="TableContents"/>
              <w:spacing w:before="0" w:after="0"/>
              <w:ind w:left="0" w:right="0" w:firstLine="300"/>
              <w:rPr/>
            </w:pPr>
            <w:r>
              <w:rPr/>
              <w:t> </w:t>
            </w:r>
          </w:p>
        </w:tc>
      </w:tr>
      <w:tr>
        <w:trPr/>
        <w:tc>
          <w:tcPr>
            <w:tcW w:w="369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Revolving Credit Facility </w:t>
            </w:r>
            <w:r>
              <w:rPr>
                <w:rFonts w:ascii="inherit" w:hAnsi="inherit"/>
                <w:i/>
                <w:sz w:val="12"/>
              </w:rPr>
              <w:t>(2)(3)</w:t>
            </w:r>
          </w:p>
        </w:tc>
        <w:tc>
          <w:tcPr>
            <w:tcW w:w="90" w:type="dxa"/>
            <w:tcBorders/>
            <w:shd w:fill="auto" w:val="clear"/>
            <w:vAlign w:val="center"/>
          </w:tcPr>
          <w:p>
            <w:pPr>
              <w:pStyle w:val="TableContents"/>
              <w:spacing w:before="0" w:after="0"/>
              <w:ind w:left="0" w:right="0" w:firstLine="30"/>
              <w:rPr/>
            </w:pPr>
            <w:r>
              <w:rPr/>
              <w:t> </w:t>
            </w:r>
          </w:p>
        </w:tc>
        <w:tc>
          <w:tcPr>
            <w:tcW w:w="7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2022</w:t>
            </w:r>
          </w:p>
        </w:tc>
        <w:tc>
          <w:tcPr>
            <w:tcW w:w="90" w:type="dxa"/>
            <w:tcBorders/>
            <w:shd w:fill="auto" w:val="clear"/>
            <w:vAlign w:val="center"/>
          </w:tcPr>
          <w:p>
            <w:pPr>
              <w:pStyle w:val="TableContents"/>
              <w:spacing w:before="0" w:after="0"/>
              <w:ind w:left="0" w:right="0" w:firstLine="30"/>
              <w:rPr/>
            </w:pPr>
            <w:r>
              <w:rPr/>
              <w:t> </w:t>
            </w:r>
          </w:p>
        </w:tc>
        <w:tc>
          <w:tcPr>
            <w:tcW w:w="119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L + 2.00%</w:t>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69" w:type="dxa"/>
            <w:tcBorders/>
            <w:shd w:fill="auto" w:val="clear"/>
            <w:vAlign w:val="center"/>
          </w:tcPr>
          <w:p>
            <w:pPr>
              <w:pStyle w:val="TableContents"/>
              <w:spacing w:before="0" w:after="0"/>
              <w:jc w:val="right"/>
              <w:rPr/>
            </w:pPr>
            <w:r>
              <w:rPr/>
              <w:t>—</w:t>
            </w:r>
          </w:p>
        </w:tc>
        <w:tc>
          <w:tcPr>
            <w:tcW w:w="3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695" w:type="dxa"/>
            <w:tcBorders/>
            <w:shd w:fill="CCEEFF" w:val="clear"/>
            <w:vAlign w:val="center"/>
          </w:tcPr>
          <w:p>
            <w:pPr>
              <w:pStyle w:val="TableContents"/>
              <w:spacing w:lineRule="auto" w:line="288" w:before="0" w:after="0"/>
              <w:ind w:left="0" w:right="0" w:firstLine="30"/>
              <w:jc w:val="left"/>
              <w:rPr>
                <w:sz w:val="17"/>
              </w:rPr>
            </w:pPr>
            <w:r>
              <w:rPr>
                <w:rFonts w:ascii="inherit" w:hAnsi="inherit"/>
                <w:sz w:val="17"/>
              </w:rPr>
              <w:t xml:space="preserve">Term Loan B Facility </w:t>
            </w:r>
            <w:r>
              <w:rPr>
                <w:rFonts w:ascii="inherit" w:hAnsi="inherit"/>
                <w:i/>
                <w:sz w:val="12"/>
              </w:rPr>
              <w:t>(3)(4)(5)</w:t>
            </w:r>
          </w:p>
        </w:tc>
        <w:tc>
          <w:tcPr>
            <w:tcW w:w="90" w:type="dxa"/>
            <w:tcBorders/>
            <w:shd w:fill="CCEEFF" w:val="clear"/>
            <w:vAlign w:val="center"/>
          </w:tcPr>
          <w:p>
            <w:pPr>
              <w:pStyle w:val="TableContents"/>
              <w:spacing w:before="0" w:after="0"/>
              <w:ind w:left="0" w:right="0" w:firstLine="30"/>
              <w:rPr/>
            </w:pPr>
            <w:r>
              <w:rPr/>
              <w:t> </w:t>
            </w:r>
          </w:p>
        </w:tc>
        <w:tc>
          <w:tcPr>
            <w:tcW w:w="78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2024</w:t>
            </w:r>
          </w:p>
        </w:tc>
        <w:tc>
          <w:tcPr>
            <w:tcW w:w="90" w:type="dxa"/>
            <w:tcBorders/>
            <w:shd w:fill="CCEEFF" w:val="clear"/>
            <w:vAlign w:val="center"/>
          </w:tcPr>
          <w:p>
            <w:pPr>
              <w:pStyle w:val="TableContents"/>
              <w:spacing w:before="0" w:after="0"/>
              <w:ind w:left="0" w:right="0" w:firstLine="30"/>
              <w:rPr/>
            </w:pPr>
            <w:r>
              <w:rPr/>
              <w:t> </w:t>
            </w:r>
          </w:p>
        </w:tc>
        <w:tc>
          <w:tcPr>
            <w:tcW w:w="1190"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L + 2.00%</w:t>
            </w:r>
          </w:p>
        </w:tc>
        <w:tc>
          <w:tcPr>
            <w:tcW w:w="90" w:type="dxa"/>
            <w:tcBorders/>
            <w:shd w:fill="CCEEFF" w:val="clear"/>
            <w:vAlign w:val="center"/>
          </w:tcPr>
          <w:p>
            <w:pPr>
              <w:pStyle w:val="TableContents"/>
              <w:spacing w:before="0" w:after="0"/>
              <w:ind w:left="0" w:right="0" w:firstLine="30"/>
              <w:rPr/>
            </w:pPr>
            <w:r>
              <w:rPr/>
              <w:t> </w:t>
            </w:r>
          </w:p>
        </w:tc>
        <w:tc>
          <w:tcPr>
            <w:tcW w:w="9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2,100,000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2,073,784</w:t>
            </w:r>
          </w:p>
        </w:tc>
        <w:tc>
          <w:tcPr>
            <w:tcW w:w="3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69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Second Lien Notes </w:t>
            </w:r>
            <w:r>
              <w:rPr>
                <w:rFonts w:ascii="inherit" w:hAnsi="inherit"/>
                <w:i/>
                <w:sz w:val="12"/>
              </w:rPr>
              <w:t>(6)</w:t>
            </w:r>
          </w:p>
        </w:tc>
        <w:tc>
          <w:tcPr>
            <w:tcW w:w="90" w:type="dxa"/>
            <w:tcBorders/>
            <w:shd w:fill="auto" w:val="clear"/>
            <w:vAlign w:val="center"/>
          </w:tcPr>
          <w:p>
            <w:pPr>
              <w:pStyle w:val="TableContents"/>
              <w:spacing w:before="0" w:after="0"/>
              <w:ind w:left="0" w:right="0" w:firstLine="30"/>
              <w:rPr/>
            </w:pPr>
            <w:r>
              <w:rPr/>
              <w:t> </w:t>
            </w:r>
          </w:p>
        </w:tc>
        <w:tc>
          <w:tcPr>
            <w:tcW w:w="7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2023</w:t>
            </w:r>
          </w:p>
        </w:tc>
        <w:tc>
          <w:tcPr>
            <w:tcW w:w="90" w:type="dxa"/>
            <w:tcBorders/>
            <w:shd w:fill="auto" w:val="clear"/>
            <w:vAlign w:val="center"/>
          </w:tcPr>
          <w:p>
            <w:pPr>
              <w:pStyle w:val="TableContents"/>
              <w:spacing w:before="0" w:after="0"/>
              <w:ind w:left="0" w:right="0" w:firstLine="30"/>
              <w:rPr/>
            </w:pPr>
            <w:r>
              <w:rPr/>
              <w:t> </w:t>
            </w:r>
          </w:p>
        </w:tc>
        <w:tc>
          <w:tcPr>
            <w:tcW w:w="119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8.00%</w:t>
            </w:r>
          </w:p>
        </w:tc>
        <w:tc>
          <w:tcPr>
            <w:tcW w:w="90" w:type="dxa"/>
            <w:tcBorders/>
            <w:shd w:fill="auto" w:val="clear"/>
            <w:vAlign w:val="center"/>
          </w:tcPr>
          <w:p>
            <w:pPr>
              <w:pStyle w:val="TableContents"/>
              <w:spacing w:before="0" w:after="0"/>
              <w:ind w:left="0" w:right="0" w:firstLine="30"/>
              <w:rPr/>
            </w:pPr>
            <w:r>
              <w:rPr/>
              <w:t> </w:t>
            </w:r>
          </w:p>
        </w:tc>
        <w:tc>
          <w:tcPr>
            <w:tcW w:w="9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498,480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498,480</w:t>
            </w:r>
          </w:p>
        </w:tc>
        <w:tc>
          <w:tcPr>
            <w:tcW w:w="3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CPLV Debt</w:t>
            </w:r>
          </w:p>
        </w:tc>
        <w:tc>
          <w:tcPr>
            <w:tcW w:w="90" w:type="dxa"/>
            <w:tcBorders/>
            <w:shd w:fill="CCEEFF" w:val="clear"/>
            <w:vAlign w:val="center"/>
          </w:tcPr>
          <w:p>
            <w:pPr>
              <w:pStyle w:val="TableContents"/>
              <w:spacing w:before="0" w:after="0"/>
              <w:ind w:left="0" w:right="0" w:firstLine="30"/>
              <w:rPr/>
            </w:pPr>
            <w:r>
              <w:rPr/>
              <w:t> </w:t>
            </w:r>
          </w:p>
        </w:tc>
        <w:tc>
          <w:tcPr>
            <w:tcW w:w="78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90"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0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473" w:type="dxa"/>
            <w:gridSpan w:val="3"/>
            <w:tcBorders/>
            <w:shd w:fill="CCEEFF" w:val="clear"/>
            <w:vAlign w:val="center"/>
          </w:tcPr>
          <w:p>
            <w:pPr>
              <w:pStyle w:val="TableContents"/>
              <w:spacing w:before="0" w:after="0"/>
              <w:ind w:left="0" w:right="0" w:firstLine="300"/>
              <w:rPr/>
            </w:pPr>
            <w:r>
              <w:rPr/>
              <w:t> </w:t>
            </w:r>
          </w:p>
        </w:tc>
      </w:tr>
      <w:tr>
        <w:trPr/>
        <w:tc>
          <w:tcPr>
            <w:tcW w:w="369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CPLV CMBS Debt </w:t>
            </w:r>
            <w:r>
              <w:rPr>
                <w:rFonts w:ascii="inherit" w:hAnsi="inherit"/>
                <w:i/>
                <w:sz w:val="12"/>
              </w:rPr>
              <w:t>(7)</w:t>
            </w:r>
          </w:p>
        </w:tc>
        <w:tc>
          <w:tcPr>
            <w:tcW w:w="90" w:type="dxa"/>
            <w:tcBorders/>
            <w:shd w:fill="auto" w:val="clear"/>
            <w:vAlign w:val="center"/>
          </w:tcPr>
          <w:p>
            <w:pPr>
              <w:pStyle w:val="TableContents"/>
              <w:spacing w:before="0" w:after="0"/>
              <w:ind w:left="0" w:right="0" w:firstLine="30"/>
              <w:rPr/>
            </w:pPr>
            <w:r>
              <w:rPr/>
              <w:t> </w:t>
            </w:r>
          </w:p>
        </w:tc>
        <w:tc>
          <w:tcPr>
            <w:tcW w:w="7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2022</w:t>
            </w:r>
          </w:p>
        </w:tc>
        <w:tc>
          <w:tcPr>
            <w:tcW w:w="90" w:type="dxa"/>
            <w:tcBorders/>
            <w:shd w:fill="auto" w:val="clear"/>
            <w:vAlign w:val="center"/>
          </w:tcPr>
          <w:p>
            <w:pPr>
              <w:pStyle w:val="TableContents"/>
              <w:spacing w:before="0" w:after="0"/>
              <w:ind w:left="0" w:right="0" w:firstLine="30"/>
              <w:rPr/>
            </w:pPr>
            <w:r>
              <w:rPr/>
              <w:t> </w:t>
            </w:r>
          </w:p>
        </w:tc>
        <w:tc>
          <w:tcPr>
            <w:tcW w:w="119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4.36%</w:t>
            </w:r>
          </w:p>
        </w:tc>
        <w:tc>
          <w:tcPr>
            <w:tcW w:w="90" w:type="dxa"/>
            <w:tcBorders/>
            <w:shd w:fill="auto" w:val="clear"/>
            <w:vAlign w:val="center"/>
          </w:tcPr>
          <w:p>
            <w:pPr>
              <w:pStyle w:val="TableContents"/>
              <w:spacing w:before="0" w:after="0"/>
              <w:ind w:left="0" w:right="0" w:firstLine="30"/>
              <w:rPr/>
            </w:pPr>
            <w:r>
              <w:rPr/>
              <w:t> </w:t>
            </w:r>
          </w:p>
        </w:tc>
        <w:tc>
          <w:tcPr>
            <w:tcW w:w="9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1,550,000</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1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1,550,000</w:t>
            </w:r>
          </w:p>
        </w:tc>
        <w:tc>
          <w:tcPr>
            <w:tcW w:w="36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50" w:type="dxa"/>
            <w:gridSpan w:val="5"/>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Debt</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4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4,148,480</w:t>
            </w:r>
          </w:p>
        </w:tc>
        <w:tc>
          <w:tcPr>
            <w:tcW w:w="3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4,122,264</w:t>
            </w:r>
          </w:p>
        </w:tc>
        <w:tc>
          <w:tcPr>
            <w:tcW w:w="36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____________________</w:t>
      </w:r>
    </w:p>
    <w:tbl>
      <w:tblPr>
        <w:tblW w:w="9805" w:type="dxa"/>
        <w:jc w:val="left"/>
        <w:tblInd w:w="0" w:type="dxa"/>
        <w:tblCellMar>
          <w:top w:w="0" w:type="dxa"/>
          <w:left w:w="0" w:type="dxa"/>
          <w:bottom w:w="0" w:type="dxa"/>
          <w:right w:w="0" w:type="dxa"/>
        </w:tblCellMar>
      </w:tblPr>
      <w:tblGrid>
        <w:gridCol w:w="245"/>
        <w:gridCol w:w="9560"/>
      </w:tblGrid>
      <w:tr>
        <w:trPr/>
        <w:tc>
          <w:tcPr>
            <w:tcW w:w="245" w:type="dxa"/>
            <w:tcBorders/>
            <w:shd w:fill="auto" w:val="clear"/>
            <w:vAlign w:val="center"/>
          </w:tcPr>
          <w:p>
            <w:pPr>
              <w:pStyle w:val="TableContents"/>
              <w:spacing w:before="0" w:after="283"/>
              <w:rPr>
                <w:sz w:val="4"/>
                <w:szCs w:val="4"/>
              </w:rPr>
            </w:pPr>
            <w:r>
              <w:rPr>
                <w:sz w:val="4"/>
                <w:szCs w:val="4"/>
              </w:rPr>
            </w:r>
          </w:p>
        </w:tc>
        <w:tc>
          <w:tcPr>
            <w:tcW w:w="956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i/>
                <w:sz w:val="13"/>
              </w:rPr>
            </w:pPr>
            <w:r>
              <w:rPr>
                <w:rFonts w:ascii="inherit" w:hAnsi="inherit"/>
                <w:i/>
                <w:sz w:val="13"/>
              </w:rPr>
              <w:t>(1)</w:t>
            </w:r>
          </w:p>
        </w:tc>
        <w:tc>
          <w:tcPr>
            <w:tcW w:w="9560" w:type="dxa"/>
            <w:tcBorders/>
            <w:shd w:fill="auto" w:val="clear"/>
            <w:vAlign w:val="center"/>
          </w:tcPr>
          <w:p>
            <w:pPr>
              <w:pStyle w:val="TableContents"/>
              <w:spacing w:lineRule="auto" w:line="288" w:before="0" w:after="0"/>
              <w:jc w:val="both"/>
              <w:rPr>
                <w:rFonts w:ascii="inherit" w:hAnsi="inherit"/>
                <w:i/>
                <w:sz w:val="13"/>
              </w:rPr>
            </w:pPr>
            <w:r>
              <w:rPr>
                <w:rFonts w:ascii="inherit" w:hAnsi="inherit"/>
                <w:i/>
                <w:sz w:val="13"/>
              </w:rPr>
              <w:t>Carrying value is net of unamortized original issue discount and unamortized debt issuance costs incurred in conjunction with debt.</w:t>
            </w:r>
          </w:p>
        </w:tc>
      </w:tr>
    </w:tbl>
    <w:tbl>
      <w:tblPr>
        <w:tblW w:w="9685" w:type="dxa"/>
        <w:jc w:val="left"/>
        <w:tblInd w:w="0" w:type="dxa"/>
        <w:tblCellMar>
          <w:top w:w="0" w:type="dxa"/>
          <w:left w:w="0" w:type="dxa"/>
          <w:bottom w:w="0" w:type="dxa"/>
          <w:right w:w="0" w:type="dxa"/>
        </w:tblCellMar>
      </w:tblPr>
      <w:tblGrid>
        <w:gridCol w:w="245"/>
        <w:gridCol w:w="9440"/>
      </w:tblGrid>
      <w:tr>
        <w:trPr/>
        <w:tc>
          <w:tcPr>
            <w:tcW w:w="245" w:type="dxa"/>
            <w:tcBorders/>
            <w:shd w:fill="auto" w:val="clear"/>
            <w:vAlign w:val="center"/>
          </w:tcPr>
          <w:p>
            <w:pPr>
              <w:pStyle w:val="TableContents"/>
              <w:spacing w:before="0" w:after="283"/>
              <w:rPr>
                <w:sz w:val="4"/>
                <w:szCs w:val="4"/>
              </w:rPr>
            </w:pPr>
            <w:r>
              <w:rPr>
                <w:sz w:val="4"/>
                <w:szCs w:val="4"/>
              </w:rPr>
            </w:r>
          </w:p>
        </w:tc>
        <w:tc>
          <w:tcPr>
            <w:tcW w:w="944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i/>
                <w:sz w:val="13"/>
              </w:rPr>
            </w:pPr>
            <w:r>
              <w:rPr>
                <w:rFonts w:ascii="inherit" w:hAnsi="inherit"/>
                <w:i/>
                <w:sz w:val="13"/>
              </w:rPr>
              <w:t>(2)</w:t>
            </w:r>
          </w:p>
        </w:tc>
        <w:tc>
          <w:tcPr>
            <w:tcW w:w="9440" w:type="dxa"/>
            <w:tcBorders/>
            <w:shd w:fill="auto" w:val="clear"/>
            <w:vAlign w:val="center"/>
          </w:tcPr>
          <w:p>
            <w:pPr>
              <w:pStyle w:val="TableContents"/>
              <w:spacing w:lineRule="auto" w:line="288" w:before="0" w:after="0"/>
              <w:jc w:val="both"/>
              <w:rPr>
                <w:sz w:val="13"/>
              </w:rPr>
            </w:pPr>
            <w:r>
              <w:rPr>
                <w:rFonts w:ascii="inherit" w:hAnsi="inherit"/>
                <w:i/>
                <w:sz w:val="13"/>
              </w:rPr>
              <w:t>Interest on any outstanding balance is payable monthly. Any unused balance is subject to a 0.5%</w:t>
            </w:r>
            <w:r>
              <w:rPr>
                <w:sz w:val="13"/>
              </w:rPr>
              <w:t xml:space="preserve"> </w:t>
            </w:r>
            <w:r>
              <w:rPr>
                <w:rFonts w:ascii="inherit" w:hAnsi="inherit"/>
                <w:i/>
                <w:sz w:val="13"/>
              </w:rPr>
              <w:t xml:space="preserve">commitment fee paid quarterly. </w:t>
            </w:r>
          </w:p>
        </w:tc>
      </w:tr>
    </w:tbl>
    <w:tbl>
      <w:tblPr>
        <w:tblW w:w="10205" w:type="dxa"/>
        <w:jc w:val="left"/>
        <w:tblInd w:w="0" w:type="dxa"/>
        <w:tblCellMar>
          <w:top w:w="0" w:type="dxa"/>
          <w:left w:w="0" w:type="dxa"/>
          <w:bottom w:w="0" w:type="dxa"/>
          <w:right w:w="0" w:type="dxa"/>
        </w:tblCellMar>
      </w:tblPr>
      <w:tblGrid>
        <w:gridCol w:w="240"/>
        <w:gridCol w:w="9965"/>
      </w:tblGrid>
      <w:tr>
        <w:trPr/>
        <w:tc>
          <w:tcPr>
            <w:tcW w:w="240" w:type="dxa"/>
            <w:tcBorders/>
            <w:shd w:fill="auto" w:val="clear"/>
            <w:vAlign w:val="center"/>
          </w:tcPr>
          <w:p>
            <w:pPr>
              <w:pStyle w:val="TableContents"/>
              <w:spacing w:before="0" w:after="283"/>
              <w:rPr>
                <w:sz w:val="4"/>
                <w:szCs w:val="4"/>
              </w:rPr>
            </w:pPr>
            <w:r>
              <w:rPr>
                <w:sz w:val="4"/>
                <w:szCs w:val="4"/>
              </w:rPr>
            </w:r>
          </w:p>
        </w:tc>
        <w:tc>
          <w:tcPr>
            <w:tcW w:w="9965" w:type="dxa"/>
            <w:tcBorders/>
            <w:shd w:fill="auto" w:val="clear"/>
            <w:vAlign w:val="center"/>
          </w:tcPr>
          <w:p>
            <w:pPr>
              <w:pStyle w:val="TableContents"/>
              <w:spacing w:before="0" w:after="283"/>
              <w:rPr>
                <w:sz w:val="4"/>
                <w:szCs w:val="4"/>
              </w:rPr>
            </w:pPr>
            <w:r>
              <w:rPr>
                <w:sz w:val="4"/>
                <w:szCs w:val="4"/>
              </w:rPr>
            </w:r>
          </w:p>
        </w:tc>
      </w:tr>
      <w:tr>
        <w:trPr/>
        <w:tc>
          <w:tcPr>
            <w:tcW w:w="240" w:type="dxa"/>
            <w:tcBorders/>
            <w:shd w:fill="auto" w:val="clear"/>
            <w:vAlign w:val="center"/>
          </w:tcPr>
          <w:p>
            <w:pPr>
              <w:pStyle w:val="TableContents"/>
              <w:spacing w:lineRule="auto" w:line="288" w:before="0" w:after="0"/>
              <w:ind w:left="0" w:right="0" w:hanging="0"/>
              <w:rPr>
                <w:rFonts w:ascii="inherit" w:hAnsi="inherit"/>
                <w:i/>
                <w:sz w:val="13"/>
              </w:rPr>
            </w:pPr>
            <w:r>
              <w:rPr>
                <w:rFonts w:ascii="inherit" w:hAnsi="inherit"/>
                <w:i/>
                <w:sz w:val="13"/>
              </w:rPr>
              <w:t>(3)</w:t>
            </w:r>
          </w:p>
        </w:tc>
        <w:tc>
          <w:tcPr>
            <w:tcW w:w="9965" w:type="dxa"/>
            <w:tcBorders/>
            <w:shd w:fill="auto" w:val="clear"/>
            <w:vAlign w:val="center"/>
          </w:tcPr>
          <w:p>
            <w:pPr>
              <w:pStyle w:val="TableContents"/>
              <w:spacing w:lineRule="auto" w:line="288" w:before="0" w:after="0"/>
              <w:jc w:val="both"/>
              <w:rPr>
                <w:rFonts w:ascii="inherit" w:hAnsi="inherit"/>
                <w:i/>
                <w:sz w:val="13"/>
              </w:rPr>
            </w:pPr>
            <w:r>
              <w:rPr>
                <w:rFonts w:ascii="inherit" w:hAnsi="inherit"/>
                <w:i/>
                <w:sz w:val="13"/>
              </w:rPr>
              <w:t>Initially bore interest at LIBOR plus 2.25%. Upon our initial public offering, on February 5, 2018, the interest rate was reduced to LIBOR plus 2.00%.</w:t>
            </w:r>
          </w:p>
        </w:tc>
      </w:tr>
    </w:tbl>
    <w:tbl>
      <w:tblPr>
        <w:tblW w:w="10205" w:type="dxa"/>
        <w:jc w:val="left"/>
        <w:tblInd w:w="0" w:type="dxa"/>
        <w:tblCellMar>
          <w:top w:w="0" w:type="dxa"/>
          <w:left w:w="0" w:type="dxa"/>
          <w:bottom w:w="0" w:type="dxa"/>
          <w:right w:w="0" w:type="dxa"/>
        </w:tblCellMar>
      </w:tblPr>
      <w:tblGrid>
        <w:gridCol w:w="198"/>
        <w:gridCol w:w="10007"/>
      </w:tblGrid>
      <w:tr>
        <w:trPr/>
        <w:tc>
          <w:tcPr>
            <w:tcW w:w="198" w:type="dxa"/>
            <w:tcBorders/>
            <w:shd w:fill="auto" w:val="clear"/>
            <w:vAlign w:val="center"/>
          </w:tcPr>
          <w:p>
            <w:pPr>
              <w:pStyle w:val="TableContents"/>
              <w:spacing w:before="0" w:after="283"/>
              <w:rPr>
                <w:sz w:val="4"/>
                <w:szCs w:val="4"/>
              </w:rPr>
            </w:pPr>
            <w:r>
              <w:rPr>
                <w:sz w:val="4"/>
                <w:szCs w:val="4"/>
              </w:rPr>
            </w:r>
          </w:p>
        </w:tc>
        <w:tc>
          <w:tcPr>
            <w:tcW w:w="10007" w:type="dxa"/>
            <w:tcBorders/>
            <w:shd w:fill="auto" w:val="clear"/>
            <w:vAlign w:val="center"/>
          </w:tcPr>
          <w:p>
            <w:pPr>
              <w:pStyle w:val="TableContents"/>
              <w:spacing w:before="0" w:after="283"/>
              <w:rPr>
                <w:sz w:val="4"/>
                <w:szCs w:val="4"/>
              </w:rPr>
            </w:pPr>
            <w:r>
              <w:rPr>
                <w:sz w:val="4"/>
                <w:szCs w:val="4"/>
              </w:rPr>
            </w:r>
          </w:p>
        </w:tc>
      </w:tr>
      <w:tr>
        <w:trPr/>
        <w:tc>
          <w:tcPr>
            <w:tcW w:w="198" w:type="dxa"/>
            <w:tcBorders/>
            <w:shd w:fill="auto" w:val="clear"/>
            <w:vAlign w:val="center"/>
          </w:tcPr>
          <w:p>
            <w:pPr>
              <w:pStyle w:val="TableContents"/>
              <w:spacing w:lineRule="auto" w:line="288" w:before="0" w:after="0"/>
              <w:ind w:left="0" w:right="0" w:hanging="0"/>
              <w:rPr>
                <w:rFonts w:ascii="inherit" w:hAnsi="inherit"/>
                <w:i/>
                <w:sz w:val="13"/>
              </w:rPr>
            </w:pPr>
            <w:r>
              <w:rPr>
                <w:rFonts w:ascii="inherit" w:hAnsi="inherit"/>
                <w:i/>
                <w:sz w:val="13"/>
              </w:rPr>
              <w:t>(4)</w:t>
            </w:r>
          </w:p>
        </w:tc>
        <w:tc>
          <w:tcPr>
            <w:tcW w:w="10007" w:type="dxa"/>
            <w:tcBorders/>
            <w:shd w:fill="auto" w:val="clear"/>
            <w:vAlign w:val="center"/>
          </w:tcPr>
          <w:p>
            <w:pPr>
              <w:pStyle w:val="TableContents"/>
              <w:spacing w:lineRule="auto" w:line="288" w:before="0" w:after="0"/>
              <w:jc w:val="both"/>
              <w:rPr>
                <w:sz w:val="13"/>
              </w:rPr>
            </w:pPr>
            <w:r>
              <w:rPr>
                <w:rFonts w:ascii="inherit" w:hAnsi="inherit"/>
                <w:i/>
                <w:sz w:val="13"/>
              </w:rPr>
              <w:t>Interest is payable monthly. The interest rate swaps are designated as cash flow hedges that effectively fix the LIBOR component of the interest rate on a portion of the outstanding debt. As of March 31, 2019, we had six</w:t>
            </w:r>
            <w:r>
              <w:rPr>
                <w:sz w:val="13"/>
              </w:rPr>
              <w:t xml:space="preserve"> </w:t>
            </w:r>
            <w:r>
              <w:rPr>
                <w:rFonts w:ascii="inherit" w:hAnsi="inherit"/>
                <w:i/>
                <w:sz w:val="13"/>
              </w:rPr>
              <w:t>interest rate swap agreements outstanding with third-party financial institutions having an aggregate notional amount of $2.0 billion</w:t>
            </w:r>
            <w:r>
              <w:rPr>
                <w:sz w:val="13"/>
              </w:rPr>
              <w:t xml:space="preserve"> </w:t>
            </w:r>
            <w:r>
              <w:rPr>
                <w:rFonts w:ascii="inherit" w:hAnsi="inherit"/>
                <w:i/>
                <w:sz w:val="13"/>
              </w:rPr>
              <w:t>at a blended LIBOR rate of 2.7173%. As of December 31, 2018, we had four</w:t>
            </w:r>
            <w:r>
              <w:rPr>
                <w:sz w:val="13"/>
              </w:rPr>
              <w:t xml:space="preserve"> </w:t>
            </w:r>
            <w:r>
              <w:rPr>
                <w:rFonts w:ascii="inherit" w:hAnsi="inherit"/>
                <w:i/>
                <w:sz w:val="13"/>
              </w:rPr>
              <w:t>interest rate swap agreements outstanding with third-party financial institutions having an aggregate notional amount of $1.5 billion</w:t>
            </w:r>
            <w:r>
              <w:rPr>
                <w:sz w:val="13"/>
              </w:rPr>
              <w:t xml:space="preserve"> </w:t>
            </w:r>
            <w:r>
              <w:rPr>
                <w:rFonts w:ascii="inherit" w:hAnsi="inherit"/>
                <w:i/>
                <w:sz w:val="13"/>
              </w:rPr>
              <w:t xml:space="preserve">at a LIBOR rate of 2.8297%. </w:t>
            </w:r>
          </w:p>
        </w:tc>
      </w:tr>
    </w:tbl>
    <w:tbl>
      <w:tblPr>
        <w:tblW w:w="10205" w:type="dxa"/>
        <w:jc w:val="left"/>
        <w:tblInd w:w="0" w:type="dxa"/>
        <w:tblCellMar>
          <w:top w:w="0" w:type="dxa"/>
          <w:left w:w="0" w:type="dxa"/>
          <w:bottom w:w="0" w:type="dxa"/>
          <w:right w:w="0" w:type="dxa"/>
        </w:tblCellMar>
      </w:tblPr>
      <w:tblGrid>
        <w:gridCol w:w="233"/>
        <w:gridCol w:w="9972"/>
      </w:tblGrid>
      <w:tr>
        <w:trPr/>
        <w:tc>
          <w:tcPr>
            <w:tcW w:w="233" w:type="dxa"/>
            <w:tcBorders/>
            <w:shd w:fill="auto" w:val="clear"/>
            <w:vAlign w:val="center"/>
          </w:tcPr>
          <w:p>
            <w:pPr>
              <w:pStyle w:val="TableContents"/>
              <w:spacing w:before="0" w:after="283"/>
              <w:rPr>
                <w:sz w:val="4"/>
                <w:szCs w:val="4"/>
              </w:rPr>
            </w:pPr>
            <w:r>
              <w:rPr>
                <w:sz w:val="4"/>
                <w:szCs w:val="4"/>
              </w:rPr>
            </w:r>
          </w:p>
        </w:tc>
        <w:tc>
          <w:tcPr>
            <w:tcW w:w="9972" w:type="dxa"/>
            <w:tcBorders/>
            <w:shd w:fill="auto" w:val="clear"/>
            <w:vAlign w:val="center"/>
          </w:tcPr>
          <w:p>
            <w:pPr>
              <w:pStyle w:val="TableContents"/>
              <w:spacing w:before="0" w:after="283"/>
              <w:rPr>
                <w:sz w:val="4"/>
                <w:szCs w:val="4"/>
              </w:rPr>
            </w:pPr>
            <w:r>
              <w:rPr>
                <w:sz w:val="4"/>
                <w:szCs w:val="4"/>
              </w:rPr>
            </w:r>
          </w:p>
        </w:tc>
      </w:tr>
      <w:tr>
        <w:trPr/>
        <w:tc>
          <w:tcPr>
            <w:tcW w:w="233" w:type="dxa"/>
            <w:tcBorders/>
            <w:shd w:fill="auto" w:val="clear"/>
            <w:vAlign w:val="center"/>
          </w:tcPr>
          <w:p>
            <w:pPr>
              <w:pStyle w:val="TableContents"/>
              <w:spacing w:lineRule="auto" w:line="288" w:before="0" w:after="0"/>
              <w:ind w:left="0" w:right="0" w:hanging="0"/>
              <w:rPr>
                <w:rFonts w:ascii="inherit" w:hAnsi="inherit"/>
                <w:i/>
                <w:sz w:val="13"/>
              </w:rPr>
            </w:pPr>
            <w:r>
              <w:rPr>
                <w:rFonts w:ascii="inherit" w:hAnsi="inherit"/>
                <w:i/>
                <w:sz w:val="13"/>
              </w:rPr>
              <w:t>(5)</w:t>
            </w:r>
          </w:p>
        </w:tc>
        <w:tc>
          <w:tcPr>
            <w:tcW w:w="9972" w:type="dxa"/>
            <w:tcBorders/>
            <w:shd w:fill="auto" w:val="clear"/>
            <w:vAlign w:val="center"/>
          </w:tcPr>
          <w:p>
            <w:pPr>
              <w:pStyle w:val="TableContents"/>
              <w:spacing w:lineRule="auto" w:line="288" w:before="0" w:after="0"/>
              <w:jc w:val="both"/>
              <w:rPr>
                <w:rFonts w:ascii="inherit" w:hAnsi="inherit"/>
                <w:i/>
                <w:sz w:val="13"/>
              </w:rPr>
            </w:pPr>
            <w:r>
              <w:rPr>
                <w:rFonts w:ascii="inherit" w:hAnsi="inherit"/>
                <w:i/>
                <w:sz w:val="13"/>
              </w:rPr>
              <w:t>Final maturity is December 2024 or, to the extent the Second Lien Notes remain outstanding, July 2023 (three months prior to the maturity of the Second Lien Notes).</w:t>
            </w:r>
          </w:p>
        </w:tc>
      </w:tr>
    </w:tbl>
    <w:tbl>
      <w:tblPr>
        <w:tblW w:w="2770" w:type="dxa"/>
        <w:jc w:val="left"/>
        <w:tblInd w:w="0" w:type="dxa"/>
        <w:tblCellMar>
          <w:top w:w="0" w:type="dxa"/>
          <w:left w:w="0" w:type="dxa"/>
          <w:bottom w:w="0" w:type="dxa"/>
          <w:right w:w="0" w:type="dxa"/>
        </w:tblCellMar>
      </w:tblPr>
      <w:tblGrid>
        <w:gridCol w:w="245"/>
        <w:gridCol w:w="2525"/>
      </w:tblGrid>
      <w:tr>
        <w:trPr/>
        <w:tc>
          <w:tcPr>
            <w:tcW w:w="245" w:type="dxa"/>
            <w:tcBorders/>
            <w:shd w:fill="auto" w:val="clear"/>
            <w:vAlign w:val="center"/>
          </w:tcPr>
          <w:p>
            <w:pPr>
              <w:pStyle w:val="TableContents"/>
              <w:spacing w:before="0" w:after="283"/>
              <w:rPr>
                <w:sz w:val="4"/>
                <w:szCs w:val="4"/>
              </w:rPr>
            </w:pPr>
            <w:r>
              <w:rPr>
                <w:sz w:val="4"/>
                <w:szCs w:val="4"/>
              </w:rPr>
            </w:r>
          </w:p>
        </w:tc>
        <w:tc>
          <w:tcPr>
            <w:tcW w:w="2525"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i/>
                <w:sz w:val="13"/>
              </w:rPr>
            </w:pPr>
            <w:r>
              <w:rPr>
                <w:rFonts w:ascii="inherit" w:hAnsi="inherit"/>
                <w:i/>
                <w:sz w:val="13"/>
              </w:rPr>
              <w:t>(6)</w:t>
            </w:r>
          </w:p>
        </w:tc>
        <w:tc>
          <w:tcPr>
            <w:tcW w:w="2525" w:type="dxa"/>
            <w:tcBorders/>
            <w:shd w:fill="auto" w:val="clear"/>
            <w:vAlign w:val="center"/>
          </w:tcPr>
          <w:p>
            <w:pPr>
              <w:pStyle w:val="TableContents"/>
              <w:spacing w:lineRule="auto" w:line="288" w:before="0" w:after="0"/>
              <w:jc w:val="both"/>
              <w:rPr>
                <w:rFonts w:ascii="inherit" w:hAnsi="inherit"/>
                <w:i/>
                <w:sz w:val="13"/>
              </w:rPr>
            </w:pPr>
            <w:r>
              <w:rPr>
                <w:rFonts w:ascii="inherit" w:hAnsi="inherit"/>
                <w:i/>
                <w:sz w:val="13"/>
              </w:rPr>
              <w:t xml:space="preserve">Interest is payable semi-annually. </w:t>
            </w:r>
          </w:p>
        </w:tc>
      </w:tr>
    </w:tbl>
    <w:tbl>
      <w:tblPr>
        <w:tblW w:w="2350" w:type="dxa"/>
        <w:jc w:val="left"/>
        <w:tblInd w:w="0" w:type="dxa"/>
        <w:tblCellMar>
          <w:top w:w="0" w:type="dxa"/>
          <w:left w:w="0" w:type="dxa"/>
          <w:bottom w:w="0" w:type="dxa"/>
          <w:right w:w="0" w:type="dxa"/>
        </w:tblCellMar>
      </w:tblPr>
      <w:tblGrid>
        <w:gridCol w:w="245"/>
        <w:gridCol w:w="2105"/>
      </w:tblGrid>
      <w:tr>
        <w:trPr/>
        <w:tc>
          <w:tcPr>
            <w:tcW w:w="245" w:type="dxa"/>
            <w:tcBorders/>
            <w:shd w:fill="auto" w:val="clear"/>
            <w:vAlign w:val="center"/>
          </w:tcPr>
          <w:p>
            <w:pPr>
              <w:pStyle w:val="TableContents"/>
              <w:spacing w:before="0" w:after="283"/>
              <w:rPr>
                <w:sz w:val="4"/>
                <w:szCs w:val="4"/>
              </w:rPr>
            </w:pPr>
            <w:r>
              <w:rPr>
                <w:sz w:val="4"/>
                <w:szCs w:val="4"/>
              </w:rPr>
            </w:r>
          </w:p>
        </w:tc>
        <w:tc>
          <w:tcPr>
            <w:tcW w:w="2105"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i/>
                <w:sz w:val="13"/>
              </w:rPr>
            </w:pPr>
            <w:r>
              <w:rPr>
                <w:rFonts w:ascii="inherit" w:hAnsi="inherit"/>
                <w:i/>
                <w:sz w:val="13"/>
              </w:rPr>
              <w:t>(7)</w:t>
            </w:r>
          </w:p>
        </w:tc>
        <w:tc>
          <w:tcPr>
            <w:tcW w:w="2105" w:type="dxa"/>
            <w:tcBorders/>
            <w:shd w:fill="auto" w:val="clear"/>
            <w:vAlign w:val="center"/>
          </w:tcPr>
          <w:p>
            <w:pPr>
              <w:pStyle w:val="TableContents"/>
              <w:spacing w:lineRule="auto" w:line="288" w:before="0" w:after="0"/>
              <w:jc w:val="both"/>
              <w:rPr>
                <w:rFonts w:ascii="inherit" w:hAnsi="inherit"/>
                <w:i/>
                <w:sz w:val="13"/>
              </w:rPr>
            </w:pPr>
            <w:r>
              <w:rPr>
                <w:rFonts w:ascii="inherit" w:hAnsi="inherit"/>
                <w:i/>
                <w:sz w:val="13"/>
              </w:rPr>
              <w:t xml:space="preserve">Interest is payable monthly. </w:t>
            </w:r>
          </w:p>
        </w:tc>
      </w:tr>
    </w:tbl>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The following table is a schedule of future minimum payments of our debt obligations as of March 31, 2019:</w:t>
      </w:r>
    </w:p>
    <w:tbl>
      <w:tblPr>
        <w:tblW w:w="5034" w:type="dxa"/>
        <w:jc w:val="left"/>
        <w:tblInd w:w="0" w:type="dxa"/>
        <w:tblCellMar>
          <w:top w:w="0" w:type="dxa"/>
          <w:left w:w="0" w:type="dxa"/>
          <w:bottom w:w="0" w:type="dxa"/>
          <w:right w:w="0" w:type="dxa"/>
        </w:tblCellMar>
      </w:tblPr>
      <w:tblGrid>
        <w:gridCol w:w="2390"/>
        <w:gridCol w:w="90"/>
        <w:gridCol w:w="314"/>
        <w:gridCol w:w="2127"/>
        <w:gridCol w:w="113"/>
      </w:tblGrid>
      <w:tr>
        <w:trPr/>
        <w:tc>
          <w:tcPr>
            <w:tcW w:w="5034" w:type="dxa"/>
            <w:gridSpan w:val="5"/>
            <w:tcBorders/>
            <w:shd w:fill="auto" w:val="clear"/>
            <w:vAlign w:val="center"/>
          </w:tcPr>
          <w:p>
            <w:pPr>
              <w:pStyle w:val="TableContents"/>
              <w:spacing w:before="0" w:after="283"/>
              <w:rPr>
                <w:sz w:val="4"/>
                <w:szCs w:val="4"/>
              </w:rPr>
            </w:pPr>
            <w:r>
              <w:rPr>
                <w:sz w:val="4"/>
                <w:szCs w:val="4"/>
              </w:rPr>
            </w:r>
          </w:p>
        </w:tc>
      </w:tr>
      <w:tr>
        <w:trPr/>
        <w:tc>
          <w:tcPr>
            <w:tcW w:w="23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2127"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390" w:type="dxa"/>
            <w:tcBorders/>
            <w:shd w:fill="auto" w:val="clear"/>
            <w:vAlign w:val="center"/>
          </w:tcPr>
          <w:p>
            <w:pPr>
              <w:pStyle w:val="TableContents"/>
              <w:spacing w:before="0" w:after="0"/>
              <w:ind w:left="0" w:right="0" w:firstLine="30"/>
              <w:jc w:val="left"/>
              <w:rPr>
                <w:rFonts w:ascii="inherit" w:hAnsi="inherit"/>
                <w:b/>
                <w:i/>
                <w:sz w:val="13"/>
                <w:u w:val="single"/>
              </w:rPr>
            </w:pPr>
            <w:r>
              <w:rPr>
                <w:rFonts w:ascii="inherit" w:hAnsi="inherit"/>
                <w:b/>
                <w:i/>
                <w:sz w:val="13"/>
                <w:u w:val="single"/>
              </w:rPr>
              <w:t>(In thousands)</w:t>
            </w:r>
          </w:p>
        </w:tc>
        <w:tc>
          <w:tcPr>
            <w:tcW w:w="90" w:type="dxa"/>
            <w:tcBorders/>
            <w:shd w:fill="auto" w:val="clear"/>
            <w:vAlign w:val="center"/>
          </w:tcPr>
          <w:p>
            <w:pPr>
              <w:pStyle w:val="TableContents"/>
              <w:spacing w:before="0" w:after="0"/>
              <w:ind w:left="0" w:right="0" w:firstLine="30"/>
              <w:rPr/>
            </w:pPr>
            <w:r>
              <w:rPr/>
              <w:t> </w:t>
            </w:r>
          </w:p>
        </w:tc>
        <w:tc>
          <w:tcPr>
            <w:tcW w:w="255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Future Minimum Payments</w:t>
            </w:r>
          </w:p>
        </w:tc>
      </w:tr>
      <w:tr>
        <w:trPr/>
        <w:tc>
          <w:tcPr>
            <w:tcW w:w="23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2019 (remaining)</w:t>
            </w:r>
          </w:p>
        </w:tc>
        <w:tc>
          <w:tcPr>
            <w:tcW w:w="90" w:type="dxa"/>
            <w:tcBorders/>
            <w:shd w:fill="CCEEFF" w:val="clear"/>
            <w:vAlign w:val="center"/>
          </w:tcPr>
          <w:p>
            <w:pPr>
              <w:pStyle w:val="TableContents"/>
              <w:spacing w:before="0" w:after="0"/>
              <w:ind w:left="0" w:right="0" w:firstLine="30"/>
              <w:rPr/>
            </w:pPr>
            <w:r>
              <w:rPr/>
              <w:t> </w:t>
            </w:r>
          </w:p>
        </w:tc>
        <w:tc>
          <w:tcPr>
            <w:tcW w:w="31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2127" w:type="dxa"/>
            <w:tcBorders/>
            <w:shd w:fill="CCEEFF" w:val="clear"/>
            <w:vAlign w:val="center"/>
          </w:tcPr>
          <w:p>
            <w:pPr>
              <w:pStyle w:val="TableContents"/>
              <w:spacing w:before="0" w:after="0"/>
              <w:jc w:val="right"/>
              <w:rPr/>
            </w:pPr>
            <w:r>
              <w:rPr/>
              <w:t>—</w:t>
            </w:r>
          </w:p>
        </w:tc>
        <w:tc>
          <w:tcPr>
            <w:tcW w:w="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2020</w:t>
            </w:r>
          </w:p>
        </w:tc>
        <w:tc>
          <w:tcPr>
            <w:tcW w:w="90" w:type="dxa"/>
            <w:tcBorders/>
            <w:shd w:fill="auto" w:val="clear"/>
            <w:vAlign w:val="center"/>
          </w:tcPr>
          <w:p>
            <w:pPr>
              <w:pStyle w:val="TableContents"/>
              <w:spacing w:before="0" w:after="0"/>
              <w:ind w:left="0" w:right="0" w:firstLine="30"/>
              <w:rPr/>
            </w:pPr>
            <w:r>
              <w:rPr/>
              <w:t> </w:t>
            </w:r>
          </w:p>
        </w:tc>
        <w:tc>
          <w:tcPr>
            <w:tcW w:w="2441" w:type="dxa"/>
            <w:gridSpan w:val="2"/>
            <w:tcBorders/>
            <w:shd w:fill="auto" w:val="clear"/>
            <w:vAlign w:val="center"/>
          </w:tcPr>
          <w:p>
            <w:pPr>
              <w:pStyle w:val="TableContents"/>
              <w:spacing w:before="0" w:after="0"/>
              <w:jc w:val="right"/>
              <w:rPr/>
            </w:pPr>
            <w:r>
              <w:rPr/>
              <w:t>—</w:t>
            </w:r>
          </w:p>
        </w:tc>
        <w:tc>
          <w:tcPr>
            <w:tcW w:w="1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2021</w:t>
            </w:r>
          </w:p>
        </w:tc>
        <w:tc>
          <w:tcPr>
            <w:tcW w:w="90" w:type="dxa"/>
            <w:tcBorders/>
            <w:shd w:fill="CCEEFF" w:val="clear"/>
            <w:vAlign w:val="center"/>
          </w:tcPr>
          <w:p>
            <w:pPr>
              <w:pStyle w:val="TableContents"/>
              <w:spacing w:before="0" w:after="0"/>
              <w:ind w:left="0" w:right="0" w:firstLine="30"/>
              <w:rPr/>
            </w:pPr>
            <w:r>
              <w:rPr/>
              <w:t> </w:t>
            </w:r>
          </w:p>
        </w:tc>
        <w:tc>
          <w:tcPr>
            <w:tcW w:w="2441" w:type="dxa"/>
            <w:gridSpan w:val="2"/>
            <w:tcBorders/>
            <w:shd w:fill="CCEEFF" w:val="clear"/>
            <w:vAlign w:val="center"/>
          </w:tcPr>
          <w:p>
            <w:pPr>
              <w:pStyle w:val="TableContents"/>
              <w:spacing w:before="0" w:after="0"/>
              <w:jc w:val="right"/>
              <w:rPr/>
            </w:pPr>
            <w:r>
              <w:rPr/>
              <w:t>—</w:t>
            </w:r>
          </w:p>
        </w:tc>
        <w:tc>
          <w:tcPr>
            <w:tcW w:w="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2022</w:t>
            </w:r>
          </w:p>
        </w:tc>
        <w:tc>
          <w:tcPr>
            <w:tcW w:w="90" w:type="dxa"/>
            <w:tcBorders/>
            <w:shd w:fill="auto" w:val="clear"/>
            <w:vAlign w:val="center"/>
          </w:tcPr>
          <w:p>
            <w:pPr>
              <w:pStyle w:val="TableContents"/>
              <w:spacing w:before="0" w:after="0"/>
              <w:ind w:left="0" w:right="0" w:firstLine="30"/>
              <w:rPr/>
            </w:pPr>
            <w:r>
              <w:rPr/>
              <w:t> </w:t>
            </w:r>
          </w:p>
        </w:tc>
        <w:tc>
          <w:tcPr>
            <w:tcW w:w="24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1,560,000</w:t>
            </w:r>
          </w:p>
        </w:tc>
        <w:tc>
          <w:tcPr>
            <w:tcW w:w="1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2023</w:t>
            </w:r>
          </w:p>
        </w:tc>
        <w:tc>
          <w:tcPr>
            <w:tcW w:w="90" w:type="dxa"/>
            <w:tcBorders/>
            <w:shd w:fill="CCEEFF" w:val="clear"/>
            <w:vAlign w:val="center"/>
          </w:tcPr>
          <w:p>
            <w:pPr>
              <w:pStyle w:val="TableContents"/>
              <w:spacing w:before="0" w:after="0"/>
              <w:ind w:left="0" w:right="0" w:firstLine="30"/>
              <w:rPr/>
            </w:pPr>
            <w:r>
              <w:rPr/>
              <w:t> </w:t>
            </w:r>
          </w:p>
        </w:tc>
        <w:tc>
          <w:tcPr>
            <w:tcW w:w="24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520,480</w:t>
            </w:r>
          </w:p>
        </w:tc>
        <w:tc>
          <w:tcPr>
            <w:tcW w:w="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2024</w:t>
            </w:r>
          </w:p>
        </w:tc>
        <w:tc>
          <w:tcPr>
            <w:tcW w:w="90" w:type="dxa"/>
            <w:tcBorders/>
            <w:shd w:fill="auto" w:val="clear"/>
            <w:vAlign w:val="center"/>
          </w:tcPr>
          <w:p>
            <w:pPr>
              <w:pStyle w:val="TableContents"/>
              <w:spacing w:before="0" w:after="0"/>
              <w:ind w:left="0" w:right="0" w:firstLine="30"/>
              <w:rPr/>
            </w:pPr>
            <w:r>
              <w:rPr/>
              <w:t> </w:t>
            </w:r>
          </w:p>
        </w:tc>
        <w:tc>
          <w:tcPr>
            <w:tcW w:w="244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2,068,000</w:t>
            </w:r>
          </w:p>
        </w:tc>
        <w:tc>
          <w:tcPr>
            <w:tcW w:w="11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minimum repayments</w:t>
            </w:r>
          </w:p>
        </w:tc>
        <w:tc>
          <w:tcPr>
            <w:tcW w:w="90" w:type="dxa"/>
            <w:tcBorders/>
            <w:shd w:fill="CCEEFF" w:val="clear"/>
            <w:vAlign w:val="center"/>
          </w:tcPr>
          <w:p>
            <w:pPr>
              <w:pStyle w:val="TableContents"/>
              <w:spacing w:before="0" w:after="0"/>
              <w:ind w:left="0" w:right="0" w:firstLine="30"/>
              <w:rPr/>
            </w:pPr>
            <w:r>
              <w:rPr/>
              <w:t> </w:t>
            </w:r>
          </w:p>
        </w:tc>
        <w:tc>
          <w:tcPr>
            <w:tcW w:w="31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12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4,148,480</w:t>
            </w:r>
          </w:p>
        </w:tc>
        <w:tc>
          <w:tcPr>
            <w:tcW w:w="11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19</w:t>
      </w:r>
      <w:r>
        <w:br w:type="page"/>
      </w:r>
    </w:p>
    <w:p>
      <w:pPr>
        <w:pStyle w:val="TextBody"/>
        <w:spacing w:lineRule="auto" w:line="288" w:before="0" w:after="0"/>
        <w:jc w:val="left"/>
        <w:rPr/>
      </w:pPr>
      <w:hyperlink w:anchor="s7181E430E8A9506B896277AC8CF177C4">
        <w:r>
          <w:rPr>
            <w:rStyle w:val="InternetLink"/>
            <w:rFonts w:ascii="inherit" w:hAnsi="inherit"/>
            <w:sz w:val="17"/>
          </w:rPr>
          <w:t>Table of Contents</w:t>
        </w:r>
      </w:hyperlink>
    </w:p>
    <w:p>
      <w:pPr>
        <w:pStyle w:val="TextBody"/>
        <w:spacing w:lineRule="auto" w:line="288" w:before="0" w:after="0"/>
        <w:jc w:val="center"/>
        <w:rPr>
          <w:rFonts w:ascii="inherit" w:hAnsi="inherit"/>
          <w:b/>
          <w:sz w:val="18"/>
        </w:rPr>
      </w:pPr>
      <w:r>
        <w:rPr>
          <w:rFonts w:ascii="inherit" w:hAnsi="inherit"/>
          <w:b/>
          <w:sz w:val="18"/>
        </w:rPr>
        <w:t>VICI PROPERTIES INC.</w:t>
      </w:r>
    </w:p>
    <w:p>
      <w:pPr>
        <w:pStyle w:val="TextBody"/>
        <w:spacing w:lineRule="auto" w:line="288" w:before="0" w:after="0"/>
        <w:jc w:val="center"/>
        <w:rPr>
          <w:rFonts w:ascii="inherit" w:hAnsi="inherit"/>
          <w:b/>
          <w:sz w:val="18"/>
        </w:rPr>
      </w:pPr>
      <w:r>
        <w:rPr>
          <w:rFonts w:ascii="inherit" w:hAnsi="inherit"/>
          <w:b/>
          <w:sz w:val="18"/>
        </w:rPr>
        <w:t>NOTES TO CONSOLIDATED FINANCIAL STATEMENTS (Continued)</w:t>
      </w:r>
    </w:p>
    <w:p>
      <w:pPr>
        <w:pStyle w:val="TextBody"/>
        <w:spacing w:lineRule="auto" w:line="288" w:before="0" w:after="0"/>
        <w:jc w:val="center"/>
        <w:rPr>
          <w:rFonts w:ascii="inherit" w:hAnsi="inherit"/>
          <w:b/>
          <w:sz w:val="18"/>
        </w:rPr>
      </w:pPr>
      <w:r>
        <w:rPr>
          <w:rFonts w:ascii="inherit" w:hAnsi="inherit"/>
          <w:b/>
          <w:sz w:val="18"/>
        </w:rPr>
        <w:t>(UNAUDITED)</w:t>
      </w:r>
    </w:p>
    <w:p>
      <w:pPr>
        <w:pStyle w:val="TextBody"/>
        <w:spacing w:before="0" w:after="0"/>
        <w:rPr/>
      </w:pPr>
      <w:r>
        <w:rPr/>
      </w:r>
    </w:p>
    <w:p>
      <w:pPr>
        <w:pStyle w:val="TextBody"/>
        <w:spacing w:lineRule="auto" w:line="288" w:before="0" w:after="0"/>
        <w:jc w:val="both"/>
        <w:rPr>
          <w:rFonts w:ascii="inherit" w:hAnsi="inherit"/>
          <w:i/>
          <w:sz w:val="17"/>
          <w:u w:val="single"/>
        </w:rPr>
      </w:pPr>
      <w:r>
        <w:rPr>
          <w:rFonts w:ascii="inherit" w:hAnsi="inherit"/>
          <w:i/>
          <w:sz w:val="17"/>
          <w:u w:val="single"/>
        </w:rPr>
        <w:t>Senior Secured Credit Facilities</w:t>
      </w:r>
    </w:p>
    <w:p>
      <w:pPr>
        <w:pStyle w:val="TextBody"/>
        <w:spacing w:lineRule="auto" w:line="288" w:before="0" w:after="0"/>
        <w:jc w:val="both"/>
        <w:rPr>
          <w:sz w:val="17"/>
        </w:rPr>
      </w:pPr>
      <w:r>
        <w:rPr>
          <w:rFonts w:ascii="inherit" w:hAnsi="inherit"/>
          <w:sz w:val="17"/>
        </w:rPr>
        <w:t>In December 2017, VICI PropCo entered into a credit agreement (the “Credit Agreement”) comprised of a $2.2 billion</w:t>
      </w:r>
      <w:r>
        <w:rPr>
          <w:sz w:val="17"/>
        </w:rPr>
        <w:t xml:space="preserve"> </w:t>
      </w:r>
      <w:r>
        <w:rPr>
          <w:rFonts w:ascii="inherit" w:hAnsi="inherit"/>
          <w:sz w:val="17"/>
        </w:rPr>
        <w:t>Term Loan B Facility and a $400.0 million</w:t>
      </w:r>
      <w:r>
        <w:rPr>
          <w:sz w:val="17"/>
        </w:rPr>
        <w:t xml:space="preserve"> </w:t>
      </w:r>
      <w:r>
        <w:rPr>
          <w:rFonts w:ascii="inherit" w:hAnsi="inherit"/>
          <w:sz w:val="17"/>
        </w:rPr>
        <w:t>Revolving Credit Facility, $300.0 million</w:t>
      </w:r>
      <w:r>
        <w:rPr>
          <w:sz w:val="17"/>
        </w:rPr>
        <w:t xml:space="preserve"> </w:t>
      </w:r>
      <w:r>
        <w:rPr>
          <w:rFonts w:ascii="inherit" w:hAnsi="inherit"/>
          <w:sz w:val="17"/>
        </w:rPr>
        <w:t xml:space="preserve">of which was borrowed on December 22, 2017 (the Term Loan B Facility and the Revolving Credit Facility are referred to together as the “Senior Secured Credit Facilities”). The Senior Secured Credit Facilities initially bore interest at LIBOR plus 2.25%. Upon our initial public offering, on February 5, 2018, the interest rate was reduced to LIBOR plus 2.00%, as contemplated by the Credit Agreement. </w:t>
      </w:r>
    </w:p>
    <w:p>
      <w:pPr>
        <w:pStyle w:val="TextBody"/>
        <w:spacing w:lineRule="auto" w:line="288" w:before="0" w:after="0"/>
        <w:jc w:val="both"/>
        <w:rPr>
          <w:sz w:val="17"/>
        </w:rPr>
      </w:pPr>
      <w:r>
        <w:rPr>
          <w:rFonts w:ascii="inherit" w:hAnsi="inherit"/>
          <w:sz w:val="17"/>
        </w:rPr>
        <w:t>The Credit Agreement contains customary covenants that, among other things, limit the ability of VICI PropCo and its restricted subsidiaries to: (i) incur additional indebtedness; (ii) merge with a third party or engage in other fundamental changes; (iii) make restricted payments; (iv) enter into, create, incur or assume any liens; (v) make certain sales and other dispositions of assets; (vi) enter into certain transactions with affiliates; (vii) make certain payments on certain other indebtedness; (viii) make certain investments; and (ix) incur restrictions on the ability of restricted subsidiaries to make certain distributions, loans or transfers of assets to VICI PropCo or any restricted subsidiary. These covenants are subject to a number of exceptions and qualifications, including, with respect to the restricted payments covenant, the ability to make unlimited restricted payments to maintain our REIT status and to avoid the payment of federal or state income or excise tax, the ability to make restricted payments in an amount not to exceed 95%</w:t>
      </w:r>
      <w:r>
        <w:rPr>
          <w:sz w:val="17"/>
        </w:rPr>
        <w:t xml:space="preserve"> </w:t>
      </w:r>
      <w:r>
        <w:rPr>
          <w:rFonts w:ascii="inherit" w:hAnsi="inherit"/>
          <w:sz w:val="17"/>
        </w:rPr>
        <w:t>of our Funds from Operations (as defined in the Credit Agreement) subject to no event of default under the Credit Agreement and pro forma compliance with the financial covenant pursuant to the Credit Agreement, and the ability to make additional restricted payments in an aggregate amount not to exceed the greater of 0.6%</w:t>
      </w:r>
      <w:r>
        <w:rPr>
          <w:sz w:val="17"/>
        </w:rPr>
        <w:t xml:space="preserve"> </w:t>
      </w:r>
      <w:r>
        <w:rPr>
          <w:rFonts w:ascii="inherit" w:hAnsi="inherit"/>
          <w:sz w:val="17"/>
        </w:rPr>
        <w:t>of Adjusted Total Assets or $30,000,000. Commencing with the first full fiscal quarter ended after December 22, 2017, if the outstanding amount of the Revolving Credit Facility plus any drawings under letters of credit issued pursuant to the Credit Agreement that have not been reimbursed as of the end of any fiscal quarter exceeds 30%</w:t>
      </w:r>
      <w:r>
        <w:rPr>
          <w:sz w:val="17"/>
        </w:rPr>
        <w:t xml:space="preserve"> </w:t>
      </w:r>
      <w:r>
        <w:rPr>
          <w:rFonts w:ascii="inherit" w:hAnsi="inherit"/>
          <w:sz w:val="17"/>
        </w:rPr>
        <w:t>of the aggregate amount of the Revolving Credit Facility, VICI PropCo and its restricted subsidiaries on a consolidated basis would be required to maintain a maximum Total Net Debt to Adjusted Total Assets Ratio, as defined in the Credit Agreement as of the last day of any applicable fiscal quarter. The restricted net assets of VICI PropCo as of March 31, 2019 were approximately $5.7 billion.</w:t>
      </w:r>
    </w:p>
    <w:p>
      <w:pPr>
        <w:pStyle w:val="TextBody"/>
        <w:spacing w:lineRule="auto" w:line="288" w:before="0" w:after="0"/>
        <w:jc w:val="both"/>
        <w:rPr>
          <w:rFonts w:ascii="inherit" w:hAnsi="inherit"/>
          <w:sz w:val="17"/>
        </w:rPr>
      </w:pPr>
      <w:r>
        <w:rPr>
          <w:rFonts w:ascii="inherit" w:hAnsi="inherit"/>
          <w:sz w:val="17"/>
        </w:rPr>
        <w:t xml:space="preserve">The Senior Secured Credit Facilities are secured by a first priority lien on substantially all of VICI PropCo’s and its existing and subsequently acquired wholly-owned material domestic restricted subsidiaries’ material assets, including mortgages on their respective real estate, subject to customary exclusions. None of VICI nor certain subsidiaries of VICI PropCo, including CPLV Borrower, are subject to the covenants of the Credit Agreement or are guarantors of the Senior Secured Credit Facilities. The Term B Loan Facility may be voluntarily prepaid at VICI PropCo’s option, in whole or in part, at any time, and is subject to mandatory prepayment in the event of receipt by VICI PropCo or any of its restricted subsidiaries of the proceeds from the occurrence of certain events, including asset sales, casualty events and issuance of certain indebtedness. </w:t>
      </w:r>
    </w:p>
    <w:p>
      <w:pPr>
        <w:pStyle w:val="TextBody"/>
        <w:spacing w:lineRule="auto" w:line="288" w:before="0" w:after="0"/>
        <w:jc w:val="both"/>
        <w:rPr>
          <w:sz w:val="17"/>
        </w:rPr>
      </w:pPr>
      <w:r>
        <w:rPr>
          <w:rFonts w:ascii="inherit" w:hAnsi="inherit"/>
          <w:sz w:val="17"/>
        </w:rPr>
        <w:t>In February 2018, we completed an initial public offering resulting in net proceeds of approximately $1.3 billion. We used a portion of those proceeds to pay down the $300.0 million</w:t>
      </w:r>
      <w:r>
        <w:rPr>
          <w:sz w:val="17"/>
        </w:rPr>
        <w:t xml:space="preserve"> </w:t>
      </w:r>
      <w:r>
        <w:rPr>
          <w:rFonts w:ascii="inherit" w:hAnsi="inherit"/>
          <w:sz w:val="17"/>
        </w:rPr>
        <w:t>outstanding on the Revolving Credit Facility and to repay $100.0 million</w:t>
      </w:r>
      <w:r>
        <w:rPr>
          <w:sz w:val="17"/>
        </w:rPr>
        <w:t xml:space="preserve"> </w:t>
      </w:r>
      <w:r>
        <w:rPr>
          <w:rFonts w:ascii="inherit" w:hAnsi="inherit"/>
          <w:sz w:val="17"/>
        </w:rPr>
        <w:t>of the principal amount outstanding on the Term Loan B Facility. Under the Credit Agreement, the Term Loan B Facility is subject to amortization of 1.0%</w:t>
      </w:r>
      <w:r>
        <w:rPr>
          <w:sz w:val="17"/>
        </w:rPr>
        <w:t xml:space="preserve"> </w:t>
      </w:r>
      <w:r>
        <w:rPr>
          <w:rFonts w:ascii="inherit" w:hAnsi="inherit"/>
          <w:sz w:val="17"/>
        </w:rPr>
        <w:t>of principal per annum payable in equal quarterly installments on the last business day of each calendar quarter. However, as a result of prepaying $100.0 million</w:t>
      </w:r>
      <w:r>
        <w:rPr>
          <w:sz w:val="17"/>
        </w:rPr>
        <w:t xml:space="preserve"> </w:t>
      </w:r>
      <w:r>
        <w:rPr>
          <w:rFonts w:ascii="inherit" w:hAnsi="inherit"/>
          <w:sz w:val="17"/>
        </w:rPr>
        <w:t xml:space="preserve">of the Term B Loan Facility in February 2018 the next principal payment due on the Term Loan B Facility is September 2022. </w:t>
      </w:r>
    </w:p>
    <w:p>
      <w:pPr>
        <w:pStyle w:val="TextBody"/>
        <w:spacing w:lineRule="auto" w:line="288" w:before="0" w:after="0"/>
        <w:jc w:val="both"/>
        <w:rPr>
          <w:sz w:val="17"/>
        </w:rPr>
      </w:pPr>
      <w:r>
        <w:rPr>
          <w:rFonts w:ascii="inherit" w:hAnsi="inherit"/>
          <w:sz w:val="17"/>
        </w:rPr>
        <w:t>Refer to Note 9</w:t>
      </w:r>
      <w:r>
        <w:rPr>
          <w:sz w:val="17"/>
        </w:rPr>
        <w:t>—</w:t>
      </w:r>
      <w:r>
        <w:rPr>
          <w:rFonts w:ascii="inherit" w:hAnsi="inherit"/>
          <w:sz w:val="17"/>
        </w:rPr>
        <w:t>Derivatives</w:t>
      </w:r>
      <w:r>
        <w:rPr>
          <w:sz w:val="17"/>
        </w:rPr>
        <w:t xml:space="preserve"> </w:t>
      </w:r>
      <w:r>
        <w:rPr>
          <w:rFonts w:ascii="inherit" w:hAnsi="inherit"/>
          <w:sz w:val="17"/>
        </w:rPr>
        <w:t>for a discussion of our interest rate swap agreements related to the Term Loan B Facility.</w:t>
      </w:r>
    </w:p>
    <w:p>
      <w:pPr>
        <w:pStyle w:val="TextBody"/>
        <w:spacing w:lineRule="auto" w:line="288" w:before="0" w:after="0"/>
        <w:jc w:val="both"/>
        <w:rPr>
          <w:rFonts w:ascii="inherit" w:hAnsi="inherit"/>
          <w:i/>
          <w:sz w:val="17"/>
          <w:u w:val="single"/>
        </w:rPr>
      </w:pPr>
      <w:r>
        <w:rPr>
          <w:rFonts w:ascii="inherit" w:hAnsi="inherit"/>
          <w:i/>
          <w:sz w:val="17"/>
          <w:u w:val="single"/>
        </w:rPr>
        <w:t>CPLV CMBS Debt</w:t>
      </w:r>
    </w:p>
    <w:p>
      <w:pPr>
        <w:pStyle w:val="TextBody"/>
        <w:spacing w:lineRule="auto" w:line="288" w:before="0" w:after="0"/>
        <w:jc w:val="both"/>
        <w:rPr>
          <w:sz w:val="17"/>
        </w:rPr>
      </w:pPr>
      <w:r>
        <w:rPr>
          <w:rFonts w:ascii="inherit" w:hAnsi="inherit"/>
          <w:sz w:val="17"/>
        </w:rPr>
        <w:t>The CPLV CMBS Debt was incurred on October 6, 2017 pursuant to a loan agreement (the “CMBS Loan Agreement”), and is secured by a first priority lien on all of the assets of CPLV Property Owner LLC, as borrower (“CPLV Borrower”), including CPLV Borrower’s fee interest in and to Caesars Palace Las Vegas and interest in the CPLV Lease Agreement and all related agreements, including the Lease Agreements, subject only to certain permitted encumbrances as set forth in the CMBS Loan Agreement. The CPLV CMBS Debt bears interest at 4.36%</w:t>
      </w:r>
      <w:r>
        <w:rPr>
          <w:sz w:val="17"/>
        </w:rPr>
        <w:t xml:space="preserve"> </w:t>
      </w:r>
      <w:r>
        <w:rPr>
          <w:rFonts w:ascii="inherit" w:hAnsi="inherit"/>
          <w:sz w:val="17"/>
        </w:rPr>
        <w:t xml:space="preserve">per annum. The CPLV CMBS Debt is evidenced by one or more promissory notes and secured by, among other things, a mortgage, deed of trust or other similar security instrument that creates a mortgage lien on the fee and/or leasehold interest of the CPLV Borrower. </w:t>
      </w:r>
    </w:p>
    <w:p>
      <w:pPr>
        <w:pStyle w:val="TextBody"/>
        <w:spacing w:lineRule="auto" w:line="288" w:before="0" w:after="0"/>
        <w:jc w:val="both"/>
        <w:rPr>
          <w:rFonts w:ascii="inherit" w:hAnsi="inherit"/>
          <w:sz w:val="17"/>
        </w:rPr>
      </w:pPr>
      <w:r>
        <w:rPr>
          <w:rFonts w:ascii="inherit" w:hAnsi="inherit"/>
          <w:sz w:val="17"/>
        </w:rPr>
        <w:t>The CMBS Loan Agreement contains certain covenants limiting CPLV Borrower’s ability to, among other things: (i) incur additional debt; (ii) enter into certain transactions with its affiliates; (iii) consolidate, merge, sell or otherwise dispose of its assets; and (iv) allow transfers of its direct or indirect equity interests.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20</w:t>
      </w:r>
      <w:r>
        <w:br w:type="page"/>
      </w:r>
    </w:p>
    <w:p>
      <w:pPr>
        <w:pStyle w:val="TextBody"/>
        <w:spacing w:lineRule="auto" w:line="288" w:before="0" w:after="0"/>
        <w:jc w:val="left"/>
        <w:rPr/>
      </w:pPr>
      <w:hyperlink w:anchor="s7181E430E8A9506B896277AC8CF177C4">
        <w:r>
          <w:rPr>
            <w:rStyle w:val="InternetLink"/>
            <w:rFonts w:ascii="inherit" w:hAnsi="inherit"/>
            <w:sz w:val="17"/>
          </w:rPr>
          <w:t>Table of Contents</w:t>
        </w:r>
      </w:hyperlink>
    </w:p>
    <w:p>
      <w:pPr>
        <w:pStyle w:val="TextBody"/>
        <w:spacing w:lineRule="auto" w:line="288" w:before="0" w:after="0"/>
        <w:jc w:val="center"/>
        <w:rPr>
          <w:rFonts w:ascii="inherit" w:hAnsi="inherit"/>
          <w:b/>
          <w:sz w:val="18"/>
        </w:rPr>
      </w:pPr>
      <w:r>
        <w:rPr>
          <w:rFonts w:ascii="inherit" w:hAnsi="inherit"/>
          <w:b/>
          <w:sz w:val="18"/>
        </w:rPr>
        <w:t>VICI PROPERTIES INC.</w:t>
      </w:r>
    </w:p>
    <w:p>
      <w:pPr>
        <w:pStyle w:val="TextBody"/>
        <w:spacing w:lineRule="auto" w:line="288" w:before="0" w:after="0"/>
        <w:jc w:val="center"/>
        <w:rPr>
          <w:rFonts w:ascii="inherit" w:hAnsi="inherit"/>
          <w:b/>
          <w:sz w:val="18"/>
        </w:rPr>
      </w:pPr>
      <w:r>
        <w:rPr>
          <w:rFonts w:ascii="inherit" w:hAnsi="inherit"/>
          <w:b/>
          <w:sz w:val="18"/>
        </w:rPr>
        <w:t>NOTES TO CONSOLIDATED FINANCIAL STATEMENTS (Continued)</w:t>
      </w:r>
    </w:p>
    <w:p>
      <w:pPr>
        <w:pStyle w:val="TextBody"/>
        <w:spacing w:lineRule="auto" w:line="288" w:before="0" w:after="0"/>
        <w:jc w:val="center"/>
        <w:rPr>
          <w:rFonts w:ascii="inherit" w:hAnsi="inherit"/>
          <w:b/>
          <w:sz w:val="18"/>
        </w:rPr>
      </w:pPr>
      <w:r>
        <w:rPr>
          <w:rFonts w:ascii="inherit" w:hAnsi="inherit"/>
          <w:b/>
          <w:sz w:val="18"/>
        </w:rPr>
        <w:t>(UNAUDITED)</w:t>
      </w:r>
    </w:p>
    <w:p>
      <w:pPr>
        <w:pStyle w:val="TextBody"/>
        <w:spacing w:before="0" w:after="0"/>
        <w:rPr/>
      </w:pPr>
      <w:r>
        <w:rPr/>
      </w:r>
    </w:p>
    <w:p>
      <w:pPr>
        <w:pStyle w:val="TextBody"/>
        <w:spacing w:lineRule="auto" w:line="288" w:before="0" w:after="0"/>
        <w:jc w:val="both"/>
        <w:rPr>
          <w:rFonts w:ascii="inherit" w:hAnsi="inherit"/>
          <w:i/>
          <w:sz w:val="17"/>
          <w:u w:val="single"/>
        </w:rPr>
      </w:pPr>
      <w:r>
        <w:rPr>
          <w:rFonts w:ascii="inherit" w:hAnsi="inherit"/>
          <w:i/>
          <w:sz w:val="17"/>
          <w:u w:val="single"/>
        </w:rPr>
        <w:t>Second Lien Notes</w:t>
      </w:r>
    </w:p>
    <w:p>
      <w:pPr>
        <w:pStyle w:val="TextBody"/>
        <w:spacing w:lineRule="auto" w:line="288" w:before="0" w:after="0"/>
        <w:jc w:val="both"/>
        <w:rPr>
          <w:rFonts w:ascii="inherit" w:hAnsi="inherit"/>
          <w:sz w:val="17"/>
        </w:rPr>
      </w:pPr>
      <w:r>
        <w:rPr>
          <w:rFonts w:ascii="inherit" w:hAnsi="inherit"/>
          <w:sz w:val="17"/>
        </w:rPr>
        <w:t>The Second Lien Notes were issued on October 6, 2017, pursuant to an indenture (the “Indenture”) by and among VICI PropCo and its wholly owned subsidiary, VICI FC Inc. (together, the “Issuers”), the subsidiary guarantors party thereto, and UMB Bank National Association, as trustee. The Second Lien Notes are guaranteed by each of the Issuers’ existing and subsequently acquired wholly-owned material domestic restricted subsidiaries and secured by a second priority lien on substantially all of the Issuers’ and such restricted subsidiaries’ material assets, including mortgages on their respective real estate, subject to customary exclusions. None of VICI nor certain subsidiaries of VICI PropCo, including CPLV Borrower, are subject to the covenants of the Indenture or are guarantors of the Second Lien Notes.</w:t>
      </w:r>
    </w:p>
    <w:p>
      <w:pPr>
        <w:pStyle w:val="TextBody"/>
        <w:spacing w:lineRule="auto" w:line="288" w:before="0" w:after="0"/>
        <w:jc w:val="both"/>
        <w:rPr>
          <w:sz w:val="17"/>
        </w:rPr>
      </w:pPr>
      <w:r>
        <w:rPr>
          <w:rFonts w:ascii="inherit" w:hAnsi="inherit"/>
          <w:sz w:val="17"/>
        </w:rPr>
        <w:t>The Indenture contains covenants that limit the Issuers’ and their restricted subsidiaries’ ability to, among other things: (i) incur additional debt; (ii) pay dividends on or make other distributions in respect of their capital stock or make other restricted payments; (iii) make certain investments; (iv) sell certain assets; (v) create or permit to exist dividend and/or payment restrictions affecting their restricted subsidiaries; (vi) create liens on certain assets to secure debt; (vii) consolidate, merge, sell or otherwise dispose of all or substantially all of their assets; (viii) enter into certain transactions with their affiliates; and (ix) designate their subsidiaries as unrestricted subsidiaries. These covenants are subject to a number of exceptions and qualifications, including the ability to declare or pay any cash dividend or make any cash distribution to VICI to the extent necessary for VICI to distribute cash dividends of 100%</w:t>
      </w:r>
      <w:r>
        <w:rPr>
          <w:sz w:val="17"/>
        </w:rPr>
        <w:t xml:space="preserve"> </w:t>
      </w:r>
      <w:r>
        <w:rPr>
          <w:rFonts w:ascii="inherit" w:hAnsi="inherit"/>
          <w:sz w:val="17"/>
        </w:rPr>
        <w:t>of our “real estate investment trust taxable income” within the meaning of Section 857(b)(2) of the Internal Revenue Code of 1986, as amended, the ability to make certain restricted payments not to exceed the amount of our cumulative earnings (calculated pursuant to the Indenture as $30,000,000</w:t>
      </w:r>
      <w:r>
        <w:rPr>
          <w:sz w:val="17"/>
        </w:rPr>
        <w:t xml:space="preserve"> </w:t>
      </w:r>
      <w:r>
        <w:rPr>
          <w:rFonts w:ascii="inherit" w:hAnsi="inherit"/>
          <w:sz w:val="17"/>
        </w:rPr>
        <w:t>plus 95% of our cumulative Adjusted Funds From Operations (as defined in the Indenture) less cumulative distributions, with certain other adjustments), and the ability to make restricted payments in an amount equal to the greater of 0.6%</w:t>
      </w:r>
      <w:r>
        <w:rPr>
          <w:sz w:val="17"/>
        </w:rPr>
        <w:t xml:space="preserve"> </w:t>
      </w:r>
      <w:r>
        <w:rPr>
          <w:rFonts w:ascii="inherit" w:hAnsi="inherit"/>
          <w:sz w:val="17"/>
        </w:rPr>
        <w:t>of Adjusted Total Assets (as defined in the Indenture) or $30,000,000.</w:t>
      </w:r>
    </w:p>
    <w:p>
      <w:pPr>
        <w:pStyle w:val="TextBody"/>
        <w:spacing w:lineRule="auto" w:line="288" w:before="0" w:after="0"/>
        <w:jc w:val="both"/>
        <w:rPr>
          <w:sz w:val="17"/>
        </w:rPr>
      </w:pPr>
      <w:r>
        <w:rPr>
          <w:rFonts w:ascii="inherit" w:hAnsi="inherit"/>
          <w:sz w:val="17"/>
        </w:rPr>
        <w:t>The Second Lien Notes are redeemable at the option of the Issuers, with the option to redeem up to 35%</w:t>
      </w:r>
      <w:r>
        <w:rPr>
          <w:sz w:val="17"/>
        </w:rPr>
        <w:t xml:space="preserve"> </w:t>
      </w:r>
      <w:r>
        <w:rPr>
          <w:rFonts w:ascii="inherit" w:hAnsi="inherit"/>
          <w:sz w:val="17"/>
        </w:rPr>
        <w:t>of the original aggregate principal amount thereof with the net cash proceeds of certain issuances of common or preferred equity by VICI PropCo or VICI, at a price equal to 108%</w:t>
      </w:r>
      <w:r>
        <w:rPr>
          <w:sz w:val="17"/>
        </w:rPr>
        <w:t xml:space="preserve"> </w:t>
      </w:r>
      <w:r>
        <w:rPr>
          <w:rFonts w:ascii="inherit" w:hAnsi="inherit"/>
          <w:sz w:val="17"/>
          <w:highlight w:val="white"/>
        </w:rPr>
        <w:t>of such</w:t>
      </w:r>
      <w:r>
        <w:rPr>
          <w:sz w:val="17"/>
        </w:rPr>
        <w:t xml:space="preserve"> </w:t>
      </w:r>
      <w:r>
        <w:rPr>
          <w:rFonts w:ascii="inherit" w:hAnsi="inherit"/>
          <w:sz w:val="17"/>
        </w:rPr>
        <w:t>principal amount of the Second Lien Notes redeemed. In February 2018, we used a portion of the proceeds from our initial public offering to redeem $268.4 million</w:t>
      </w:r>
      <w:r>
        <w:rPr>
          <w:sz w:val="17"/>
        </w:rPr>
        <w:t xml:space="preserve"> </w:t>
      </w:r>
      <w:r>
        <w:rPr>
          <w:rFonts w:ascii="inherit" w:hAnsi="inherit"/>
          <w:sz w:val="17"/>
        </w:rPr>
        <w:t>of the Second Lien Notes, which represented 35%</w:t>
      </w:r>
      <w:r>
        <w:rPr>
          <w:sz w:val="17"/>
        </w:rPr>
        <w:t xml:space="preserve"> </w:t>
      </w:r>
      <w:r>
        <w:rPr>
          <w:rFonts w:ascii="inherit" w:hAnsi="inherit"/>
          <w:sz w:val="17"/>
        </w:rPr>
        <w:t>of the original aggregate principal amount, at a redemption price of 108%</w:t>
      </w:r>
      <w:r>
        <w:rPr>
          <w:sz w:val="17"/>
        </w:rPr>
        <w:t xml:space="preserve"> </w:t>
      </w:r>
      <w:r>
        <w:rPr>
          <w:rFonts w:ascii="inherit" w:hAnsi="inherit"/>
          <w:sz w:val="17"/>
        </w:rPr>
        <w:t xml:space="preserve">plus accrued and unpaid interest to the date of redemption. Due to the partial redemption of the Second Lien Notes, we recognized a loss on extinguishment of debt of </w:t>
      </w:r>
      <w:r>
        <w:rPr>
          <w:rFonts w:ascii="Times New Roman" w:hAnsi="Times New Roman"/>
          <w:color w:val="000000"/>
          <w:sz w:val="17"/>
        </w:rPr>
        <w:t>$23.0 million</w:t>
      </w:r>
      <w:r>
        <w:rPr>
          <w:sz w:val="17"/>
        </w:rPr>
        <w:t xml:space="preserve"> </w:t>
      </w:r>
      <w:r>
        <w:rPr>
          <w:rFonts w:ascii="inherit" w:hAnsi="inherit"/>
          <w:sz w:val="17"/>
        </w:rPr>
        <w:t xml:space="preserve">during the three months ended March 31, 2018, the majority of which relates to the premium paid on the redemption price. </w:t>
      </w:r>
    </w:p>
    <w:p>
      <w:pPr>
        <w:pStyle w:val="TextBody"/>
        <w:spacing w:lineRule="auto" w:line="288" w:before="0" w:after="0"/>
        <w:jc w:val="both"/>
        <w:rPr>
          <w:rFonts w:ascii="inherit" w:hAnsi="inherit"/>
          <w:i/>
          <w:sz w:val="17"/>
          <w:u w:val="single"/>
        </w:rPr>
      </w:pPr>
      <w:r>
        <w:rPr>
          <w:rFonts w:ascii="inherit" w:hAnsi="inherit"/>
          <w:i/>
          <w:sz w:val="17"/>
          <w:u w:val="single"/>
        </w:rPr>
        <w:t>Financial Covenants</w:t>
      </w:r>
    </w:p>
    <w:p>
      <w:pPr>
        <w:pStyle w:val="TextBody"/>
        <w:spacing w:lineRule="auto" w:line="288" w:before="0" w:after="0"/>
        <w:jc w:val="both"/>
        <w:rPr>
          <w:rFonts w:ascii="inherit" w:hAnsi="inherit"/>
          <w:sz w:val="17"/>
        </w:rPr>
      </w:pPr>
      <w:r>
        <w:rPr>
          <w:rFonts w:ascii="inherit" w:hAnsi="inherit"/>
          <w:sz w:val="17"/>
        </w:rPr>
        <w:t>As described above, our debt obligations are subject to certain customary financial and protective covenants that restrict VICI PropCo and its subsidiaries’ ability to incur additional debt, sell certain asset and restrict certain payments, among other things. These covenants are subject to a number of exceptions and qualifications, including the ability to make restricted payments to maintain our REIT status. At March 31, 2019, we are in compliance with all required covenants under our debt obligations.</w:t>
      </w:r>
    </w:p>
    <w:p>
      <w:pPr>
        <w:pStyle w:val="TextBody"/>
        <w:spacing w:lineRule="auto" w:line="288" w:before="0" w:after="0"/>
        <w:jc w:val="both"/>
        <w:rPr>
          <w:sz w:val="20"/>
        </w:rPr>
      </w:pPr>
      <w:bookmarkStart w:id="20" w:name="sC803986327D45A5ABDAD1ECFF4942E31"/>
      <w:bookmarkEnd w:id="20"/>
      <w:r>
        <w:rPr>
          <w:rFonts w:ascii="inherit" w:hAnsi="inherit"/>
          <w:b/>
          <w:sz w:val="20"/>
        </w:rPr>
        <w:t>Note 9</w:t>
      </w:r>
      <w:r>
        <w:rPr>
          <w:sz w:val="20"/>
        </w:rPr>
        <w:t xml:space="preserve"> — </w:t>
      </w:r>
      <w:r>
        <w:rPr>
          <w:rFonts w:ascii="inherit" w:hAnsi="inherit"/>
          <w:b/>
          <w:sz w:val="20"/>
        </w:rPr>
        <w:t>Derivatives</w:t>
      </w:r>
      <w:r>
        <w:rPr>
          <w:sz w:val="20"/>
        </w:rPr>
        <w:t xml:space="preserve"> </w:t>
      </w:r>
    </w:p>
    <w:p>
      <w:pPr>
        <w:pStyle w:val="TextBody"/>
        <w:spacing w:lineRule="auto" w:line="288" w:before="0" w:after="0"/>
        <w:jc w:val="both"/>
        <w:rPr>
          <w:sz w:val="17"/>
        </w:rPr>
      </w:pPr>
      <w:r>
        <w:rPr>
          <w:rFonts w:ascii="inherit" w:hAnsi="inherit"/>
          <w:sz w:val="17"/>
        </w:rPr>
        <w:t>On April 24, 2018, we entered into four</w:t>
      </w:r>
      <w:r>
        <w:rPr>
          <w:sz w:val="17"/>
        </w:rPr>
        <w:t xml:space="preserve"> </w:t>
      </w:r>
      <w:r>
        <w:rPr>
          <w:rFonts w:ascii="inherit" w:hAnsi="inherit"/>
          <w:sz w:val="17"/>
        </w:rPr>
        <w:t>interest rate swap agreements with third-party financial institutions having an aggregate notional amount of $1.5 billion. On January 3, 2019, we entered into two</w:t>
      </w:r>
      <w:r>
        <w:rPr>
          <w:sz w:val="17"/>
        </w:rPr>
        <w:t xml:space="preserve"> </w:t>
      </w:r>
      <w:r>
        <w:rPr>
          <w:rFonts w:ascii="inherit" w:hAnsi="inherit"/>
          <w:sz w:val="17"/>
        </w:rPr>
        <w:t>additional interest rate swap agreements with third-party financial institutions having an aggregate notional amount of $500.0 million. The interest rate swap transactions are designated as cash flow hedges that effectively fix the LIBOR component of the interest rate on a portion of the outstanding debt under the Term Loan B Facility at 2.8297%</w:t>
      </w:r>
      <w:r>
        <w:rPr>
          <w:sz w:val="17"/>
        </w:rPr>
        <w:t xml:space="preserve"> </w:t>
      </w:r>
      <w:r>
        <w:rPr>
          <w:rFonts w:ascii="inherit" w:hAnsi="inherit"/>
          <w:sz w:val="17"/>
        </w:rPr>
        <w:t>and 2.3802%, respectively. Subsequent to the effectiveness and for the duration of the interest rate swap transactions, the Company is only subject to interest rate risk on $100.0 million</w:t>
      </w:r>
      <w:r>
        <w:rPr>
          <w:sz w:val="17"/>
        </w:rPr>
        <w:t xml:space="preserve"> </w:t>
      </w:r>
      <w:r>
        <w:rPr>
          <w:rFonts w:ascii="inherit" w:hAnsi="inherit"/>
          <w:sz w:val="17"/>
        </w:rPr>
        <w:t>of variable rate debt.</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21</w:t>
      </w:r>
      <w:r>
        <w:br w:type="page"/>
      </w:r>
    </w:p>
    <w:p>
      <w:pPr>
        <w:pStyle w:val="TextBody"/>
        <w:spacing w:lineRule="auto" w:line="288" w:before="0" w:after="0"/>
        <w:jc w:val="left"/>
        <w:rPr/>
      </w:pPr>
      <w:hyperlink w:anchor="s7181E430E8A9506B896277AC8CF177C4">
        <w:r>
          <w:rPr>
            <w:rStyle w:val="InternetLink"/>
            <w:rFonts w:ascii="inherit" w:hAnsi="inherit"/>
            <w:sz w:val="17"/>
          </w:rPr>
          <w:t>Table of Contents</w:t>
        </w:r>
      </w:hyperlink>
    </w:p>
    <w:p>
      <w:pPr>
        <w:pStyle w:val="TextBody"/>
        <w:spacing w:lineRule="auto" w:line="288" w:before="0" w:after="0"/>
        <w:jc w:val="center"/>
        <w:rPr>
          <w:rFonts w:ascii="inherit" w:hAnsi="inherit"/>
          <w:b/>
          <w:sz w:val="18"/>
        </w:rPr>
      </w:pPr>
      <w:r>
        <w:rPr>
          <w:rFonts w:ascii="inherit" w:hAnsi="inherit"/>
          <w:b/>
          <w:sz w:val="18"/>
        </w:rPr>
        <w:t>VICI PROPERTIES INC.</w:t>
      </w:r>
    </w:p>
    <w:p>
      <w:pPr>
        <w:pStyle w:val="TextBody"/>
        <w:spacing w:lineRule="auto" w:line="288" w:before="0" w:after="0"/>
        <w:jc w:val="center"/>
        <w:rPr>
          <w:rFonts w:ascii="inherit" w:hAnsi="inherit"/>
          <w:b/>
          <w:sz w:val="18"/>
        </w:rPr>
      </w:pPr>
      <w:r>
        <w:rPr>
          <w:rFonts w:ascii="inherit" w:hAnsi="inherit"/>
          <w:b/>
          <w:sz w:val="18"/>
        </w:rPr>
        <w:t>NOTES TO CONSOLIDATED FINANCIAL STATEMENTS (Continued)</w:t>
      </w:r>
    </w:p>
    <w:p>
      <w:pPr>
        <w:pStyle w:val="TextBody"/>
        <w:spacing w:lineRule="auto" w:line="288" w:before="0" w:after="0"/>
        <w:jc w:val="center"/>
        <w:rPr>
          <w:rFonts w:ascii="inherit" w:hAnsi="inherit"/>
          <w:b/>
          <w:sz w:val="18"/>
        </w:rPr>
      </w:pPr>
      <w:r>
        <w:rPr>
          <w:rFonts w:ascii="inherit" w:hAnsi="inherit"/>
          <w:b/>
          <w:sz w:val="18"/>
        </w:rPr>
        <w:t>(UNAUDITED)</w:t>
      </w:r>
    </w:p>
    <w:p>
      <w:pPr>
        <w:pStyle w:val="TextBody"/>
        <w:spacing w:before="0" w:after="0"/>
        <w:rPr/>
      </w:pPr>
      <w:r>
        <w:rPr/>
      </w:r>
    </w:p>
    <w:p>
      <w:pPr>
        <w:pStyle w:val="TextBody"/>
        <w:spacing w:lineRule="auto" w:line="288" w:before="0" w:after="0"/>
        <w:jc w:val="both"/>
        <w:rPr>
          <w:sz w:val="17"/>
        </w:rPr>
      </w:pPr>
      <w:r>
        <w:rPr>
          <w:rFonts w:ascii="inherit" w:hAnsi="inherit"/>
          <w:sz w:val="17"/>
        </w:rPr>
        <w:t>The following tables detail our outstanding interest rate derivatives that were designated as cash flow hedges of interest rate risk as of March 31, 2019</w:t>
      </w:r>
      <w:r>
        <w:rPr>
          <w:sz w:val="17"/>
        </w:rPr>
        <w:t xml:space="preserve"> </w:t>
      </w:r>
      <w:r>
        <w:rPr>
          <w:rFonts w:ascii="inherit" w:hAnsi="inherit"/>
          <w:sz w:val="17"/>
        </w:rPr>
        <w:t>and December 31, 2018:</w:t>
      </w:r>
    </w:p>
    <w:tbl>
      <w:tblPr>
        <w:tblW w:w="8505" w:type="dxa"/>
        <w:jc w:val="center"/>
        <w:tblInd w:w="0" w:type="dxa"/>
        <w:tblCellMar>
          <w:top w:w="0" w:type="dxa"/>
          <w:left w:w="0" w:type="dxa"/>
          <w:bottom w:w="0" w:type="dxa"/>
          <w:right w:w="0" w:type="dxa"/>
        </w:tblCellMar>
      </w:tblPr>
      <w:tblGrid>
        <w:gridCol w:w="1730"/>
        <w:gridCol w:w="90"/>
        <w:gridCol w:w="2000"/>
        <w:gridCol w:w="90"/>
        <w:gridCol w:w="950"/>
        <w:gridCol w:w="90"/>
        <w:gridCol w:w="980"/>
        <w:gridCol w:w="90"/>
        <w:gridCol w:w="950"/>
        <w:gridCol w:w="90"/>
        <w:gridCol w:w="1445"/>
      </w:tblGrid>
      <w:tr>
        <w:trPr/>
        <w:tc>
          <w:tcPr>
            <w:tcW w:w="8505" w:type="dxa"/>
            <w:gridSpan w:val="11"/>
            <w:tcBorders/>
            <w:shd w:fill="auto" w:val="clear"/>
            <w:vAlign w:val="center"/>
          </w:tcPr>
          <w:p>
            <w:pPr>
              <w:pStyle w:val="TableContents"/>
              <w:spacing w:before="0" w:after="283"/>
              <w:rPr>
                <w:sz w:val="4"/>
                <w:szCs w:val="4"/>
              </w:rPr>
            </w:pPr>
            <w:r>
              <w:rPr>
                <w:sz w:val="4"/>
                <w:szCs w:val="4"/>
              </w:rPr>
            </w:r>
          </w:p>
        </w:tc>
      </w:tr>
      <w:tr>
        <w:trPr/>
        <w:tc>
          <w:tcPr>
            <w:tcW w:w="17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0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30" w:type="dxa"/>
            <w:tcBorders/>
            <w:shd w:fill="auto" w:val="clear"/>
            <w:vAlign w:val="center"/>
          </w:tcPr>
          <w:p>
            <w:pPr>
              <w:pStyle w:val="TableContents"/>
              <w:spacing w:before="0" w:after="0"/>
              <w:ind w:left="0" w:right="0" w:firstLine="30"/>
              <w:jc w:val="left"/>
              <w:rPr>
                <w:rFonts w:ascii="inherit" w:hAnsi="inherit"/>
                <w:b/>
                <w:i/>
                <w:sz w:val="13"/>
                <w:u w:val="single"/>
              </w:rPr>
            </w:pPr>
            <w:r>
              <w:rPr>
                <w:rFonts w:ascii="inherit" w:hAnsi="inherit"/>
                <w:b/>
                <w:i/>
                <w:sz w:val="13"/>
                <w:u w:val="single"/>
              </w:rPr>
              <w:t>($ in thousands)</w:t>
            </w:r>
          </w:p>
        </w:tc>
        <w:tc>
          <w:tcPr>
            <w:tcW w:w="90" w:type="dxa"/>
            <w:tcBorders/>
            <w:shd w:fill="auto" w:val="clear"/>
            <w:vAlign w:val="center"/>
          </w:tcPr>
          <w:p>
            <w:pPr>
              <w:pStyle w:val="TableContents"/>
              <w:spacing w:before="0" w:after="0"/>
              <w:ind w:left="0" w:right="0" w:firstLine="30"/>
              <w:rPr/>
            </w:pPr>
            <w:r>
              <w:rPr/>
              <w:t> </w:t>
            </w:r>
          </w:p>
        </w:tc>
        <w:tc>
          <w:tcPr>
            <w:tcW w:w="6685" w:type="dxa"/>
            <w:gridSpan w:val="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March 31, 2019</w:t>
            </w:r>
          </w:p>
        </w:tc>
      </w:tr>
      <w:tr>
        <w:trPr/>
        <w:tc>
          <w:tcPr>
            <w:tcW w:w="173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5"/>
              </w:rPr>
            </w:pPr>
            <w:r>
              <w:rPr>
                <w:rFonts w:ascii="inherit" w:hAnsi="inherit"/>
                <w:b/>
                <w:sz w:val="15"/>
              </w:rPr>
              <w:t>Instrument</w:t>
            </w:r>
          </w:p>
        </w:tc>
        <w:tc>
          <w:tcPr>
            <w:tcW w:w="90" w:type="dxa"/>
            <w:tcBorders/>
            <w:shd w:fill="auto" w:val="clear"/>
            <w:vAlign w:val="center"/>
          </w:tcPr>
          <w:p>
            <w:pPr>
              <w:pStyle w:val="TableContents"/>
              <w:spacing w:before="0" w:after="0"/>
              <w:ind w:left="0" w:right="0" w:firstLine="30"/>
              <w:rPr/>
            </w:pPr>
            <w:r>
              <w:rPr/>
              <w:t> </w:t>
            </w:r>
          </w:p>
        </w:tc>
        <w:tc>
          <w:tcPr>
            <w:tcW w:w="200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Number of Instruments</w:t>
            </w:r>
          </w:p>
        </w:tc>
        <w:tc>
          <w:tcPr>
            <w:tcW w:w="90" w:type="dxa"/>
            <w:tcBorders/>
            <w:shd w:fill="auto" w:val="clear"/>
            <w:vAlign w:val="center"/>
          </w:tcPr>
          <w:p>
            <w:pPr>
              <w:pStyle w:val="TableContents"/>
              <w:spacing w:before="0" w:after="0"/>
              <w:ind w:left="0" w:right="0" w:firstLine="30"/>
              <w:rPr/>
            </w:pPr>
            <w:r>
              <w:rPr/>
              <w:t> </w:t>
            </w:r>
          </w:p>
        </w:tc>
        <w:tc>
          <w:tcPr>
            <w:tcW w:w="95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Fixed Rate</w:t>
            </w:r>
          </w:p>
        </w:tc>
        <w:tc>
          <w:tcPr>
            <w:tcW w:w="90" w:type="dxa"/>
            <w:tcBorders/>
            <w:shd w:fill="auto" w:val="clear"/>
            <w:vAlign w:val="center"/>
          </w:tcPr>
          <w:p>
            <w:pPr>
              <w:pStyle w:val="TableContents"/>
              <w:spacing w:before="0" w:after="0"/>
              <w:ind w:left="0" w:right="0" w:firstLine="30"/>
              <w:rPr/>
            </w:pPr>
            <w:r>
              <w:rPr/>
              <w:t> </w:t>
            </w:r>
          </w:p>
        </w:tc>
        <w:tc>
          <w:tcPr>
            <w:tcW w:w="98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Notional</w:t>
            </w:r>
          </w:p>
        </w:tc>
        <w:tc>
          <w:tcPr>
            <w:tcW w:w="90" w:type="dxa"/>
            <w:tcBorders/>
            <w:shd w:fill="auto" w:val="clear"/>
            <w:vAlign w:val="center"/>
          </w:tcPr>
          <w:p>
            <w:pPr>
              <w:pStyle w:val="TableContents"/>
              <w:spacing w:before="0" w:after="0"/>
              <w:ind w:left="0" w:right="0" w:firstLine="30"/>
              <w:rPr/>
            </w:pPr>
            <w:r>
              <w:rPr/>
              <w:t> </w:t>
            </w:r>
          </w:p>
        </w:tc>
        <w:tc>
          <w:tcPr>
            <w:tcW w:w="95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Index</w:t>
            </w:r>
          </w:p>
        </w:tc>
        <w:tc>
          <w:tcPr>
            <w:tcW w:w="90" w:type="dxa"/>
            <w:tcBorders/>
            <w:shd w:fill="auto" w:val="clear"/>
            <w:vAlign w:val="center"/>
          </w:tcPr>
          <w:p>
            <w:pPr>
              <w:pStyle w:val="TableContents"/>
              <w:spacing w:before="0" w:after="0"/>
              <w:ind w:left="0" w:right="0" w:firstLine="30"/>
              <w:rPr/>
            </w:pPr>
            <w:r>
              <w:rPr/>
              <w:t> </w:t>
            </w:r>
          </w:p>
        </w:tc>
        <w:tc>
          <w:tcPr>
            <w:tcW w:w="144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Maturity</w:t>
            </w:r>
          </w:p>
        </w:tc>
      </w:tr>
      <w:tr>
        <w:trPr/>
        <w:tc>
          <w:tcPr>
            <w:tcW w:w="17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Rate Swaps</w:t>
            </w:r>
          </w:p>
        </w:tc>
        <w:tc>
          <w:tcPr>
            <w:tcW w:w="90" w:type="dxa"/>
            <w:tcBorders/>
            <w:shd w:fill="CCEEFF" w:val="clear"/>
            <w:vAlign w:val="center"/>
          </w:tcPr>
          <w:p>
            <w:pPr>
              <w:pStyle w:val="TableContents"/>
              <w:spacing w:before="0" w:after="0"/>
              <w:ind w:left="0" w:right="0" w:firstLine="30"/>
              <w:rPr/>
            </w:pPr>
            <w:r>
              <w:rPr/>
              <w:t> </w:t>
            </w:r>
          </w:p>
        </w:tc>
        <w:tc>
          <w:tcPr>
            <w:tcW w:w="2000" w:type="dxa"/>
            <w:tcBorders>
              <w:top w:val="single" w:sz="2" w:space="0" w:color="000000"/>
            </w:tcBorders>
            <w:shd w:fill="CCEEFF"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4</w:t>
            </w:r>
          </w:p>
        </w:tc>
        <w:tc>
          <w:tcPr>
            <w:tcW w:w="90" w:type="dxa"/>
            <w:tcBorders/>
            <w:shd w:fill="CCEEFF" w:val="clear"/>
            <w:vAlign w:val="center"/>
          </w:tcPr>
          <w:p>
            <w:pPr>
              <w:pStyle w:val="TableContents"/>
              <w:spacing w:before="0" w:after="0"/>
              <w:ind w:left="0" w:right="0" w:firstLine="30"/>
              <w:rPr/>
            </w:pPr>
            <w:r>
              <w:rPr/>
              <w:t> </w:t>
            </w:r>
          </w:p>
        </w:tc>
        <w:tc>
          <w:tcPr>
            <w:tcW w:w="950" w:type="dxa"/>
            <w:tcBorders>
              <w:top w:val="single" w:sz="2" w:space="0" w:color="000000"/>
            </w:tcBorders>
            <w:shd w:fill="CCEEFF"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2.8297%</w:t>
            </w:r>
          </w:p>
        </w:tc>
        <w:tc>
          <w:tcPr>
            <w:tcW w:w="90" w:type="dxa"/>
            <w:tcBorders/>
            <w:shd w:fill="CCEEFF" w:val="clear"/>
            <w:vAlign w:val="center"/>
          </w:tcPr>
          <w:p>
            <w:pPr>
              <w:pStyle w:val="TableContents"/>
              <w:spacing w:before="0" w:after="0"/>
              <w:ind w:left="0" w:right="0" w:firstLine="30"/>
              <w:rPr/>
            </w:pPr>
            <w:r>
              <w:rPr/>
              <w:t> </w:t>
            </w:r>
          </w:p>
        </w:tc>
        <w:tc>
          <w:tcPr>
            <w:tcW w:w="980" w:type="dxa"/>
            <w:tcBorders>
              <w:top w:val="single" w:sz="2" w:space="0" w:color="000000"/>
            </w:tcBorders>
            <w:shd w:fill="CCEEFF"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$1,500,000</w:t>
            </w:r>
          </w:p>
        </w:tc>
        <w:tc>
          <w:tcPr>
            <w:tcW w:w="90" w:type="dxa"/>
            <w:tcBorders/>
            <w:shd w:fill="CCEEFF" w:val="clear"/>
            <w:vAlign w:val="center"/>
          </w:tcPr>
          <w:p>
            <w:pPr>
              <w:pStyle w:val="TableContents"/>
              <w:spacing w:before="0" w:after="0"/>
              <w:ind w:left="0" w:right="0" w:firstLine="30"/>
              <w:rPr/>
            </w:pPr>
            <w:r>
              <w:rPr/>
              <w:t> </w:t>
            </w:r>
          </w:p>
        </w:tc>
        <w:tc>
          <w:tcPr>
            <w:tcW w:w="950" w:type="dxa"/>
            <w:tcBorders>
              <w:top w:val="single" w:sz="2" w:space="0" w:color="000000"/>
            </w:tcBorders>
            <w:shd w:fill="CCEEFF"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USD LIBOR</w:t>
            </w:r>
          </w:p>
        </w:tc>
        <w:tc>
          <w:tcPr>
            <w:tcW w:w="90" w:type="dxa"/>
            <w:tcBorders/>
            <w:shd w:fill="CCEEFF" w:val="clear"/>
            <w:vAlign w:val="center"/>
          </w:tcPr>
          <w:p>
            <w:pPr>
              <w:pStyle w:val="TableContents"/>
              <w:spacing w:before="0" w:after="0"/>
              <w:ind w:left="0" w:right="0" w:firstLine="30"/>
              <w:rPr/>
            </w:pPr>
            <w:r>
              <w:rPr/>
              <w:t> </w:t>
            </w:r>
          </w:p>
        </w:tc>
        <w:tc>
          <w:tcPr>
            <w:tcW w:w="1445" w:type="dxa"/>
            <w:tcBorders>
              <w:top w:val="single" w:sz="2" w:space="0" w:color="000000"/>
            </w:tcBorders>
            <w:shd w:fill="CCEEFF"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April 22, 2023</w:t>
            </w:r>
          </w:p>
        </w:tc>
      </w:tr>
      <w:tr>
        <w:trPr/>
        <w:tc>
          <w:tcPr>
            <w:tcW w:w="17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Rate Swaps</w:t>
            </w:r>
          </w:p>
        </w:tc>
        <w:tc>
          <w:tcPr>
            <w:tcW w:w="90" w:type="dxa"/>
            <w:tcBorders/>
            <w:shd w:fill="auto" w:val="clear"/>
            <w:vAlign w:val="center"/>
          </w:tcPr>
          <w:p>
            <w:pPr>
              <w:pStyle w:val="TableContents"/>
              <w:spacing w:before="0" w:after="0"/>
              <w:ind w:left="0" w:right="0" w:firstLine="30"/>
              <w:rPr/>
            </w:pPr>
            <w:r>
              <w:rPr/>
              <w:t> </w:t>
            </w:r>
          </w:p>
        </w:tc>
        <w:tc>
          <w:tcPr>
            <w:tcW w:w="200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w:t>
            </w:r>
          </w:p>
        </w:tc>
        <w:tc>
          <w:tcPr>
            <w:tcW w:w="90" w:type="dxa"/>
            <w:tcBorders/>
            <w:shd w:fill="auto" w:val="clear"/>
            <w:vAlign w:val="center"/>
          </w:tcPr>
          <w:p>
            <w:pPr>
              <w:pStyle w:val="TableContents"/>
              <w:spacing w:before="0" w:after="0"/>
              <w:ind w:left="0" w:right="0" w:firstLine="30"/>
              <w:rPr/>
            </w:pPr>
            <w:r>
              <w:rPr/>
              <w:t> </w:t>
            </w:r>
          </w:p>
        </w:tc>
        <w:tc>
          <w:tcPr>
            <w:tcW w:w="95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2.3802%</w:t>
            </w:r>
          </w:p>
        </w:tc>
        <w:tc>
          <w:tcPr>
            <w:tcW w:w="90" w:type="dxa"/>
            <w:tcBorders/>
            <w:shd w:fill="auto" w:val="clear"/>
            <w:vAlign w:val="center"/>
          </w:tcPr>
          <w:p>
            <w:pPr>
              <w:pStyle w:val="TableContents"/>
              <w:spacing w:before="0" w:after="0"/>
              <w:ind w:left="0" w:right="0" w:firstLine="30"/>
              <w:rPr/>
            </w:pPr>
            <w:r>
              <w:rPr/>
              <w:t> </w:t>
            </w:r>
          </w:p>
        </w:tc>
        <w:tc>
          <w:tcPr>
            <w:tcW w:w="98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$500,000</w:t>
            </w:r>
          </w:p>
        </w:tc>
        <w:tc>
          <w:tcPr>
            <w:tcW w:w="90" w:type="dxa"/>
            <w:tcBorders/>
            <w:shd w:fill="auto" w:val="clear"/>
            <w:vAlign w:val="center"/>
          </w:tcPr>
          <w:p>
            <w:pPr>
              <w:pStyle w:val="TableContents"/>
              <w:spacing w:before="0" w:after="0"/>
              <w:ind w:left="0" w:right="0" w:firstLine="30"/>
              <w:rPr/>
            </w:pPr>
            <w:r>
              <w:rPr/>
              <w:t> </w:t>
            </w:r>
          </w:p>
        </w:tc>
        <w:tc>
          <w:tcPr>
            <w:tcW w:w="95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USD LIBOR</w:t>
            </w:r>
          </w:p>
        </w:tc>
        <w:tc>
          <w:tcPr>
            <w:tcW w:w="90" w:type="dxa"/>
            <w:tcBorders/>
            <w:shd w:fill="auto" w:val="clear"/>
            <w:vAlign w:val="center"/>
          </w:tcPr>
          <w:p>
            <w:pPr>
              <w:pStyle w:val="TableContents"/>
              <w:spacing w:before="0" w:after="0"/>
              <w:ind w:left="0" w:right="0" w:firstLine="30"/>
              <w:rPr/>
            </w:pPr>
            <w:r>
              <w:rPr/>
              <w:t> </w:t>
            </w:r>
          </w:p>
        </w:tc>
        <w:tc>
          <w:tcPr>
            <w:tcW w:w="1445" w:type="dxa"/>
            <w:tcBorders/>
            <w:shd w:fill="auto" w:val="clear"/>
            <w:vAlign w:val="center"/>
          </w:tcPr>
          <w:p>
            <w:pPr>
              <w:pStyle w:val="TableContents"/>
              <w:spacing w:before="0" w:after="0"/>
              <w:jc w:val="center"/>
              <w:rPr>
                <w:rFonts w:ascii="inherit" w:hAnsi="inherit"/>
                <w:sz w:val="17"/>
              </w:rPr>
            </w:pPr>
            <w:r>
              <w:rPr>
                <w:rFonts w:ascii="inherit" w:hAnsi="inherit"/>
                <w:sz w:val="17"/>
              </w:rPr>
              <w:t>January 22, 2021</w:t>
            </w:r>
          </w:p>
        </w:tc>
      </w:tr>
    </w:tbl>
    <w:p>
      <w:pPr>
        <w:pStyle w:val="TextBody"/>
        <w:spacing w:lineRule="auto" w:line="288" w:before="0" w:after="0"/>
        <w:jc w:val="center"/>
        <w:rPr>
          <w:rFonts w:ascii="inherit" w:hAnsi="inherit"/>
          <w:sz w:val="17"/>
        </w:rPr>
      </w:pPr>
      <w:r>
        <w:rPr>
          <w:rFonts w:ascii="inherit" w:hAnsi="inherit"/>
          <w:sz w:val="17"/>
        </w:rPr>
      </w:r>
    </w:p>
    <w:tbl>
      <w:tblPr>
        <w:tblW w:w="8250" w:type="dxa"/>
        <w:jc w:val="center"/>
        <w:tblInd w:w="0" w:type="dxa"/>
        <w:tblCellMar>
          <w:top w:w="0" w:type="dxa"/>
          <w:left w:w="0" w:type="dxa"/>
          <w:bottom w:w="0" w:type="dxa"/>
          <w:right w:w="0" w:type="dxa"/>
        </w:tblCellMar>
      </w:tblPr>
      <w:tblGrid>
        <w:gridCol w:w="1730"/>
        <w:gridCol w:w="90"/>
        <w:gridCol w:w="2000"/>
        <w:gridCol w:w="90"/>
        <w:gridCol w:w="950"/>
        <w:gridCol w:w="90"/>
        <w:gridCol w:w="980"/>
        <w:gridCol w:w="90"/>
        <w:gridCol w:w="950"/>
        <w:gridCol w:w="90"/>
        <w:gridCol w:w="1190"/>
      </w:tblGrid>
      <w:tr>
        <w:trPr/>
        <w:tc>
          <w:tcPr>
            <w:tcW w:w="8250" w:type="dxa"/>
            <w:gridSpan w:val="11"/>
            <w:tcBorders/>
            <w:shd w:fill="auto" w:val="clear"/>
            <w:vAlign w:val="center"/>
          </w:tcPr>
          <w:p>
            <w:pPr>
              <w:pStyle w:val="TableContents"/>
              <w:spacing w:before="0" w:after="283"/>
              <w:rPr>
                <w:sz w:val="4"/>
                <w:szCs w:val="4"/>
              </w:rPr>
            </w:pPr>
            <w:r>
              <w:rPr>
                <w:sz w:val="4"/>
                <w:szCs w:val="4"/>
              </w:rPr>
            </w:r>
          </w:p>
        </w:tc>
      </w:tr>
      <w:tr>
        <w:trPr/>
        <w:tc>
          <w:tcPr>
            <w:tcW w:w="17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0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30" w:type="dxa"/>
            <w:tcBorders/>
            <w:shd w:fill="auto" w:val="clear"/>
            <w:vAlign w:val="center"/>
          </w:tcPr>
          <w:p>
            <w:pPr>
              <w:pStyle w:val="TableContents"/>
              <w:spacing w:before="0" w:after="0"/>
              <w:ind w:left="0" w:right="0" w:firstLine="30"/>
              <w:jc w:val="left"/>
              <w:rPr>
                <w:rFonts w:ascii="inherit" w:hAnsi="inherit"/>
                <w:b/>
                <w:i/>
                <w:sz w:val="13"/>
                <w:u w:val="single"/>
              </w:rPr>
            </w:pPr>
            <w:r>
              <w:rPr>
                <w:rFonts w:ascii="inherit" w:hAnsi="inherit"/>
                <w:b/>
                <w:i/>
                <w:sz w:val="13"/>
                <w:u w:val="single"/>
              </w:rPr>
              <w:t>($ in thousands)</w:t>
            </w:r>
          </w:p>
        </w:tc>
        <w:tc>
          <w:tcPr>
            <w:tcW w:w="90" w:type="dxa"/>
            <w:tcBorders/>
            <w:shd w:fill="auto" w:val="clear"/>
            <w:vAlign w:val="center"/>
          </w:tcPr>
          <w:p>
            <w:pPr>
              <w:pStyle w:val="TableContents"/>
              <w:spacing w:before="0" w:after="0"/>
              <w:ind w:left="0" w:right="0" w:firstLine="30"/>
              <w:rPr/>
            </w:pPr>
            <w:r>
              <w:rPr/>
              <w:t> </w:t>
            </w:r>
          </w:p>
        </w:tc>
        <w:tc>
          <w:tcPr>
            <w:tcW w:w="6430" w:type="dxa"/>
            <w:gridSpan w:val="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December 31, 2018</w:t>
            </w:r>
          </w:p>
        </w:tc>
      </w:tr>
      <w:tr>
        <w:trPr/>
        <w:tc>
          <w:tcPr>
            <w:tcW w:w="173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5"/>
              </w:rPr>
            </w:pPr>
            <w:r>
              <w:rPr>
                <w:rFonts w:ascii="inherit" w:hAnsi="inherit"/>
                <w:b/>
                <w:sz w:val="15"/>
              </w:rPr>
              <w:t>Instrument</w:t>
            </w:r>
          </w:p>
        </w:tc>
        <w:tc>
          <w:tcPr>
            <w:tcW w:w="90" w:type="dxa"/>
            <w:tcBorders/>
            <w:shd w:fill="auto" w:val="clear"/>
            <w:vAlign w:val="center"/>
          </w:tcPr>
          <w:p>
            <w:pPr>
              <w:pStyle w:val="TableContents"/>
              <w:spacing w:before="0" w:after="0"/>
              <w:ind w:left="0" w:right="0" w:firstLine="30"/>
              <w:rPr/>
            </w:pPr>
            <w:r>
              <w:rPr/>
              <w:t> </w:t>
            </w:r>
          </w:p>
        </w:tc>
        <w:tc>
          <w:tcPr>
            <w:tcW w:w="2000" w:type="dxa"/>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Number of Instruments</w:t>
            </w:r>
          </w:p>
        </w:tc>
        <w:tc>
          <w:tcPr>
            <w:tcW w:w="90" w:type="dxa"/>
            <w:tcBorders/>
            <w:shd w:fill="auto" w:val="clear"/>
            <w:vAlign w:val="center"/>
          </w:tcPr>
          <w:p>
            <w:pPr>
              <w:pStyle w:val="TableContents"/>
              <w:spacing w:before="0" w:after="0"/>
              <w:ind w:left="0" w:right="0" w:firstLine="30"/>
              <w:rPr/>
            </w:pPr>
            <w:r>
              <w:rPr/>
              <w:t> </w:t>
            </w:r>
          </w:p>
        </w:tc>
        <w:tc>
          <w:tcPr>
            <w:tcW w:w="950" w:type="dxa"/>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Fixed Rate</w:t>
            </w:r>
          </w:p>
        </w:tc>
        <w:tc>
          <w:tcPr>
            <w:tcW w:w="90" w:type="dxa"/>
            <w:tcBorders/>
            <w:shd w:fill="auto" w:val="clear"/>
            <w:vAlign w:val="center"/>
          </w:tcPr>
          <w:p>
            <w:pPr>
              <w:pStyle w:val="TableContents"/>
              <w:spacing w:before="0" w:after="0"/>
              <w:ind w:left="0" w:right="0" w:firstLine="30"/>
              <w:rPr/>
            </w:pPr>
            <w:r>
              <w:rPr/>
              <w:t> </w:t>
            </w:r>
          </w:p>
        </w:tc>
        <w:tc>
          <w:tcPr>
            <w:tcW w:w="980" w:type="dxa"/>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Notional</w:t>
            </w:r>
          </w:p>
        </w:tc>
        <w:tc>
          <w:tcPr>
            <w:tcW w:w="90" w:type="dxa"/>
            <w:tcBorders/>
            <w:shd w:fill="auto" w:val="clear"/>
            <w:vAlign w:val="center"/>
          </w:tcPr>
          <w:p>
            <w:pPr>
              <w:pStyle w:val="TableContents"/>
              <w:spacing w:before="0" w:after="0"/>
              <w:ind w:left="0" w:right="0" w:firstLine="30"/>
              <w:rPr/>
            </w:pPr>
            <w:r>
              <w:rPr/>
              <w:t> </w:t>
            </w:r>
          </w:p>
        </w:tc>
        <w:tc>
          <w:tcPr>
            <w:tcW w:w="950" w:type="dxa"/>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Index</w:t>
            </w:r>
          </w:p>
        </w:tc>
        <w:tc>
          <w:tcPr>
            <w:tcW w:w="90" w:type="dxa"/>
            <w:tcBorders/>
            <w:shd w:fill="auto" w:val="clear"/>
            <w:vAlign w:val="center"/>
          </w:tcPr>
          <w:p>
            <w:pPr>
              <w:pStyle w:val="TableContents"/>
              <w:spacing w:before="0" w:after="0"/>
              <w:ind w:left="0" w:right="0" w:firstLine="30"/>
              <w:rPr/>
            </w:pPr>
            <w:r>
              <w:rPr/>
              <w:t> </w:t>
            </w:r>
          </w:p>
        </w:tc>
        <w:tc>
          <w:tcPr>
            <w:tcW w:w="1190" w:type="dxa"/>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Maturity</w:t>
            </w:r>
          </w:p>
        </w:tc>
      </w:tr>
      <w:tr>
        <w:trPr/>
        <w:tc>
          <w:tcPr>
            <w:tcW w:w="17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Rate Swaps</w:t>
            </w:r>
          </w:p>
        </w:tc>
        <w:tc>
          <w:tcPr>
            <w:tcW w:w="90" w:type="dxa"/>
            <w:tcBorders/>
            <w:shd w:fill="CCEEFF" w:val="clear"/>
            <w:vAlign w:val="center"/>
          </w:tcPr>
          <w:p>
            <w:pPr>
              <w:pStyle w:val="TableContents"/>
              <w:spacing w:before="0" w:after="0"/>
              <w:ind w:left="0" w:right="0" w:firstLine="30"/>
              <w:rPr/>
            </w:pPr>
            <w:r>
              <w:rPr/>
              <w:t> </w:t>
            </w:r>
          </w:p>
        </w:tc>
        <w:tc>
          <w:tcPr>
            <w:tcW w:w="2000" w:type="dxa"/>
            <w:tcBorders>
              <w:top w:val="single" w:sz="2" w:space="0" w:color="000000"/>
            </w:tcBorders>
            <w:shd w:fill="CCEEFF"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4</w:t>
            </w:r>
          </w:p>
        </w:tc>
        <w:tc>
          <w:tcPr>
            <w:tcW w:w="90" w:type="dxa"/>
            <w:tcBorders/>
            <w:shd w:fill="CCEEFF" w:val="clear"/>
            <w:vAlign w:val="center"/>
          </w:tcPr>
          <w:p>
            <w:pPr>
              <w:pStyle w:val="TableContents"/>
              <w:spacing w:before="0" w:after="0"/>
              <w:ind w:left="0" w:right="0" w:firstLine="30"/>
              <w:rPr/>
            </w:pPr>
            <w:r>
              <w:rPr/>
              <w:t> </w:t>
            </w:r>
          </w:p>
        </w:tc>
        <w:tc>
          <w:tcPr>
            <w:tcW w:w="950" w:type="dxa"/>
            <w:tcBorders>
              <w:top w:val="single" w:sz="2" w:space="0" w:color="000000"/>
            </w:tcBorders>
            <w:shd w:fill="CCEEFF"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2.8297%</w:t>
            </w:r>
          </w:p>
        </w:tc>
        <w:tc>
          <w:tcPr>
            <w:tcW w:w="90" w:type="dxa"/>
            <w:tcBorders/>
            <w:shd w:fill="CCEEFF" w:val="clear"/>
            <w:vAlign w:val="center"/>
          </w:tcPr>
          <w:p>
            <w:pPr>
              <w:pStyle w:val="TableContents"/>
              <w:spacing w:before="0" w:after="0"/>
              <w:ind w:left="0" w:right="0" w:firstLine="30"/>
              <w:rPr/>
            </w:pPr>
            <w:r>
              <w:rPr/>
              <w:t> </w:t>
            </w:r>
          </w:p>
        </w:tc>
        <w:tc>
          <w:tcPr>
            <w:tcW w:w="980" w:type="dxa"/>
            <w:tcBorders>
              <w:top w:val="single" w:sz="2" w:space="0" w:color="000000"/>
            </w:tcBorders>
            <w:shd w:fill="CCEEFF"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$1,500,000</w:t>
            </w:r>
          </w:p>
        </w:tc>
        <w:tc>
          <w:tcPr>
            <w:tcW w:w="90" w:type="dxa"/>
            <w:tcBorders/>
            <w:shd w:fill="CCEEFF" w:val="clear"/>
            <w:vAlign w:val="center"/>
          </w:tcPr>
          <w:p>
            <w:pPr>
              <w:pStyle w:val="TableContents"/>
              <w:spacing w:before="0" w:after="0"/>
              <w:ind w:left="0" w:right="0" w:firstLine="30"/>
              <w:rPr/>
            </w:pPr>
            <w:r>
              <w:rPr/>
              <w:t> </w:t>
            </w:r>
          </w:p>
        </w:tc>
        <w:tc>
          <w:tcPr>
            <w:tcW w:w="950" w:type="dxa"/>
            <w:tcBorders>
              <w:top w:val="single" w:sz="2" w:space="0" w:color="000000"/>
            </w:tcBorders>
            <w:shd w:fill="CCEEFF"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USD LIBOR</w:t>
            </w:r>
          </w:p>
        </w:tc>
        <w:tc>
          <w:tcPr>
            <w:tcW w:w="90" w:type="dxa"/>
            <w:tcBorders/>
            <w:shd w:fill="CCEEFF" w:val="clear"/>
            <w:vAlign w:val="center"/>
          </w:tcPr>
          <w:p>
            <w:pPr>
              <w:pStyle w:val="TableContents"/>
              <w:spacing w:before="0" w:after="0"/>
              <w:ind w:left="0" w:right="0" w:firstLine="30"/>
              <w:rPr/>
            </w:pPr>
            <w:r>
              <w:rPr/>
              <w:t> </w:t>
            </w:r>
          </w:p>
        </w:tc>
        <w:tc>
          <w:tcPr>
            <w:tcW w:w="1190" w:type="dxa"/>
            <w:tcBorders>
              <w:top w:val="single" w:sz="2" w:space="0" w:color="000000"/>
            </w:tcBorders>
            <w:shd w:fill="CCEEFF" w:val="clear"/>
            <w:tcMar>
              <w:top w:w="30" w:type="dxa"/>
            </w:tcMar>
            <w:vAlign w:val="center"/>
          </w:tcPr>
          <w:p>
            <w:pPr>
              <w:pStyle w:val="TableContents"/>
              <w:spacing w:before="0" w:after="0"/>
              <w:jc w:val="center"/>
              <w:rPr>
                <w:rFonts w:ascii="inherit" w:hAnsi="inherit"/>
                <w:sz w:val="17"/>
              </w:rPr>
            </w:pPr>
            <w:r>
              <w:rPr>
                <w:rFonts w:ascii="inherit" w:hAnsi="inherit"/>
                <w:sz w:val="17"/>
              </w:rPr>
              <w:t>April 22, 2023</w:t>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both"/>
        <w:rPr>
          <w:sz w:val="17"/>
        </w:rPr>
      </w:pPr>
      <w:r>
        <w:rPr>
          <w:rFonts w:ascii="inherit" w:hAnsi="inherit"/>
          <w:sz w:val="17"/>
        </w:rPr>
        <w:t>As of March 31, 2019</w:t>
      </w:r>
      <w:r>
        <w:rPr>
          <w:sz w:val="17"/>
        </w:rPr>
        <w:t xml:space="preserve"> </w:t>
      </w:r>
      <w:r>
        <w:rPr>
          <w:rFonts w:ascii="inherit" w:hAnsi="inherit"/>
          <w:sz w:val="17"/>
        </w:rPr>
        <w:t>and December 31, 2018, the interest rate swaps are in net unrealized loss positions and are recognized within Other liabilities. For the three months ended March 31, 2019</w:t>
      </w:r>
      <w:r>
        <w:rPr>
          <w:sz w:val="17"/>
        </w:rPr>
        <w:t xml:space="preserve"> </w:t>
      </w:r>
      <w:r>
        <w:rPr>
          <w:rFonts w:ascii="inherit" w:hAnsi="inherit"/>
          <w:sz w:val="17"/>
        </w:rPr>
        <w:t>the amount recorded in other comprehensive income related to the derivative instruments was an unrealized loss of $17.2 million. For the three months ended March 31, 2019, we recorded interest expense of $1.1 million</w:t>
      </w:r>
      <w:r>
        <w:rPr>
          <w:sz w:val="17"/>
        </w:rPr>
        <w:t xml:space="preserve"> </w:t>
      </w:r>
      <w:r>
        <w:rPr>
          <w:rFonts w:ascii="inherit" w:hAnsi="inherit"/>
          <w:sz w:val="17"/>
        </w:rPr>
        <w:t>related to the interest rate swap agreements. There were no interest rate swaps as of March 31, 2018.</w:t>
      </w:r>
    </w:p>
    <w:p>
      <w:pPr>
        <w:pStyle w:val="TextBody"/>
        <w:spacing w:lineRule="auto" w:line="288" w:before="0" w:after="0"/>
        <w:jc w:val="both"/>
        <w:rPr>
          <w:sz w:val="20"/>
        </w:rPr>
      </w:pPr>
      <w:bookmarkStart w:id="21" w:name="sF369FE22F8C65BF89A51022D63F38D2C"/>
      <w:bookmarkEnd w:id="21"/>
      <w:r>
        <w:rPr>
          <w:rFonts w:ascii="inherit" w:hAnsi="inherit"/>
          <w:b/>
          <w:sz w:val="20"/>
        </w:rPr>
        <w:t>Note 10</w:t>
      </w:r>
      <w:r>
        <w:rPr>
          <w:sz w:val="20"/>
        </w:rPr>
        <w:t xml:space="preserve"> — </w:t>
      </w:r>
      <w:r>
        <w:rPr>
          <w:rFonts w:ascii="inherit" w:hAnsi="inherit"/>
          <w:b/>
          <w:sz w:val="20"/>
        </w:rPr>
        <w:t>Fair Value</w:t>
      </w:r>
      <w:r>
        <w:rPr>
          <w:sz w:val="20"/>
        </w:rPr>
        <w:t xml:space="preserve"> </w:t>
      </w:r>
    </w:p>
    <w:p>
      <w:pPr>
        <w:pStyle w:val="TextBody"/>
        <w:spacing w:lineRule="auto" w:line="288" w:before="0" w:after="0"/>
        <w:jc w:val="both"/>
        <w:rPr>
          <w:sz w:val="17"/>
        </w:rPr>
      </w:pPr>
      <w:r>
        <w:rPr>
          <w:rFonts w:ascii="inherit" w:hAnsi="inherit"/>
          <w:sz w:val="17"/>
        </w:rPr>
        <w:t>The following tables summarize our assets and liabilities measured at fair value on a recurring basis at March 31, 2019</w:t>
      </w:r>
      <w:r>
        <w:rPr>
          <w:sz w:val="17"/>
        </w:rPr>
        <w:t xml:space="preserve"> </w:t>
      </w:r>
      <w:r>
        <w:rPr>
          <w:rFonts w:ascii="inherit" w:hAnsi="inherit"/>
          <w:sz w:val="17"/>
        </w:rPr>
        <w:t>and December 31, 2018:</w:t>
      </w:r>
    </w:p>
    <w:tbl>
      <w:tblPr>
        <w:tblW w:w="7977" w:type="dxa"/>
        <w:jc w:val="left"/>
        <w:tblInd w:w="0" w:type="dxa"/>
        <w:tblCellMar>
          <w:top w:w="0" w:type="dxa"/>
          <w:left w:w="0" w:type="dxa"/>
          <w:bottom w:w="0" w:type="dxa"/>
          <w:right w:w="0" w:type="dxa"/>
        </w:tblCellMar>
      </w:tblPr>
      <w:tblGrid>
        <w:gridCol w:w="3950"/>
        <w:gridCol w:w="216"/>
        <w:gridCol w:w="1206"/>
        <w:gridCol w:w="52"/>
        <w:gridCol w:w="90"/>
        <w:gridCol w:w="213"/>
        <w:gridCol w:w="444"/>
        <w:gridCol w:w="52"/>
        <w:gridCol w:w="90"/>
        <w:gridCol w:w="125"/>
        <w:gridCol w:w="695"/>
        <w:gridCol w:w="30"/>
        <w:gridCol w:w="90"/>
        <w:gridCol w:w="210"/>
        <w:gridCol w:w="437"/>
        <w:gridCol w:w="77"/>
      </w:tblGrid>
      <w:tr>
        <w:trPr/>
        <w:tc>
          <w:tcPr>
            <w:tcW w:w="7977" w:type="dxa"/>
            <w:gridSpan w:val="16"/>
            <w:tcBorders/>
            <w:shd w:fill="auto" w:val="clear"/>
            <w:vAlign w:val="center"/>
          </w:tcPr>
          <w:p>
            <w:pPr>
              <w:pStyle w:val="TableContents"/>
              <w:spacing w:before="0" w:after="283"/>
              <w:rPr>
                <w:sz w:val="4"/>
                <w:szCs w:val="4"/>
              </w:rPr>
            </w:pPr>
            <w:r>
              <w:rPr>
                <w:sz w:val="4"/>
                <w:szCs w:val="4"/>
              </w:rPr>
            </w:r>
          </w:p>
        </w:tc>
      </w:tr>
      <w:tr>
        <w:trPr/>
        <w:tc>
          <w:tcPr>
            <w:tcW w:w="395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5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5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950" w:type="dxa"/>
            <w:tcBorders/>
            <w:shd w:fill="auto" w:val="clear"/>
            <w:vAlign w:val="center"/>
          </w:tcPr>
          <w:p>
            <w:pPr>
              <w:pStyle w:val="TableContents"/>
              <w:spacing w:before="0" w:after="0"/>
              <w:ind w:left="0" w:right="0" w:firstLine="30"/>
              <w:rPr/>
            </w:pPr>
            <w:r>
              <w:rPr/>
              <w:t> </w:t>
            </w:r>
          </w:p>
        </w:tc>
        <w:tc>
          <w:tcPr>
            <w:tcW w:w="4027" w:type="dxa"/>
            <w:gridSpan w:val="15"/>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March 31, 2019</w:t>
            </w:r>
          </w:p>
        </w:tc>
      </w:tr>
      <w:tr>
        <w:trPr/>
        <w:tc>
          <w:tcPr>
            <w:tcW w:w="3950" w:type="dxa"/>
            <w:tcBorders/>
            <w:shd w:fill="auto" w:val="clear"/>
            <w:vAlign w:val="center"/>
          </w:tcPr>
          <w:p>
            <w:pPr>
              <w:pStyle w:val="TableContents"/>
              <w:spacing w:before="0" w:after="0"/>
              <w:ind w:left="0" w:right="0" w:firstLine="30"/>
              <w:jc w:val="left"/>
              <w:rPr>
                <w:rFonts w:ascii="inherit" w:hAnsi="inherit"/>
                <w:b/>
                <w:i/>
                <w:sz w:val="13"/>
                <w:u w:val="single"/>
              </w:rPr>
            </w:pPr>
            <w:r>
              <w:rPr>
                <w:rFonts w:ascii="inherit" w:hAnsi="inherit"/>
                <w:b/>
                <w:i/>
                <w:sz w:val="13"/>
                <w:u w:val="single"/>
              </w:rPr>
              <w:t>(In thousands)</w:t>
            </w:r>
          </w:p>
        </w:tc>
        <w:tc>
          <w:tcPr>
            <w:tcW w:w="1474" w:type="dxa"/>
            <w:gridSpan w:val="3"/>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2463" w:type="dxa"/>
            <w:gridSpan w:val="11"/>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Fair Value</w:t>
            </w:r>
          </w:p>
        </w:tc>
      </w:tr>
      <w:tr>
        <w:trPr/>
        <w:tc>
          <w:tcPr>
            <w:tcW w:w="3950" w:type="dxa"/>
            <w:tcBorders/>
            <w:shd w:fill="auto" w:val="clear"/>
            <w:vAlign w:val="center"/>
          </w:tcPr>
          <w:p>
            <w:pPr>
              <w:pStyle w:val="TableContents"/>
              <w:spacing w:before="0" w:after="0"/>
              <w:ind w:left="0" w:right="0" w:firstLine="30"/>
              <w:rPr/>
            </w:pPr>
            <w:r>
              <w:rPr/>
              <w:t> </w:t>
            </w:r>
          </w:p>
        </w:tc>
        <w:tc>
          <w:tcPr>
            <w:tcW w:w="147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Carrying Amount</w:t>
            </w:r>
          </w:p>
        </w:tc>
        <w:tc>
          <w:tcPr>
            <w:tcW w:w="90" w:type="dxa"/>
            <w:tcBorders/>
            <w:shd w:fill="auto" w:val="clear"/>
            <w:vAlign w:val="center"/>
          </w:tcPr>
          <w:p>
            <w:pPr>
              <w:pStyle w:val="TableContents"/>
              <w:spacing w:before="0" w:after="0"/>
              <w:ind w:left="0" w:right="0" w:firstLine="30"/>
              <w:rPr/>
            </w:pPr>
            <w:r>
              <w:rPr/>
              <w:t> </w:t>
            </w:r>
          </w:p>
        </w:tc>
        <w:tc>
          <w:tcPr>
            <w:tcW w:w="70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Level 1</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Level 2</w:t>
            </w:r>
          </w:p>
        </w:tc>
        <w:tc>
          <w:tcPr>
            <w:tcW w:w="90" w:type="dxa"/>
            <w:tcBorders/>
            <w:shd w:fill="auto" w:val="clear"/>
            <w:vAlign w:val="center"/>
          </w:tcPr>
          <w:p>
            <w:pPr>
              <w:pStyle w:val="TableContents"/>
              <w:spacing w:before="0" w:after="0"/>
              <w:ind w:left="0" w:right="0" w:firstLine="30"/>
              <w:rPr/>
            </w:pPr>
            <w:r>
              <w:rPr/>
              <w:t> </w:t>
            </w:r>
          </w:p>
        </w:tc>
        <w:tc>
          <w:tcPr>
            <w:tcW w:w="72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Level 3</w:t>
            </w:r>
          </w:p>
        </w:tc>
      </w:tr>
      <w:tr>
        <w:trPr/>
        <w:tc>
          <w:tcPr>
            <w:tcW w:w="3950" w:type="dxa"/>
            <w:tcBorders/>
            <w:shd w:fill="CCEEFF" w:val="clear"/>
            <w:vAlign w:val="center"/>
          </w:tcPr>
          <w:p>
            <w:pPr>
              <w:pStyle w:val="TableContents"/>
              <w:spacing w:before="0" w:after="0"/>
              <w:ind w:left="0" w:right="0" w:firstLine="30"/>
              <w:jc w:val="left"/>
              <w:rPr>
                <w:rFonts w:ascii="inherit" w:hAnsi="inherit"/>
                <w:b/>
                <w:i/>
                <w:sz w:val="17"/>
              </w:rPr>
            </w:pPr>
            <w:r>
              <w:rPr>
                <w:rFonts w:ascii="inherit" w:hAnsi="inherit"/>
                <w:b/>
                <w:i/>
                <w:sz w:val="17"/>
              </w:rPr>
              <w:t>Financial assets:</w:t>
            </w:r>
          </w:p>
        </w:tc>
        <w:tc>
          <w:tcPr>
            <w:tcW w:w="1474"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0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24" w:type="dxa"/>
            <w:gridSpan w:val="3"/>
            <w:tcBorders/>
            <w:shd w:fill="CCEEFF" w:val="clear"/>
            <w:vAlign w:val="center"/>
          </w:tcPr>
          <w:p>
            <w:pPr>
              <w:pStyle w:val="TableContents"/>
              <w:spacing w:before="0" w:after="0"/>
              <w:ind w:left="0" w:right="0" w:firstLine="300"/>
              <w:rPr/>
            </w:pPr>
            <w:r>
              <w:rPr/>
              <w:t> </w:t>
            </w:r>
          </w:p>
        </w:tc>
      </w:tr>
      <w:tr>
        <w:trPr/>
        <w:tc>
          <w:tcPr>
            <w:tcW w:w="3950"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Short-term investments </w:t>
            </w:r>
            <w:r>
              <w:rPr>
                <w:rFonts w:ascii="inherit" w:hAnsi="inherit"/>
                <w:i/>
                <w:sz w:val="12"/>
              </w:rPr>
              <w:t>(1)</w:t>
            </w:r>
          </w:p>
        </w:tc>
        <w:tc>
          <w:tcPr>
            <w:tcW w:w="21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06" w:type="dxa"/>
            <w:tcBorders/>
            <w:shd w:fill="auto" w:val="clear"/>
            <w:vAlign w:val="center"/>
          </w:tcPr>
          <w:p>
            <w:pPr>
              <w:pStyle w:val="TableContents"/>
              <w:spacing w:before="0" w:after="0"/>
              <w:jc w:val="right"/>
              <w:rPr>
                <w:rFonts w:ascii="inherit" w:hAnsi="inherit"/>
                <w:sz w:val="17"/>
              </w:rPr>
            </w:pPr>
            <w:r>
              <w:rPr>
                <w:rFonts w:ascii="inherit" w:hAnsi="inherit"/>
                <w:sz w:val="17"/>
              </w:rPr>
              <w:t>356,878</w:t>
            </w:r>
          </w:p>
        </w:tc>
        <w:tc>
          <w:tcPr>
            <w:tcW w:w="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44" w:type="dxa"/>
            <w:tcBorders/>
            <w:shd w:fill="auto" w:val="clear"/>
            <w:vAlign w:val="center"/>
          </w:tcPr>
          <w:p>
            <w:pPr>
              <w:pStyle w:val="TableContents"/>
              <w:spacing w:before="0" w:after="0"/>
              <w:jc w:val="right"/>
              <w:rPr/>
            </w:pPr>
            <w:r>
              <w:rPr/>
              <w:t>—</w:t>
            </w:r>
          </w:p>
        </w:tc>
        <w:tc>
          <w:tcPr>
            <w:tcW w:w="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356,878</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37" w:type="dxa"/>
            <w:tcBorders/>
            <w:shd w:fill="auto" w:val="clear"/>
            <w:vAlign w:val="center"/>
          </w:tcPr>
          <w:p>
            <w:pPr>
              <w:pStyle w:val="TableContents"/>
              <w:spacing w:before="0" w:after="0"/>
              <w:jc w:val="right"/>
              <w:rPr/>
            </w:pPr>
            <w:r>
              <w:rPr/>
              <w:t>—</w:t>
            </w:r>
          </w:p>
        </w:tc>
        <w:tc>
          <w:tcPr>
            <w:tcW w:w="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50" w:type="dxa"/>
            <w:tcBorders/>
            <w:shd w:fill="CCEEFF" w:val="clear"/>
            <w:vAlign w:val="center"/>
          </w:tcPr>
          <w:p>
            <w:pPr>
              <w:pStyle w:val="TableContents"/>
              <w:spacing w:before="0" w:after="0"/>
              <w:ind w:left="0" w:right="0" w:firstLine="30"/>
              <w:jc w:val="left"/>
              <w:rPr>
                <w:rFonts w:ascii="inherit" w:hAnsi="inherit"/>
                <w:b/>
                <w:i/>
                <w:sz w:val="17"/>
              </w:rPr>
            </w:pPr>
            <w:r>
              <w:rPr>
                <w:rFonts w:ascii="inherit" w:hAnsi="inherit"/>
                <w:b/>
                <w:i/>
                <w:sz w:val="17"/>
              </w:rPr>
              <w:t>Financial liabilities:</w:t>
            </w:r>
          </w:p>
        </w:tc>
        <w:tc>
          <w:tcPr>
            <w:tcW w:w="1474"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0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24" w:type="dxa"/>
            <w:gridSpan w:val="3"/>
            <w:tcBorders/>
            <w:shd w:fill="CCEEFF" w:val="clear"/>
            <w:vAlign w:val="center"/>
          </w:tcPr>
          <w:p>
            <w:pPr>
              <w:pStyle w:val="TableContents"/>
              <w:spacing w:before="0" w:after="0"/>
              <w:ind w:left="0" w:right="0" w:firstLine="300"/>
              <w:rPr/>
            </w:pPr>
            <w:r>
              <w:rPr/>
              <w:t> </w:t>
            </w:r>
          </w:p>
        </w:tc>
      </w:tr>
      <w:tr>
        <w:trPr/>
        <w:tc>
          <w:tcPr>
            <w:tcW w:w="3950"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Derivative instruments - interest rate swaps </w:t>
            </w:r>
            <w:r>
              <w:rPr>
                <w:rFonts w:ascii="inherit" w:hAnsi="inherit"/>
                <w:i/>
                <w:sz w:val="12"/>
              </w:rPr>
              <w:t>(2)</w:t>
            </w:r>
          </w:p>
        </w:tc>
        <w:tc>
          <w:tcPr>
            <w:tcW w:w="21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06" w:type="dxa"/>
            <w:tcBorders/>
            <w:shd w:fill="auto" w:val="clear"/>
            <w:vAlign w:val="center"/>
          </w:tcPr>
          <w:p>
            <w:pPr>
              <w:pStyle w:val="TableContents"/>
              <w:spacing w:before="0" w:after="0"/>
              <w:jc w:val="right"/>
              <w:rPr>
                <w:rFonts w:ascii="inherit" w:hAnsi="inherit"/>
                <w:sz w:val="17"/>
              </w:rPr>
            </w:pPr>
            <w:r>
              <w:rPr>
                <w:rFonts w:ascii="inherit" w:hAnsi="inherit"/>
                <w:sz w:val="17"/>
              </w:rPr>
              <w:t>39,315</w:t>
            </w:r>
          </w:p>
        </w:tc>
        <w:tc>
          <w:tcPr>
            <w:tcW w:w="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44" w:type="dxa"/>
            <w:tcBorders/>
            <w:shd w:fill="auto" w:val="clear"/>
            <w:vAlign w:val="center"/>
          </w:tcPr>
          <w:p>
            <w:pPr>
              <w:pStyle w:val="TableContents"/>
              <w:spacing w:before="0" w:after="0"/>
              <w:jc w:val="right"/>
              <w:rPr/>
            </w:pPr>
            <w:r>
              <w:rPr/>
              <w:t>—</w:t>
            </w:r>
          </w:p>
        </w:tc>
        <w:tc>
          <w:tcPr>
            <w:tcW w:w="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39,315</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37" w:type="dxa"/>
            <w:tcBorders/>
            <w:shd w:fill="auto" w:val="clear"/>
            <w:vAlign w:val="center"/>
          </w:tcPr>
          <w:p>
            <w:pPr>
              <w:pStyle w:val="TableContents"/>
              <w:spacing w:before="0" w:after="0"/>
              <w:jc w:val="right"/>
              <w:rPr/>
            </w:pPr>
            <w:r>
              <w:rPr/>
              <w:t>—</w:t>
            </w:r>
          </w:p>
        </w:tc>
        <w:tc>
          <w:tcPr>
            <w:tcW w:w="77"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tbl>
      <w:tblPr>
        <w:tblW w:w="7977" w:type="dxa"/>
        <w:jc w:val="left"/>
        <w:tblInd w:w="0" w:type="dxa"/>
        <w:tblCellMar>
          <w:top w:w="0" w:type="dxa"/>
          <w:left w:w="0" w:type="dxa"/>
          <w:bottom w:w="0" w:type="dxa"/>
          <w:right w:w="0" w:type="dxa"/>
        </w:tblCellMar>
      </w:tblPr>
      <w:tblGrid>
        <w:gridCol w:w="3950"/>
        <w:gridCol w:w="216"/>
        <w:gridCol w:w="1206"/>
        <w:gridCol w:w="52"/>
        <w:gridCol w:w="90"/>
        <w:gridCol w:w="213"/>
        <w:gridCol w:w="444"/>
        <w:gridCol w:w="52"/>
        <w:gridCol w:w="90"/>
        <w:gridCol w:w="125"/>
        <w:gridCol w:w="695"/>
        <w:gridCol w:w="30"/>
        <w:gridCol w:w="90"/>
        <w:gridCol w:w="210"/>
        <w:gridCol w:w="437"/>
        <w:gridCol w:w="77"/>
      </w:tblGrid>
      <w:tr>
        <w:trPr/>
        <w:tc>
          <w:tcPr>
            <w:tcW w:w="7977" w:type="dxa"/>
            <w:gridSpan w:val="16"/>
            <w:tcBorders/>
            <w:shd w:fill="auto" w:val="clear"/>
            <w:vAlign w:val="center"/>
          </w:tcPr>
          <w:p>
            <w:pPr>
              <w:pStyle w:val="TableContents"/>
              <w:spacing w:before="0" w:after="283"/>
              <w:rPr>
                <w:sz w:val="4"/>
                <w:szCs w:val="4"/>
              </w:rPr>
            </w:pPr>
            <w:r>
              <w:rPr>
                <w:sz w:val="4"/>
                <w:szCs w:val="4"/>
              </w:rPr>
            </w:r>
          </w:p>
        </w:tc>
      </w:tr>
      <w:tr>
        <w:trPr/>
        <w:tc>
          <w:tcPr>
            <w:tcW w:w="395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5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5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950" w:type="dxa"/>
            <w:tcBorders/>
            <w:shd w:fill="auto" w:val="clear"/>
            <w:vAlign w:val="center"/>
          </w:tcPr>
          <w:p>
            <w:pPr>
              <w:pStyle w:val="TableContents"/>
              <w:spacing w:before="0" w:after="0"/>
              <w:ind w:left="0" w:right="0" w:firstLine="30"/>
              <w:rPr/>
            </w:pPr>
            <w:r>
              <w:rPr/>
              <w:t> </w:t>
            </w:r>
          </w:p>
        </w:tc>
        <w:tc>
          <w:tcPr>
            <w:tcW w:w="4027"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December 31, 2018</w:t>
            </w:r>
          </w:p>
        </w:tc>
      </w:tr>
      <w:tr>
        <w:trPr/>
        <w:tc>
          <w:tcPr>
            <w:tcW w:w="3950" w:type="dxa"/>
            <w:tcBorders/>
            <w:shd w:fill="auto" w:val="clear"/>
            <w:vAlign w:val="center"/>
          </w:tcPr>
          <w:p>
            <w:pPr>
              <w:pStyle w:val="TableContents"/>
              <w:spacing w:before="0" w:after="0"/>
              <w:ind w:left="0" w:right="0" w:firstLine="30"/>
              <w:jc w:val="left"/>
              <w:rPr>
                <w:rFonts w:ascii="inherit" w:hAnsi="inherit"/>
                <w:b/>
                <w:i/>
                <w:sz w:val="13"/>
                <w:u w:val="single"/>
              </w:rPr>
            </w:pPr>
            <w:r>
              <w:rPr>
                <w:rFonts w:ascii="inherit" w:hAnsi="inherit"/>
                <w:b/>
                <w:i/>
                <w:sz w:val="13"/>
                <w:u w:val="single"/>
              </w:rPr>
              <w:t>(In thousands)</w:t>
            </w:r>
          </w:p>
        </w:tc>
        <w:tc>
          <w:tcPr>
            <w:tcW w:w="1474" w:type="dxa"/>
            <w:gridSpan w:val="3"/>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2463" w:type="dxa"/>
            <w:gridSpan w:val="11"/>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Fair Value</w:t>
            </w:r>
          </w:p>
        </w:tc>
      </w:tr>
      <w:tr>
        <w:trPr/>
        <w:tc>
          <w:tcPr>
            <w:tcW w:w="3950" w:type="dxa"/>
            <w:tcBorders/>
            <w:shd w:fill="auto" w:val="clear"/>
            <w:vAlign w:val="center"/>
          </w:tcPr>
          <w:p>
            <w:pPr>
              <w:pStyle w:val="TableContents"/>
              <w:spacing w:before="0" w:after="0"/>
              <w:ind w:left="0" w:right="0" w:firstLine="30"/>
              <w:rPr/>
            </w:pPr>
            <w:r>
              <w:rPr/>
              <w:t> </w:t>
            </w:r>
          </w:p>
        </w:tc>
        <w:tc>
          <w:tcPr>
            <w:tcW w:w="147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Carrying Amount</w:t>
            </w:r>
          </w:p>
        </w:tc>
        <w:tc>
          <w:tcPr>
            <w:tcW w:w="90" w:type="dxa"/>
            <w:tcBorders/>
            <w:shd w:fill="auto" w:val="clear"/>
            <w:vAlign w:val="center"/>
          </w:tcPr>
          <w:p>
            <w:pPr>
              <w:pStyle w:val="TableContents"/>
              <w:spacing w:before="0" w:after="0"/>
              <w:ind w:left="0" w:right="0" w:firstLine="30"/>
              <w:rPr/>
            </w:pPr>
            <w:r>
              <w:rPr/>
              <w:t> </w:t>
            </w:r>
          </w:p>
        </w:tc>
        <w:tc>
          <w:tcPr>
            <w:tcW w:w="70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Level 1</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Level 2</w:t>
            </w:r>
          </w:p>
        </w:tc>
        <w:tc>
          <w:tcPr>
            <w:tcW w:w="90" w:type="dxa"/>
            <w:tcBorders/>
            <w:shd w:fill="auto" w:val="clear"/>
            <w:vAlign w:val="center"/>
          </w:tcPr>
          <w:p>
            <w:pPr>
              <w:pStyle w:val="TableContents"/>
              <w:spacing w:before="0" w:after="0"/>
              <w:ind w:left="0" w:right="0" w:firstLine="30"/>
              <w:rPr/>
            </w:pPr>
            <w:r>
              <w:rPr/>
              <w:t> </w:t>
            </w:r>
          </w:p>
        </w:tc>
        <w:tc>
          <w:tcPr>
            <w:tcW w:w="72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Level 3</w:t>
            </w:r>
          </w:p>
        </w:tc>
      </w:tr>
      <w:tr>
        <w:trPr/>
        <w:tc>
          <w:tcPr>
            <w:tcW w:w="3950" w:type="dxa"/>
            <w:tcBorders/>
            <w:shd w:fill="CCEEFF" w:val="clear"/>
            <w:vAlign w:val="center"/>
          </w:tcPr>
          <w:p>
            <w:pPr>
              <w:pStyle w:val="TableContents"/>
              <w:spacing w:before="0" w:after="0"/>
              <w:ind w:left="0" w:right="0" w:firstLine="30"/>
              <w:jc w:val="left"/>
              <w:rPr>
                <w:rFonts w:ascii="inherit" w:hAnsi="inherit"/>
                <w:b/>
                <w:i/>
                <w:sz w:val="17"/>
              </w:rPr>
            </w:pPr>
            <w:r>
              <w:rPr>
                <w:rFonts w:ascii="inherit" w:hAnsi="inherit"/>
                <w:b/>
                <w:i/>
                <w:sz w:val="17"/>
              </w:rPr>
              <w:t>Financial assets:</w:t>
            </w:r>
          </w:p>
        </w:tc>
        <w:tc>
          <w:tcPr>
            <w:tcW w:w="1474"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0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24" w:type="dxa"/>
            <w:gridSpan w:val="3"/>
            <w:tcBorders/>
            <w:shd w:fill="CCEEFF" w:val="clear"/>
            <w:vAlign w:val="center"/>
          </w:tcPr>
          <w:p>
            <w:pPr>
              <w:pStyle w:val="TableContents"/>
              <w:spacing w:before="0" w:after="0"/>
              <w:ind w:left="0" w:right="0" w:firstLine="300"/>
              <w:rPr/>
            </w:pPr>
            <w:r>
              <w:rPr/>
              <w:t> </w:t>
            </w:r>
          </w:p>
        </w:tc>
      </w:tr>
      <w:tr>
        <w:trPr/>
        <w:tc>
          <w:tcPr>
            <w:tcW w:w="3950"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Short-term investments </w:t>
            </w:r>
            <w:r>
              <w:rPr>
                <w:rFonts w:ascii="inherit" w:hAnsi="inherit"/>
                <w:i/>
                <w:sz w:val="12"/>
              </w:rPr>
              <w:t>(1)</w:t>
            </w:r>
          </w:p>
        </w:tc>
        <w:tc>
          <w:tcPr>
            <w:tcW w:w="21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06" w:type="dxa"/>
            <w:tcBorders/>
            <w:shd w:fill="auto" w:val="clear"/>
            <w:vAlign w:val="center"/>
          </w:tcPr>
          <w:p>
            <w:pPr>
              <w:pStyle w:val="TableContents"/>
              <w:spacing w:before="0" w:after="0"/>
              <w:jc w:val="right"/>
              <w:rPr>
                <w:rFonts w:ascii="inherit" w:hAnsi="inherit"/>
                <w:sz w:val="17"/>
              </w:rPr>
            </w:pPr>
            <w:r>
              <w:rPr>
                <w:rFonts w:ascii="inherit" w:hAnsi="inherit"/>
                <w:sz w:val="17"/>
              </w:rPr>
              <w:t>520,877</w:t>
            </w:r>
          </w:p>
        </w:tc>
        <w:tc>
          <w:tcPr>
            <w:tcW w:w="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44" w:type="dxa"/>
            <w:tcBorders/>
            <w:shd w:fill="auto" w:val="clear"/>
            <w:vAlign w:val="center"/>
          </w:tcPr>
          <w:p>
            <w:pPr>
              <w:pStyle w:val="TableContents"/>
              <w:spacing w:before="0" w:after="0"/>
              <w:jc w:val="right"/>
              <w:rPr/>
            </w:pPr>
            <w:r>
              <w:rPr/>
              <w:t>—</w:t>
            </w:r>
          </w:p>
        </w:tc>
        <w:tc>
          <w:tcPr>
            <w:tcW w:w="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520,877</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37" w:type="dxa"/>
            <w:tcBorders/>
            <w:shd w:fill="auto" w:val="clear"/>
            <w:vAlign w:val="center"/>
          </w:tcPr>
          <w:p>
            <w:pPr>
              <w:pStyle w:val="TableContents"/>
              <w:spacing w:before="0" w:after="0"/>
              <w:jc w:val="right"/>
              <w:rPr/>
            </w:pPr>
            <w:r>
              <w:rPr/>
              <w:t>—</w:t>
            </w:r>
          </w:p>
        </w:tc>
        <w:tc>
          <w:tcPr>
            <w:tcW w:w="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50" w:type="dxa"/>
            <w:tcBorders/>
            <w:shd w:fill="CCEEFF" w:val="clear"/>
            <w:vAlign w:val="center"/>
          </w:tcPr>
          <w:p>
            <w:pPr>
              <w:pStyle w:val="TableContents"/>
              <w:spacing w:before="0" w:after="0"/>
              <w:ind w:left="0" w:right="0" w:firstLine="30"/>
              <w:jc w:val="left"/>
              <w:rPr>
                <w:rFonts w:ascii="inherit" w:hAnsi="inherit"/>
                <w:b/>
                <w:i/>
                <w:sz w:val="17"/>
              </w:rPr>
            </w:pPr>
            <w:r>
              <w:rPr>
                <w:rFonts w:ascii="inherit" w:hAnsi="inherit"/>
                <w:b/>
                <w:i/>
                <w:sz w:val="17"/>
              </w:rPr>
              <w:t>Financial liabilities:</w:t>
            </w:r>
          </w:p>
        </w:tc>
        <w:tc>
          <w:tcPr>
            <w:tcW w:w="1474"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0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24" w:type="dxa"/>
            <w:gridSpan w:val="3"/>
            <w:tcBorders/>
            <w:shd w:fill="CCEEFF" w:val="clear"/>
            <w:vAlign w:val="center"/>
          </w:tcPr>
          <w:p>
            <w:pPr>
              <w:pStyle w:val="TableContents"/>
              <w:spacing w:before="0" w:after="0"/>
              <w:ind w:left="0" w:right="0" w:firstLine="300"/>
              <w:rPr/>
            </w:pPr>
            <w:r>
              <w:rPr/>
              <w:t> </w:t>
            </w:r>
          </w:p>
        </w:tc>
      </w:tr>
      <w:tr>
        <w:trPr/>
        <w:tc>
          <w:tcPr>
            <w:tcW w:w="3950"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Derivative instruments - interest rate swaps </w:t>
            </w:r>
            <w:r>
              <w:rPr>
                <w:rFonts w:ascii="inherit" w:hAnsi="inherit"/>
                <w:i/>
                <w:sz w:val="12"/>
              </w:rPr>
              <w:t>(2)</w:t>
            </w:r>
          </w:p>
        </w:tc>
        <w:tc>
          <w:tcPr>
            <w:tcW w:w="21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06" w:type="dxa"/>
            <w:tcBorders/>
            <w:shd w:fill="auto" w:val="clear"/>
            <w:vAlign w:val="center"/>
          </w:tcPr>
          <w:p>
            <w:pPr>
              <w:pStyle w:val="TableContents"/>
              <w:spacing w:before="0" w:after="0"/>
              <w:jc w:val="right"/>
              <w:rPr>
                <w:rFonts w:ascii="inherit" w:hAnsi="inherit"/>
                <w:sz w:val="17"/>
              </w:rPr>
            </w:pPr>
            <w:r>
              <w:rPr>
                <w:rFonts w:ascii="inherit" w:hAnsi="inherit"/>
                <w:sz w:val="17"/>
              </w:rPr>
              <w:t>22,124</w:t>
            </w:r>
          </w:p>
        </w:tc>
        <w:tc>
          <w:tcPr>
            <w:tcW w:w="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44" w:type="dxa"/>
            <w:tcBorders/>
            <w:shd w:fill="auto" w:val="clear"/>
            <w:vAlign w:val="center"/>
          </w:tcPr>
          <w:p>
            <w:pPr>
              <w:pStyle w:val="TableContents"/>
              <w:spacing w:before="0" w:after="0"/>
              <w:jc w:val="right"/>
              <w:rPr/>
            </w:pPr>
            <w:r>
              <w:rPr/>
              <w:t>—</w:t>
            </w:r>
          </w:p>
        </w:tc>
        <w:tc>
          <w:tcPr>
            <w:tcW w:w="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22,124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37" w:type="dxa"/>
            <w:tcBorders/>
            <w:shd w:fill="auto" w:val="clear"/>
            <w:vAlign w:val="center"/>
          </w:tcPr>
          <w:p>
            <w:pPr>
              <w:pStyle w:val="TableContents"/>
              <w:spacing w:before="0" w:after="0"/>
              <w:jc w:val="right"/>
              <w:rPr/>
            </w:pPr>
            <w:r>
              <w:rPr/>
              <w:t>—</w:t>
            </w:r>
          </w:p>
        </w:tc>
        <w:tc>
          <w:tcPr>
            <w:tcW w:w="77"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both"/>
        <w:rPr>
          <w:rFonts w:ascii="inherit" w:hAnsi="inherit"/>
          <w:sz w:val="17"/>
        </w:rPr>
      </w:pPr>
      <w:r>
        <w:rPr>
          <w:rFonts w:ascii="inherit" w:hAnsi="inherit"/>
          <w:sz w:val="17"/>
        </w:rPr>
        <w:t>___________________</w:t>
      </w:r>
    </w:p>
    <w:p>
      <w:pPr>
        <w:pStyle w:val="TextBody"/>
        <w:spacing w:lineRule="auto" w:line="288" w:before="0" w:after="0"/>
        <w:jc w:val="left"/>
        <w:rPr>
          <w:rFonts w:ascii="inherit" w:hAnsi="inherit"/>
          <w:i/>
          <w:sz w:val="13"/>
        </w:rPr>
      </w:pPr>
      <w:r>
        <w:rPr>
          <w:rFonts w:ascii="inherit" w:hAnsi="inherit"/>
          <w:i/>
          <w:sz w:val="13"/>
        </w:rPr>
        <w:t>(1) The carrying value of these investment is equal to their fair value due to the short-term nature of the investments as well as their credit quality.</w:t>
      </w:r>
    </w:p>
    <w:p>
      <w:pPr>
        <w:pStyle w:val="TextBody"/>
        <w:spacing w:lineRule="auto" w:line="288" w:before="0" w:after="0"/>
        <w:jc w:val="left"/>
        <w:rPr>
          <w:rFonts w:ascii="inherit" w:hAnsi="inherit"/>
          <w:i/>
          <w:sz w:val="13"/>
        </w:rPr>
      </w:pPr>
      <w:r>
        <w:rPr>
          <w:rFonts w:ascii="inherit" w:hAnsi="inherit"/>
          <w:i/>
          <w:sz w:val="13"/>
        </w:rPr>
        <w:t>(2) 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22</w:t>
      </w:r>
      <w:r>
        <w:br w:type="page"/>
      </w:r>
    </w:p>
    <w:p>
      <w:pPr>
        <w:pStyle w:val="TextBody"/>
        <w:spacing w:lineRule="auto" w:line="288" w:before="0" w:after="0"/>
        <w:jc w:val="left"/>
        <w:rPr/>
      </w:pPr>
      <w:hyperlink w:anchor="s7181E430E8A9506B896277AC8CF177C4">
        <w:r>
          <w:rPr>
            <w:rStyle w:val="InternetLink"/>
            <w:rFonts w:ascii="inherit" w:hAnsi="inherit"/>
            <w:sz w:val="17"/>
          </w:rPr>
          <w:t>Table of Contents</w:t>
        </w:r>
      </w:hyperlink>
    </w:p>
    <w:p>
      <w:pPr>
        <w:pStyle w:val="TextBody"/>
        <w:spacing w:lineRule="auto" w:line="288" w:before="0" w:after="0"/>
        <w:jc w:val="center"/>
        <w:rPr>
          <w:rFonts w:ascii="inherit" w:hAnsi="inherit"/>
          <w:b/>
          <w:sz w:val="18"/>
        </w:rPr>
      </w:pPr>
      <w:r>
        <w:rPr>
          <w:rFonts w:ascii="inherit" w:hAnsi="inherit"/>
          <w:b/>
          <w:sz w:val="18"/>
        </w:rPr>
        <w:t>VICI PROPERTIES INC.</w:t>
      </w:r>
    </w:p>
    <w:p>
      <w:pPr>
        <w:pStyle w:val="TextBody"/>
        <w:spacing w:lineRule="auto" w:line="288" w:before="0" w:after="0"/>
        <w:jc w:val="center"/>
        <w:rPr>
          <w:rFonts w:ascii="inherit" w:hAnsi="inherit"/>
          <w:b/>
          <w:sz w:val="18"/>
        </w:rPr>
      </w:pPr>
      <w:r>
        <w:rPr>
          <w:rFonts w:ascii="inherit" w:hAnsi="inherit"/>
          <w:b/>
          <w:sz w:val="18"/>
        </w:rPr>
        <w:t>NOTES TO CONSOLIDATED FINANCIAL STATEMENTS (Continued)</w:t>
      </w:r>
    </w:p>
    <w:p>
      <w:pPr>
        <w:pStyle w:val="TextBody"/>
        <w:spacing w:lineRule="auto" w:line="288" w:before="0" w:after="0"/>
        <w:jc w:val="center"/>
        <w:rPr>
          <w:rFonts w:ascii="inherit" w:hAnsi="inherit"/>
          <w:b/>
          <w:sz w:val="18"/>
        </w:rPr>
      </w:pPr>
      <w:r>
        <w:rPr>
          <w:rFonts w:ascii="inherit" w:hAnsi="inherit"/>
          <w:b/>
          <w:sz w:val="18"/>
        </w:rPr>
        <w:t>(UNAUDITED)</w:t>
      </w:r>
    </w:p>
    <w:p>
      <w:pPr>
        <w:pStyle w:val="TextBody"/>
        <w:spacing w:before="0" w:after="0"/>
        <w:rPr/>
      </w:pPr>
      <w:r>
        <w:rPr/>
      </w:r>
    </w:p>
    <w:p>
      <w:pPr>
        <w:pStyle w:val="TextBody"/>
        <w:spacing w:lineRule="auto" w:line="288" w:before="0" w:after="0"/>
        <w:jc w:val="both"/>
        <w:rPr>
          <w:sz w:val="17"/>
        </w:rPr>
      </w:pPr>
      <w:r>
        <w:rPr>
          <w:rFonts w:ascii="inherit" w:hAnsi="inherit"/>
          <w:sz w:val="17"/>
        </w:rPr>
        <w:t>The estimated fair values of our financial instruments at March 31, 2019</w:t>
      </w:r>
      <w:r>
        <w:rPr>
          <w:sz w:val="17"/>
        </w:rPr>
        <w:t xml:space="preserve"> </w:t>
      </w:r>
      <w:r>
        <w:rPr>
          <w:rFonts w:ascii="inherit" w:hAnsi="inherit"/>
          <w:sz w:val="17"/>
        </w:rPr>
        <w:t>and December 31, 2018</w:t>
      </w:r>
      <w:r>
        <w:rPr>
          <w:sz w:val="17"/>
        </w:rPr>
        <w:t xml:space="preserve"> </w:t>
      </w:r>
      <w:r>
        <w:rPr>
          <w:rFonts w:ascii="inherit" w:hAnsi="inherit"/>
          <w:sz w:val="17"/>
        </w:rPr>
        <w:t>for which fair value is only disclosed are as follows:</w:t>
      </w:r>
    </w:p>
    <w:tbl>
      <w:tblPr>
        <w:tblW w:w="7581" w:type="dxa"/>
        <w:jc w:val="left"/>
        <w:tblInd w:w="0" w:type="dxa"/>
        <w:tblCellMar>
          <w:top w:w="0" w:type="dxa"/>
          <w:left w:w="0" w:type="dxa"/>
          <w:bottom w:w="0" w:type="dxa"/>
          <w:right w:w="0" w:type="dxa"/>
        </w:tblCellMar>
      </w:tblPr>
      <w:tblGrid>
        <w:gridCol w:w="2300"/>
        <w:gridCol w:w="216"/>
        <w:gridCol w:w="1206"/>
        <w:gridCol w:w="52"/>
        <w:gridCol w:w="90"/>
        <w:gridCol w:w="133"/>
        <w:gridCol w:w="739"/>
        <w:gridCol w:w="31"/>
        <w:gridCol w:w="90"/>
        <w:gridCol w:w="216"/>
        <w:gridCol w:w="1206"/>
        <w:gridCol w:w="52"/>
        <w:gridCol w:w="90"/>
        <w:gridCol w:w="128"/>
        <w:gridCol w:w="717"/>
        <w:gridCol w:w="315"/>
      </w:tblGrid>
      <w:tr>
        <w:trPr/>
        <w:tc>
          <w:tcPr>
            <w:tcW w:w="7581" w:type="dxa"/>
            <w:gridSpan w:val="16"/>
            <w:tcBorders/>
            <w:shd w:fill="auto" w:val="clear"/>
            <w:vAlign w:val="center"/>
          </w:tcPr>
          <w:p>
            <w:pPr>
              <w:pStyle w:val="TableContents"/>
              <w:spacing w:before="0" w:after="283"/>
              <w:rPr>
                <w:sz w:val="4"/>
                <w:szCs w:val="4"/>
              </w:rPr>
            </w:pPr>
            <w:r>
              <w:rPr>
                <w:sz w:val="4"/>
                <w:szCs w:val="4"/>
              </w:rPr>
            </w:r>
          </w:p>
        </w:tc>
      </w:tr>
      <w:tr>
        <w:trPr/>
        <w:tc>
          <w:tcPr>
            <w:tcW w:w="230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5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3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5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300" w:type="dxa"/>
            <w:tcBorders/>
            <w:shd w:fill="auto" w:val="clear"/>
            <w:vAlign w:val="center"/>
          </w:tcPr>
          <w:p>
            <w:pPr>
              <w:pStyle w:val="TableContents"/>
              <w:spacing w:before="0" w:after="0"/>
              <w:ind w:left="0" w:right="0" w:firstLine="30"/>
              <w:rPr/>
            </w:pPr>
            <w:r>
              <w:rPr/>
              <w:t> </w:t>
            </w:r>
          </w:p>
        </w:tc>
        <w:tc>
          <w:tcPr>
            <w:tcW w:w="246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March 31, 2019</w:t>
            </w:r>
          </w:p>
        </w:tc>
        <w:tc>
          <w:tcPr>
            <w:tcW w:w="90" w:type="dxa"/>
            <w:tcBorders/>
            <w:shd w:fill="auto" w:val="clear"/>
            <w:vAlign w:val="center"/>
          </w:tcPr>
          <w:p>
            <w:pPr>
              <w:pStyle w:val="TableContents"/>
              <w:spacing w:before="0" w:after="0"/>
              <w:ind w:left="0" w:right="0" w:firstLine="30"/>
              <w:rPr/>
            </w:pPr>
            <w:r>
              <w:rPr/>
              <w:t> </w:t>
            </w:r>
          </w:p>
        </w:tc>
        <w:tc>
          <w:tcPr>
            <w:tcW w:w="272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December 31, 2018</w:t>
            </w:r>
          </w:p>
        </w:tc>
      </w:tr>
      <w:tr>
        <w:trPr/>
        <w:tc>
          <w:tcPr>
            <w:tcW w:w="2300" w:type="dxa"/>
            <w:tcBorders/>
            <w:shd w:fill="auto" w:val="clear"/>
            <w:vAlign w:val="center"/>
          </w:tcPr>
          <w:p>
            <w:pPr>
              <w:pStyle w:val="TableContents"/>
              <w:spacing w:before="0" w:after="0"/>
              <w:ind w:left="0" w:right="0" w:firstLine="30"/>
              <w:jc w:val="left"/>
              <w:rPr>
                <w:rFonts w:ascii="inherit" w:hAnsi="inherit"/>
                <w:b/>
                <w:i/>
                <w:sz w:val="13"/>
                <w:u w:val="single"/>
              </w:rPr>
            </w:pPr>
            <w:r>
              <w:rPr>
                <w:rFonts w:ascii="inherit" w:hAnsi="inherit"/>
                <w:b/>
                <w:i/>
                <w:sz w:val="13"/>
                <w:u w:val="single"/>
              </w:rPr>
              <w:t>(In thousands)</w:t>
            </w:r>
          </w:p>
        </w:tc>
        <w:tc>
          <w:tcPr>
            <w:tcW w:w="147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Carrying Amount</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0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Fair Value</w:t>
            </w:r>
          </w:p>
        </w:tc>
        <w:tc>
          <w:tcPr>
            <w:tcW w:w="90" w:type="dxa"/>
            <w:tcBorders/>
            <w:shd w:fill="auto" w:val="clear"/>
            <w:vAlign w:val="center"/>
          </w:tcPr>
          <w:p>
            <w:pPr>
              <w:pStyle w:val="TableContents"/>
              <w:spacing w:before="0" w:after="0"/>
              <w:ind w:left="0" w:right="0" w:firstLine="30"/>
              <w:rPr/>
            </w:pPr>
            <w:r>
              <w:rPr/>
              <w:t> </w:t>
            </w:r>
          </w:p>
        </w:tc>
        <w:tc>
          <w:tcPr>
            <w:tcW w:w="147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Carrying Amount</w:t>
            </w:r>
          </w:p>
        </w:tc>
        <w:tc>
          <w:tcPr>
            <w:tcW w:w="90" w:type="dxa"/>
            <w:tcBorders/>
            <w:shd w:fill="auto" w:val="clear"/>
            <w:vAlign w:val="center"/>
          </w:tcPr>
          <w:p>
            <w:pPr>
              <w:pStyle w:val="TableContents"/>
              <w:spacing w:before="0" w:after="0"/>
              <w:ind w:left="0" w:right="0" w:firstLine="30"/>
              <w:rPr/>
            </w:pPr>
            <w:r>
              <w:rPr/>
              <w:t> </w:t>
            </w:r>
          </w:p>
        </w:tc>
        <w:tc>
          <w:tcPr>
            <w:tcW w:w="116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Fair Value</w:t>
            </w:r>
          </w:p>
        </w:tc>
      </w:tr>
      <w:tr>
        <w:trPr/>
        <w:tc>
          <w:tcPr>
            <w:tcW w:w="2300" w:type="dxa"/>
            <w:tcBorders/>
            <w:shd w:fill="CCEEFF" w:val="clear"/>
            <w:vAlign w:val="center"/>
          </w:tcPr>
          <w:p>
            <w:pPr>
              <w:pStyle w:val="TableContents"/>
              <w:spacing w:before="0" w:after="0"/>
              <w:ind w:left="0" w:right="0" w:firstLine="30"/>
              <w:jc w:val="left"/>
              <w:rPr>
                <w:rFonts w:ascii="inherit" w:hAnsi="inherit"/>
                <w:b/>
                <w:i/>
                <w:sz w:val="17"/>
              </w:rPr>
            </w:pPr>
            <w:r>
              <w:rPr>
                <w:rFonts w:ascii="inherit" w:hAnsi="inherit"/>
                <w:b/>
                <w:i/>
                <w:sz w:val="17"/>
              </w:rPr>
              <w:t>Financial assets:</w:t>
            </w:r>
          </w:p>
        </w:tc>
        <w:tc>
          <w:tcPr>
            <w:tcW w:w="1474" w:type="dxa"/>
            <w:gridSpan w:val="3"/>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03" w:type="dxa"/>
            <w:gridSpan w:val="3"/>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474" w:type="dxa"/>
            <w:gridSpan w:val="3"/>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60" w:type="dxa"/>
            <w:gridSpan w:val="3"/>
            <w:tcBorders>
              <w:top w:val="single" w:sz="2" w:space="0" w:color="000000"/>
            </w:tcBorders>
            <w:shd w:fill="CCEEFF" w:val="clear"/>
            <w:tcMar>
              <w:top w:w="30" w:type="dxa"/>
            </w:tcMar>
            <w:vAlign w:val="center"/>
          </w:tcPr>
          <w:p>
            <w:pPr>
              <w:pStyle w:val="TableContents"/>
              <w:spacing w:before="0" w:after="0"/>
              <w:ind w:left="0" w:right="0" w:firstLine="300"/>
              <w:rPr/>
            </w:pPr>
            <w:r>
              <w:rPr/>
              <w:t> </w:t>
            </w:r>
          </w:p>
        </w:tc>
      </w:tr>
      <w:tr>
        <w:trPr/>
        <w:tc>
          <w:tcPr>
            <w:tcW w:w="23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21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06" w:type="dxa"/>
            <w:tcBorders/>
            <w:shd w:fill="auto" w:val="clear"/>
            <w:vAlign w:val="center"/>
          </w:tcPr>
          <w:p>
            <w:pPr>
              <w:pStyle w:val="TableContents"/>
              <w:spacing w:before="0" w:after="0"/>
              <w:jc w:val="right"/>
              <w:rPr>
                <w:rFonts w:ascii="inherit" w:hAnsi="inherit"/>
                <w:sz w:val="17"/>
              </w:rPr>
            </w:pPr>
            <w:r>
              <w:rPr>
                <w:rFonts w:ascii="inherit" w:hAnsi="inherit"/>
                <w:sz w:val="17"/>
              </w:rPr>
              <w:t>598,276</w:t>
            </w:r>
          </w:p>
        </w:tc>
        <w:tc>
          <w:tcPr>
            <w:tcW w:w="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39" w:type="dxa"/>
            <w:tcBorders/>
            <w:shd w:fill="auto" w:val="clear"/>
            <w:vAlign w:val="center"/>
          </w:tcPr>
          <w:p>
            <w:pPr>
              <w:pStyle w:val="TableContents"/>
              <w:spacing w:before="0" w:after="0"/>
              <w:jc w:val="right"/>
              <w:rPr>
                <w:rFonts w:ascii="inherit" w:hAnsi="inherit"/>
                <w:sz w:val="17"/>
              </w:rPr>
            </w:pPr>
            <w:r>
              <w:rPr>
                <w:rFonts w:ascii="inherit" w:hAnsi="inherit"/>
                <w:sz w:val="17"/>
              </w:rPr>
              <w:t>598,276</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06" w:type="dxa"/>
            <w:tcBorders/>
            <w:shd w:fill="auto" w:val="clear"/>
            <w:vAlign w:val="center"/>
          </w:tcPr>
          <w:p>
            <w:pPr>
              <w:pStyle w:val="TableContents"/>
              <w:spacing w:before="0" w:after="0"/>
              <w:jc w:val="right"/>
              <w:rPr>
                <w:rFonts w:ascii="inherit" w:hAnsi="inherit"/>
                <w:sz w:val="17"/>
              </w:rPr>
            </w:pPr>
            <w:r>
              <w:rPr>
                <w:rFonts w:ascii="inherit" w:hAnsi="inherit"/>
                <w:sz w:val="17"/>
              </w:rPr>
              <w:t>577,883</w:t>
            </w:r>
          </w:p>
        </w:tc>
        <w:tc>
          <w:tcPr>
            <w:tcW w:w="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17" w:type="dxa"/>
            <w:tcBorders/>
            <w:shd w:fill="auto" w:val="clear"/>
            <w:vAlign w:val="center"/>
          </w:tcPr>
          <w:p>
            <w:pPr>
              <w:pStyle w:val="TableContents"/>
              <w:spacing w:before="0" w:after="0"/>
              <w:jc w:val="right"/>
              <w:rPr>
                <w:rFonts w:ascii="inherit" w:hAnsi="inherit"/>
                <w:sz w:val="17"/>
              </w:rPr>
            </w:pPr>
            <w:r>
              <w:rPr>
                <w:rFonts w:ascii="inherit" w:hAnsi="inherit"/>
                <w:sz w:val="17"/>
              </w:rPr>
              <w:t>577,883</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3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Restricted cash</w:t>
            </w:r>
          </w:p>
        </w:tc>
        <w:tc>
          <w:tcPr>
            <w:tcW w:w="14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24,366</w:t>
            </w:r>
          </w:p>
        </w:tc>
        <w:tc>
          <w:tcPr>
            <w:tcW w:w="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24,366</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20,564</w:t>
            </w:r>
          </w:p>
        </w:tc>
        <w:tc>
          <w:tcPr>
            <w:tcW w:w="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20,564</w:t>
            </w:r>
          </w:p>
        </w:tc>
        <w:tc>
          <w:tcPr>
            <w:tcW w:w="3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00" w:type="dxa"/>
            <w:tcBorders/>
            <w:shd w:fill="auto" w:val="clear"/>
            <w:vAlign w:val="center"/>
          </w:tcPr>
          <w:p>
            <w:pPr>
              <w:pStyle w:val="TableContents"/>
              <w:spacing w:before="0" w:after="0"/>
              <w:ind w:left="0" w:right="0" w:firstLine="30"/>
              <w:jc w:val="left"/>
              <w:rPr>
                <w:rFonts w:ascii="inherit" w:hAnsi="inherit"/>
                <w:b/>
                <w:i/>
                <w:sz w:val="17"/>
              </w:rPr>
            </w:pPr>
            <w:r>
              <w:rPr>
                <w:rFonts w:ascii="inherit" w:hAnsi="inherit"/>
                <w:b/>
                <w:i/>
                <w:sz w:val="17"/>
              </w:rPr>
              <w:t>Financial liabilities:</w:t>
            </w:r>
          </w:p>
        </w:tc>
        <w:tc>
          <w:tcPr>
            <w:tcW w:w="147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47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60" w:type="dxa"/>
            <w:gridSpan w:val="3"/>
            <w:tcBorders/>
            <w:shd w:fill="auto" w:val="clear"/>
            <w:vAlign w:val="center"/>
          </w:tcPr>
          <w:p>
            <w:pPr>
              <w:pStyle w:val="TableContents"/>
              <w:spacing w:before="0" w:after="0"/>
              <w:ind w:left="0" w:right="0" w:firstLine="300"/>
              <w:rPr/>
            </w:pPr>
            <w:r>
              <w:rPr/>
              <w:t> </w:t>
            </w:r>
          </w:p>
        </w:tc>
      </w:tr>
      <w:tr>
        <w:trPr/>
        <w:tc>
          <w:tcPr>
            <w:tcW w:w="2300" w:type="dxa"/>
            <w:tcBorders/>
            <w:shd w:fill="CCEEFF" w:val="clear"/>
            <w:vAlign w:val="center"/>
          </w:tcPr>
          <w:p>
            <w:pPr>
              <w:pStyle w:val="TableContents"/>
              <w:spacing w:lineRule="auto" w:line="288" w:before="0" w:after="0"/>
              <w:ind w:left="0" w:right="0" w:firstLine="30"/>
              <w:jc w:val="left"/>
              <w:rPr>
                <w:sz w:val="17"/>
              </w:rPr>
            </w:pPr>
            <w:r>
              <w:rPr>
                <w:rFonts w:ascii="inherit" w:hAnsi="inherit"/>
                <w:sz w:val="17"/>
              </w:rPr>
              <w:t xml:space="preserve">Debt </w:t>
            </w:r>
            <w:r>
              <w:rPr>
                <w:rFonts w:ascii="inherit" w:hAnsi="inherit"/>
                <w:i/>
                <w:sz w:val="12"/>
              </w:rPr>
              <w:t>(1)</w:t>
            </w:r>
          </w:p>
        </w:tc>
        <w:tc>
          <w:tcPr>
            <w:tcW w:w="1474"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0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474"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60" w:type="dxa"/>
            <w:gridSpan w:val="3"/>
            <w:tcBorders/>
            <w:shd w:fill="CCEEFF" w:val="clear"/>
            <w:vAlign w:val="center"/>
          </w:tcPr>
          <w:p>
            <w:pPr>
              <w:pStyle w:val="TableContents"/>
              <w:spacing w:before="0" w:after="0"/>
              <w:ind w:left="0" w:right="0" w:firstLine="300"/>
              <w:rPr/>
            </w:pPr>
            <w:r>
              <w:rPr/>
              <w:t> </w:t>
            </w:r>
          </w:p>
        </w:tc>
      </w:tr>
      <w:tr>
        <w:trPr/>
        <w:tc>
          <w:tcPr>
            <w:tcW w:w="2300" w:type="dxa"/>
            <w:tcBorders/>
            <w:shd w:fill="auto" w:val="clear"/>
            <w:vAlign w:val="center"/>
          </w:tcPr>
          <w:p>
            <w:pPr>
              <w:pStyle w:val="TableContents"/>
              <w:spacing w:before="0" w:after="0"/>
              <w:ind w:left="0" w:right="0" w:firstLine="30"/>
              <w:jc w:val="left"/>
              <w:rPr/>
            </w:pPr>
            <w:r>
              <w:rPr/>
              <w:t>   </w:t>
            </w:r>
            <w:r>
              <w:rPr>
                <w:rFonts w:ascii="inherit" w:hAnsi="inherit"/>
                <w:sz w:val="17"/>
              </w:rPr>
              <w:t>Revolving Credit Facility</w:t>
            </w:r>
          </w:p>
        </w:tc>
        <w:tc>
          <w:tcPr>
            <w:tcW w:w="21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06" w:type="dxa"/>
            <w:tcBorders/>
            <w:shd w:fill="auto" w:val="clear"/>
            <w:vAlign w:val="center"/>
          </w:tcPr>
          <w:p>
            <w:pPr>
              <w:pStyle w:val="TableContents"/>
              <w:spacing w:before="0" w:after="0"/>
              <w:jc w:val="right"/>
              <w:rPr/>
            </w:pPr>
            <w:r>
              <w:rPr/>
              <w:t>—</w:t>
            </w:r>
          </w:p>
        </w:tc>
        <w:tc>
          <w:tcPr>
            <w:tcW w:w="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39" w:type="dxa"/>
            <w:tcBorders/>
            <w:shd w:fill="auto" w:val="clear"/>
            <w:vAlign w:val="center"/>
          </w:tcPr>
          <w:p>
            <w:pPr>
              <w:pStyle w:val="TableContents"/>
              <w:spacing w:before="0" w:after="0"/>
              <w:jc w:val="right"/>
              <w:rPr/>
            </w:pPr>
            <w:r>
              <w:rPr/>
              <w:t>—</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06" w:type="dxa"/>
            <w:tcBorders/>
            <w:shd w:fill="auto" w:val="clear"/>
            <w:vAlign w:val="center"/>
          </w:tcPr>
          <w:p>
            <w:pPr>
              <w:pStyle w:val="TableContents"/>
              <w:spacing w:before="0" w:after="0"/>
              <w:jc w:val="right"/>
              <w:rPr/>
            </w:pPr>
            <w:r>
              <w:rPr/>
              <w:t>—</w:t>
            </w:r>
          </w:p>
        </w:tc>
        <w:tc>
          <w:tcPr>
            <w:tcW w:w="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17" w:type="dxa"/>
            <w:tcBorders/>
            <w:shd w:fill="auto" w:val="clear"/>
            <w:vAlign w:val="center"/>
          </w:tcPr>
          <w:p>
            <w:pPr>
              <w:pStyle w:val="TableContents"/>
              <w:spacing w:before="0" w:after="0"/>
              <w:jc w:val="right"/>
              <w:rPr/>
            </w:pPr>
            <w:r>
              <w:rPr/>
              <w:t>—</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300" w:type="dxa"/>
            <w:tcBorders/>
            <w:shd w:fill="CCEEFF" w:val="clear"/>
            <w:vAlign w:val="center"/>
          </w:tcPr>
          <w:p>
            <w:pPr>
              <w:pStyle w:val="TableContents"/>
              <w:spacing w:before="0" w:after="0"/>
              <w:ind w:left="0" w:right="0" w:firstLine="30"/>
              <w:jc w:val="left"/>
              <w:rPr/>
            </w:pPr>
            <w:r>
              <w:rPr/>
              <w:t>   </w:t>
            </w:r>
            <w:r>
              <w:rPr>
                <w:rFonts w:ascii="inherit" w:hAnsi="inherit"/>
                <w:sz w:val="17"/>
              </w:rPr>
              <w:t>Term Loan B Facility</w:t>
            </w:r>
          </w:p>
        </w:tc>
        <w:tc>
          <w:tcPr>
            <w:tcW w:w="14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2,074,870</w:t>
            </w:r>
          </w:p>
        </w:tc>
        <w:tc>
          <w:tcPr>
            <w:tcW w:w="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2,068,500</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2,073,784</w:t>
            </w:r>
          </w:p>
        </w:tc>
        <w:tc>
          <w:tcPr>
            <w:tcW w:w="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2,016,000</w:t>
            </w:r>
          </w:p>
        </w:tc>
        <w:tc>
          <w:tcPr>
            <w:tcW w:w="31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300" w:type="dxa"/>
            <w:tcBorders/>
            <w:shd w:fill="auto" w:val="clear"/>
            <w:vAlign w:val="center"/>
          </w:tcPr>
          <w:p>
            <w:pPr>
              <w:pStyle w:val="TableContents"/>
              <w:spacing w:before="0" w:after="0"/>
              <w:ind w:left="0" w:right="0" w:firstLine="30"/>
              <w:jc w:val="left"/>
              <w:rPr/>
            </w:pPr>
            <w:r>
              <w:rPr/>
              <w:t>   </w:t>
            </w:r>
            <w:r>
              <w:rPr>
                <w:rFonts w:ascii="inherit" w:hAnsi="inherit"/>
                <w:sz w:val="17"/>
              </w:rPr>
              <w:t>Second Lien Notes</w:t>
            </w:r>
          </w:p>
        </w:tc>
        <w:tc>
          <w:tcPr>
            <w:tcW w:w="14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498,480</w:t>
            </w:r>
          </w:p>
        </w:tc>
        <w:tc>
          <w:tcPr>
            <w:tcW w:w="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545,835</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498,480</w:t>
            </w:r>
          </w:p>
        </w:tc>
        <w:tc>
          <w:tcPr>
            <w:tcW w:w="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535,866</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300" w:type="dxa"/>
            <w:tcBorders/>
            <w:shd w:fill="CCEEFF" w:val="clear"/>
            <w:vAlign w:val="center"/>
          </w:tcPr>
          <w:p>
            <w:pPr>
              <w:pStyle w:val="TableContents"/>
              <w:spacing w:before="0" w:after="0"/>
              <w:ind w:left="0" w:right="0" w:firstLine="30"/>
              <w:jc w:val="left"/>
              <w:rPr/>
            </w:pPr>
            <w:r>
              <w:rPr/>
              <w:t>   </w:t>
            </w:r>
            <w:r>
              <w:rPr>
                <w:rFonts w:ascii="inherit" w:hAnsi="inherit"/>
                <w:sz w:val="17"/>
              </w:rPr>
              <w:t>CPLV CMBS Debt</w:t>
            </w:r>
          </w:p>
        </w:tc>
        <w:tc>
          <w:tcPr>
            <w:tcW w:w="14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1,550,000</w:t>
            </w:r>
          </w:p>
        </w:tc>
        <w:tc>
          <w:tcPr>
            <w:tcW w:w="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1,567,836</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1,550,000</w:t>
            </w:r>
          </w:p>
        </w:tc>
        <w:tc>
          <w:tcPr>
            <w:tcW w:w="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1,539,040</w:t>
            </w:r>
          </w:p>
        </w:tc>
        <w:tc>
          <w:tcPr>
            <w:tcW w:w="315"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both"/>
        <w:rPr>
          <w:rFonts w:ascii="inherit" w:hAnsi="inherit"/>
          <w:sz w:val="17"/>
        </w:rPr>
      </w:pPr>
      <w:r>
        <w:rPr>
          <w:rFonts w:ascii="inherit" w:hAnsi="inherit"/>
          <w:sz w:val="17"/>
        </w:rPr>
        <w:t>____________________</w:t>
      </w:r>
    </w:p>
    <w:tbl>
      <w:tblPr>
        <w:tblW w:w="10205" w:type="dxa"/>
        <w:jc w:val="left"/>
        <w:tblInd w:w="0" w:type="dxa"/>
        <w:tblCellMar>
          <w:top w:w="0" w:type="dxa"/>
          <w:left w:w="0" w:type="dxa"/>
          <w:bottom w:w="0" w:type="dxa"/>
          <w:right w:w="0" w:type="dxa"/>
        </w:tblCellMar>
      </w:tblPr>
      <w:tblGrid>
        <w:gridCol w:w="218"/>
        <w:gridCol w:w="9987"/>
      </w:tblGrid>
      <w:tr>
        <w:trPr/>
        <w:tc>
          <w:tcPr>
            <w:tcW w:w="218" w:type="dxa"/>
            <w:tcBorders/>
            <w:shd w:fill="auto" w:val="clear"/>
            <w:vAlign w:val="center"/>
          </w:tcPr>
          <w:p>
            <w:pPr>
              <w:pStyle w:val="TableContents"/>
              <w:spacing w:before="0" w:after="283"/>
              <w:rPr>
                <w:sz w:val="4"/>
                <w:szCs w:val="4"/>
              </w:rPr>
            </w:pPr>
            <w:r>
              <w:rPr>
                <w:sz w:val="4"/>
                <w:szCs w:val="4"/>
              </w:rPr>
            </w:r>
          </w:p>
        </w:tc>
        <w:tc>
          <w:tcPr>
            <w:tcW w:w="9987" w:type="dxa"/>
            <w:tcBorders/>
            <w:shd w:fill="auto" w:val="clear"/>
            <w:vAlign w:val="center"/>
          </w:tcPr>
          <w:p>
            <w:pPr>
              <w:pStyle w:val="TableContents"/>
              <w:spacing w:before="0" w:after="283"/>
              <w:rPr>
                <w:sz w:val="4"/>
                <w:szCs w:val="4"/>
              </w:rPr>
            </w:pPr>
            <w:r>
              <w:rPr>
                <w:sz w:val="4"/>
                <w:szCs w:val="4"/>
              </w:rPr>
            </w:r>
          </w:p>
        </w:tc>
      </w:tr>
      <w:tr>
        <w:trPr/>
        <w:tc>
          <w:tcPr>
            <w:tcW w:w="218" w:type="dxa"/>
            <w:tcBorders/>
            <w:shd w:fill="auto" w:val="clear"/>
            <w:vAlign w:val="center"/>
          </w:tcPr>
          <w:p>
            <w:pPr>
              <w:pStyle w:val="TableContents"/>
              <w:spacing w:lineRule="auto" w:line="288" w:before="0" w:after="0"/>
              <w:ind w:left="0" w:right="0" w:hanging="0"/>
              <w:rPr>
                <w:rFonts w:ascii="inherit" w:hAnsi="inherit"/>
                <w:i/>
                <w:sz w:val="13"/>
              </w:rPr>
            </w:pPr>
            <w:r>
              <w:rPr>
                <w:rFonts w:ascii="inherit" w:hAnsi="inherit"/>
                <w:i/>
                <w:sz w:val="13"/>
              </w:rPr>
              <w:t>(1)</w:t>
            </w:r>
          </w:p>
        </w:tc>
        <w:tc>
          <w:tcPr>
            <w:tcW w:w="9987" w:type="dxa"/>
            <w:tcBorders/>
            <w:shd w:fill="auto" w:val="clear"/>
            <w:vAlign w:val="center"/>
          </w:tcPr>
          <w:p>
            <w:pPr>
              <w:pStyle w:val="TableContents"/>
              <w:spacing w:lineRule="auto" w:line="288" w:before="0" w:after="0"/>
              <w:jc w:val="both"/>
              <w:rPr>
                <w:rFonts w:ascii="inherit" w:hAnsi="inherit"/>
                <w:i/>
                <w:sz w:val="13"/>
              </w:rPr>
            </w:pPr>
            <w:r>
              <w:rPr>
                <w:rFonts w:ascii="inherit" w:hAnsi="inherit"/>
                <w:i/>
                <w:sz w:val="13"/>
              </w:rPr>
              <w:t>The fair value of our debt instruments was estimated using quoted prices for identical or similar liabilities in markets that are not active and, as such, these fair value measurements are considered Level 2 of the fair value hierarchy.</w:t>
            </w:r>
          </w:p>
        </w:tc>
      </w:tr>
    </w:tbl>
    <w:p>
      <w:pPr>
        <w:pStyle w:val="TextBody"/>
        <w:spacing w:lineRule="auto" w:line="288" w:before="0" w:after="0"/>
        <w:jc w:val="both"/>
        <w:rPr>
          <w:sz w:val="20"/>
        </w:rPr>
      </w:pPr>
      <w:bookmarkStart w:id="22" w:name="sD8573357007D5268A730CB6A816FEC90"/>
      <w:bookmarkEnd w:id="22"/>
      <w:r>
        <w:rPr>
          <w:rFonts w:ascii="inherit" w:hAnsi="inherit"/>
          <w:b/>
          <w:sz w:val="20"/>
        </w:rPr>
        <w:t>Note 11</w:t>
      </w:r>
      <w:r>
        <w:rPr>
          <w:sz w:val="20"/>
        </w:rPr>
        <w:t xml:space="preserve"> — </w:t>
      </w:r>
      <w:r>
        <w:rPr>
          <w:rFonts w:ascii="inherit" w:hAnsi="inherit"/>
          <w:b/>
          <w:sz w:val="20"/>
        </w:rPr>
        <w:t>Commitments and Contingent Liabilities</w:t>
      </w:r>
      <w:r>
        <w:rPr>
          <w:sz w:val="20"/>
        </w:rPr>
        <w:t xml:space="preserve"> </w:t>
      </w:r>
    </w:p>
    <w:p>
      <w:pPr>
        <w:pStyle w:val="TextBody"/>
        <w:spacing w:lineRule="auto" w:line="288" w:before="0" w:after="0"/>
        <w:jc w:val="both"/>
        <w:rPr>
          <w:rFonts w:ascii="inherit" w:hAnsi="inherit"/>
          <w:b/>
          <w:i/>
          <w:sz w:val="17"/>
        </w:rPr>
      </w:pPr>
      <w:r>
        <w:rPr>
          <w:rFonts w:ascii="inherit" w:hAnsi="inherit"/>
          <w:b/>
          <w:i/>
          <w:sz w:val="17"/>
        </w:rPr>
        <w:t>Litigation</w:t>
      </w:r>
    </w:p>
    <w:p>
      <w:pPr>
        <w:pStyle w:val="TextBody"/>
        <w:spacing w:lineRule="auto" w:line="288" w:before="0" w:after="0"/>
        <w:jc w:val="both"/>
        <w:rPr>
          <w:rFonts w:ascii="inherit" w:hAnsi="inherit"/>
          <w:sz w:val="17"/>
        </w:rPr>
      </w:pPr>
      <w:r>
        <w:rPr>
          <w:rFonts w:ascii="inherit" w:hAnsi="inherit"/>
          <w:sz w:val="17"/>
        </w:rPr>
        <w:t>In the ordinary course of business, from time to time, we may be subject to legal claims and administrative proceedings. As of March 31, 2019, we are not subject to any litigation that we believe could have, individually or in the aggregate, a material adverse effect on our business, financial condition or results of operations, liquidity or cash flows.</w:t>
      </w:r>
    </w:p>
    <w:p>
      <w:pPr>
        <w:pStyle w:val="TextBody"/>
        <w:spacing w:lineRule="auto" w:line="288" w:before="0" w:after="0"/>
        <w:jc w:val="both"/>
        <w:rPr>
          <w:rFonts w:ascii="inherit" w:hAnsi="inherit"/>
          <w:b/>
          <w:i/>
          <w:sz w:val="17"/>
        </w:rPr>
      </w:pPr>
      <w:r>
        <w:rPr>
          <w:rFonts w:ascii="inherit" w:hAnsi="inherit"/>
          <w:b/>
          <w:i/>
          <w:sz w:val="17"/>
        </w:rPr>
        <w:t>Operating Lease Commitments</w:t>
      </w:r>
    </w:p>
    <w:p>
      <w:pPr>
        <w:pStyle w:val="TextBody"/>
        <w:spacing w:lineRule="auto" w:line="288" w:before="0" w:after="0"/>
        <w:jc w:val="both"/>
        <w:rPr>
          <w:sz w:val="17"/>
        </w:rPr>
      </w:pPr>
      <w:r>
        <w:rPr>
          <w:rFonts w:ascii="inherit" w:hAnsi="inherit"/>
          <w:sz w:val="17"/>
        </w:rPr>
        <w:t>We are liable under various operating leases for: (i) land at the Cascata golf course, which expires in 2038 and (ii) offices in New Orleans, Louisiana and New York, New York, which expire in 2019 and 2020, respectively. The weighted average remaining lease term as of March 31, 2019 under our operating leases was 18.7</w:t>
      </w:r>
      <w:r>
        <w:rPr>
          <w:sz w:val="17"/>
        </w:rPr>
        <w:t xml:space="preserve"> </w:t>
      </w:r>
      <w:r>
        <w:rPr>
          <w:rFonts w:ascii="inherit" w:hAnsi="inherit"/>
          <w:sz w:val="17"/>
        </w:rPr>
        <w:t>years. Our Cascata ground lease has three</w:t>
      </w:r>
      <w:r>
        <w:rPr>
          <w:sz w:val="17"/>
        </w:rPr>
        <w:t xml:space="preserve"> </w:t>
      </w:r>
      <w:r>
        <w:rPr>
          <w:rFonts w:ascii="inherit" w:hAnsi="inherit"/>
          <w:sz w:val="17"/>
        </w:rPr>
        <w:t xml:space="preserve">10-year extension options. The rent of such options would be the in-place rent at the time of renewal. </w:t>
      </w:r>
    </w:p>
    <w:p>
      <w:pPr>
        <w:pStyle w:val="TextBody"/>
        <w:spacing w:lineRule="auto" w:line="288" w:before="0" w:after="0"/>
        <w:jc w:val="both"/>
        <w:rPr>
          <w:sz w:val="17"/>
        </w:rPr>
      </w:pPr>
      <w:r>
        <w:rPr>
          <w:rFonts w:ascii="inherit" w:hAnsi="inherit"/>
          <w:sz w:val="17"/>
        </w:rPr>
        <w:t>Total rental expense under these agreements, included in golf operations and general and administrative expenses in our Statement of Operations, was approximately $0.4 million</w:t>
      </w:r>
      <w:r>
        <w:rPr>
          <w:sz w:val="17"/>
        </w:rPr>
        <w:t xml:space="preserve"> </w:t>
      </w:r>
      <w:r>
        <w:rPr>
          <w:rFonts w:ascii="inherit" w:hAnsi="inherit"/>
          <w:sz w:val="17"/>
        </w:rPr>
        <w:t>and $0.3 million</w:t>
      </w:r>
      <w:r>
        <w:rPr>
          <w:sz w:val="17"/>
        </w:rPr>
        <w:t xml:space="preserve"> </w:t>
      </w:r>
      <w:r>
        <w:rPr>
          <w:rFonts w:ascii="inherit" w:hAnsi="inherit"/>
          <w:sz w:val="17"/>
        </w:rPr>
        <w:t xml:space="preserve">for the three months ended March 31, 2019 and 2018, respectively. </w:t>
      </w:r>
    </w:p>
    <w:p>
      <w:pPr>
        <w:pStyle w:val="TextBody"/>
        <w:spacing w:lineRule="auto" w:line="288" w:before="0" w:after="0"/>
        <w:jc w:val="both"/>
        <w:rPr>
          <w:sz w:val="17"/>
        </w:rPr>
      </w:pPr>
      <w:r>
        <w:rPr>
          <w:rFonts w:ascii="inherit" w:hAnsi="inherit"/>
          <w:sz w:val="17"/>
        </w:rPr>
        <w:t>On January 1, 2019, upon adoption of ASC 842, we recorded an $11.1 million</w:t>
      </w:r>
      <w:r>
        <w:rPr>
          <w:sz w:val="17"/>
        </w:rPr>
        <w:t xml:space="preserve"> </w:t>
      </w:r>
      <w:r>
        <w:rPr>
          <w:rFonts w:ascii="inherit" w:hAnsi="inherit"/>
          <w:sz w:val="17"/>
        </w:rPr>
        <w:t>right of use asset and a corresponding lease liability within Other assets and Other liabilities, respectively, on our Balance Sheet, related to the ground lease of the land at the Cascata Golf Course. The discount rate for the lease was determined to be 5.5%</w:t>
      </w:r>
      <w:r>
        <w:rPr>
          <w:sz w:val="17"/>
        </w:rPr>
        <w:t xml:space="preserve"> </w:t>
      </w:r>
      <w:r>
        <w:rPr>
          <w:rFonts w:ascii="inherit" w:hAnsi="inherit"/>
          <w:sz w:val="17"/>
        </w:rPr>
        <w:t xml:space="preserve">and was based on the yield of our current secured borrowings, adjusted to match borrowings of similar terms.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23</w:t>
      </w:r>
      <w:r>
        <w:br w:type="page"/>
      </w:r>
    </w:p>
    <w:p>
      <w:pPr>
        <w:pStyle w:val="TextBody"/>
        <w:spacing w:lineRule="auto" w:line="288" w:before="0" w:after="0"/>
        <w:jc w:val="left"/>
        <w:rPr/>
      </w:pPr>
      <w:hyperlink w:anchor="s7181E430E8A9506B896277AC8CF177C4">
        <w:r>
          <w:rPr>
            <w:rStyle w:val="InternetLink"/>
            <w:rFonts w:ascii="inherit" w:hAnsi="inherit"/>
            <w:sz w:val="17"/>
          </w:rPr>
          <w:t>Table of Contents</w:t>
        </w:r>
      </w:hyperlink>
    </w:p>
    <w:p>
      <w:pPr>
        <w:pStyle w:val="TextBody"/>
        <w:spacing w:lineRule="auto" w:line="288" w:before="0" w:after="0"/>
        <w:jc w:val="center"/>
        <w:rPr>
          <w:rFonts w:ascii="inherit" w:hAnsi="inherit"/>
          <w:b/>
          <w:sz w:val="18"/>
        </w:rPr>
      </w:pPr>
      <w:r>
        <w:rPr>
          <w:rFonts w:ascii="inherit" w:hAnsi="inherit"/>
          <w:b/>
          <w:sz w:val="18"/>
        </w:rPr>
        <w:t>VICI PROPERTIES INC.</w:t>
      </w:r>
    </w:p>
    <w:p>
      <w:pPr>
        <w:pStyle w:val="TextBody"/>
        <w:spacing w:lineRule="auto" w:line="288" w:before="0" w:after="0"/>
        <w:jc w:val="center"/>
        <w:rPr>
          <w:rFonts w:ascii="inherit" w:hAnsi="inherit"/>
          <w:b/>
          <w:sz w:val="18"/>
        </w:rPr>
      </w:pPr>
      <w:r>
        <w:rPr>
          <w:rFonts w:ascii="inherit" w:hAnsi="inherit"/>
          <w:b/>
          <w:sz w:val="18"/>
        </w:rPr>
        <w:t>NOTES TO CONSOLIDATED FINANCIAL STATEMENTS (Continued)</w:t>
      </w:r>
    </w:p>
    <w:p>
      <w:pPr>
        <w:pStyle w:val="TextBody"/>
        <w:spacing w:lineRule="auto" w:line="288" w:before="0" w:after="0"/>
        <w:jc w:val="center"/>
        <w:rPr>
          <w:rFonts w:ascii="inherit" w:hAnsi="inherit"/>
          <w:b/>
          <w:sz w:val="18"/>
        </w:rPr>
      </w:pPr>
      <w:r>
        <w:rPr>
          <w:rFonts w:ascii="inherit" w:hAnsi="inherit"/>
          <w:b/>
          <w:sz w:val="18"/>
        </w:rPr>
        <w:t>(UNAUDITED)</w:t>
      </w:r>
    </w:p>
    <w:p>
      <w:pPr>
        <w:pStyle w:val="TextBody"/>
        <w:spacing w:before="0" w:after="0"/>
        <w:rPr/>
      </w:pPr>
      <w:r>
        <w:rPr/>
      </w:r>
    </w:p>
    <w:p>
      <w:pPr>
        <w:pStyle w:val="TextBody"/>
        <w:spacing w:lineRule="auto" w:line="288" w:before="0" w:after="0"/>
        <w:jc w:val="both"/>
        <w:rPr>
          <w:sz w:val="17"/>
        </w:rPr>
      </w:pPr>
      <w:r>
        <w:rPr>
          <w:rFonts w:ascii="inherit" w:hAnsi="inherit"/>
          <w:sz w:val="17"/>
        </w:rPr>
        <w:t>The future minimum lease commitments relating to the base lease rent portion of noncancelable operating leases at March 31, 2019</w:t>
      </w:r>
      <w:r>
        <w:rPr>
          <w:sz w:val="17"/>
        </w:rPr>
        <w:t xml:space="preserve"> </w:t>
      </w:r>
      <w:r>
        <w:rPr>
          <w:rFonts w:ascii="inherit" w:hAnsi="inherit"/>
          <w:sz w:val="17"/>
        </w:rPr>
        <w:t xml:space="preserve">are as follows: </w:t>
      </w:r>
    </w:p>
    <w:tbl>
      <w:tblPr>
        <w:tblW w:w="4868" w:type="dxa"/>
        <w:jc w:val="left"/>
        <w:tblInd w:w="0" w:type="dxa"/>
        <w:tblCellMar>
          <w:top w:w="0" w:type="dxa"/>
          <w:left w:w="0" w:type="dxa"/>
          <w:bottom w:w="0" w:type="dxa"/>
          <w:right w:w="0" w:type="dxa"/>
        </w:tblCellMar>
      </w:tblPr>
      <w:tblGrid>
        <w:gridCol w:w="3020"/>
        <w:gridCol w:w="90"/>
        <w:gridCol w:w="213"/>
        <w:gridCol w:w="1006"/>
        <w:gridCol w:w="539"/>
      </w:tblGrid>
      <w:tr>
        <w:trPr/>
        <w:tc>
          <w:tcPr>
            <w:tcW w:w="4868" w:type="dxa"/>
            <w:gridSpan w:val="5"/>
            <w:tcBorders/>
            <w:shd w:fill="auto" w:val="clear"/>
            <w:vAlign w:val="center"/>
          </w:tcPr>
          <w:p>
            <w:pPr>
              <w:pStyle w:val="TableContents"/>
              <w:spacing w:before="0" w:after="283"/>
              <w:rPr>
                <w:sz w:val="4"/>
                <w:szCs w:val="4"/>
              </w:rPr>
            </w:pPr>
            <w:r>
              <w:rPr>
                <w:sz w:val="4"/>
                <w:szCs w:val="4"/>
              </w:rPr>
            </w:r>
          </w:p>
        </w:tc>
      </w:tr>
      <w:tr>
        <w:trPr/>
        <w:tc>
          <w:tcPr>
            <w:tcW w:w="30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020" w:type="dxa"/>
            <w:tcBorders/>
            <w:shd w:fill="auto" w:val="clear"/>
            <w:vAlign w:val="center"/>
          </w:tcPr>
          <w:p>
            <w:pPr>
              <w:pStyle w:val="TableContents"/>
              <w:spacing w:before="0" w:after="0"/>
              <w:ind w:left="0" w:right="0" w:firstLine="30"/>
              <w:jc w:val="left"/>
              <w:rPr>
                <w:rFonts w:ascii="inherit" w:hAnsi="inherit"/>
                <w:b/>
                <w:i/>
                <w:sz w:val="13"/>
                <w:u w:val="single"/>
              </w:rPr>
            </w:pPr>
            <w:r>
              <w:rPr>
                <w:rFonts w:ascii="inherit" w:hAnsi="inherit"/>
                <w:b/>
                <w:i/>
                <w:sz w:val="13"/>
                <w:u w:val="single"/>
              </w:rPr>
              <w:t>(In thousands)</w:t>
            </w:r>
          </w:p>
        </w:tc>
        <w:tc>
          <w:tcPr>
            <w:tcW w:w="90" w:type="dxa"/>
            <w:tcBorders/>
            <w:shd w:fill="auto" w:val="clear"/>
            <w:vAlign w:val="center"/>
          </w:tcPr>
          <w:p>
            <w:pPr>
              <w:pStyle w:val="TableContents"/>
              <w:spacing w:before="0" w:after="0"/>
              <w:ind w:left="0" w:right="0" w:firstLine="30"/>
              <w:rPr/>
            </w:pPr>
            <w:r>
              <w:rPr/>
              <w:t> </w:t>
            </w:r>
          </w:p>
        </w:tc>
        <w:tc>
          <w:tcPr>
            <w:tcW w:w="175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Lease Commitments</w:t>
            </w:r>
          </w:p>
        </w:tc>
      </w:tr>
      <w:tr>
        <w:trPr/>
        <w:tc>
          <w:tcPr>
            <w:tcW w:w="3020" w:type="dxa"/>
            <w:tcBorders/>
            <w:shd w:fill="BFE4FF" w:val="clear"/>
            <w:vAlign w:val="center"/>
          </w:tcPr>
          <w:p>
            <w:pPr>
              <w:pStyle w:val="TableContents"/>
              <w:spacing w:before="0" w:after="0"/>
              <w:ind w:left="0" w:right="0" w:firstLine="30"/>
              <w:jc w:val="left"/>
              <w:rPr>
                <w:rFonts w:ascii="inherit" w:hAnsi="inherit"/>
                <w:sz w:val="17"/>
              </w:rPr>
            </w:pPr>
            <w:r>
              <w:rPr>
                <w:rFonts w:ascii="inherit" w:hAnsi="inherit"/>
                <w:sz w:val="17"/>
              </w:rPr>
              <w:t>2019 (remaining)</w:t>
            </w:r>
          </w:p>
        </w:tc>
        <w:tc>
          <w:tcPr>
            <w:tcW w:w="90" w:type="dxa"/>
            <w:tcBorders/>
            <w:shd w:fill="BFE4FF" w:val="clear"/>
            <w:vAlign w:val="center"/>
          </w:tcPr>
          <w:p>
            <w:pPr>
              <w:pStyle w:val="TableContents"/>
              <w:spacing w:before="0" w:after="0"/>
              <w:ind w:left="0" w:right="0" w:firstLine="30"/>
              <w:rPr/>
            </w:pPr>
            <w:r>
              <w:rPr/>
              <w:t> </w:t>
            </w:r>
          </w:p>
        </w:tc>
        <w:tc>
          <w:tcPr>
            <w:tcW w:w="213" w:type="dxa"/>
            <w:tcBorders>
              <w:top w:val="single" w:sz="2" w:space="0" w:color="000000"/>
            </w:tcBorders>
            <w:shd w:fill="BFE4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006" w:type="dxa"/>
            <w:tcBorders>
              <w:top w:val="single" w:sz="2" w:space="0" w:color="000000"/>
            </w:tcBorders>
            <w:shd w:fill="BFE4FF" w:val="clear"/>
            <w:tcMar>
              <w:top w:w="30" w:type="dxa"/>
            </w:tcMar>
            <w:vAlign w:val="center"/>
          </w:tcPr>
          <w:p>
            <w:pPr>
              <w:pStyle w:val="TableContents"/>
              <w:spacing w:before="0" w:after="0"/>
              <w:jc w:val="right"/>
              <w:rPr>
                <w:rFonts w:ascii="inherit" w:hAnsi="inherit"/>
                <w:sz w:val="17"/>
              </w:rPr>
            </w:pPr>
            <w:r>
              <w:rPr>
                <w:rFonts w:ascii="inherit" w:hAnsi="inherit"/>
                <w:sz w:val="17"/>
              </w:rPr>
              <w:t>924</w:t>
            </w:r>
          </w:p>
        </w:tc>
        <w:tc>
          <w:tcPr>
            <w:tcW w:w="539" w:type="dxa"/>
            <w:tcBorders>
              <w:top w:val="single" w:sz="2" w:space="0" w:color="000000"/>
            </w:tcBorders>
            <w:shd w:fill="BFE4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2020</w:t>
            </w:r>
          </w:p>
        </w:tc>
        <w:tc>
          <w:tcPr>
            <w:tcW w:w="90" w:type="dxa"/>
            <w:tcBorders/>
            <w:shd w:fill="auto" w:val="clear"/>
            <w:vAlign w:val="center"/>
          </w:tcPr>
          <w:p>
            <w:pPr>
              <w:pStyle w:val="TableContents"/>
              <w:spacing w:before="0" w:after="0"/>
              <w:ind w:left="0" w:right="0" w:firstLine="30"/>
              <w:rPr/>
            </w:pPr>
            <w:r>
              <w:rPr/>
              <w:t> </w:t>
            </w:r>
          </w:p>
        </w:tc>
        <w:tc>
          <w:tcPr>
            <w:tcW w:w="12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983</w:t>
            </w:r>
          </w:p>
        </w:tc>
        <w:tc>
          <w:tcPr>
            <w:tcW w:w="5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2021</w:t>
            </w:r>
          </w:p>
        </w:tc>
        <w:tc>
          <w:tcPr>
            <w:tcW w:w="90" w:type="dxa"/>
            <w:tcBorders/>
            <w:shd w:fill="CCEEFF" w:val="clear"/>
            <w:vAlign w:val="center"/>
          </w:tcPr>
          <w:p>
            <w:pPr>
              <w:pStyle w:val="TableContents"/>
              <w:spacing w:before="0" w:after="0"/>
              <w:ind w:left="0" w:right="0" w:firstLine="30"/>
              <w:rPr/>
            </w:pPr>
            <w:r>
              <w:rPr/>
              <w:t> </w:t>
            </w:r>
          </w:p>
        </w:tc>
        <w:tc>
          <w:tcPr>
            <w:tcW w:w="12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933</w:t>
            </w:r>
          </w:p>
        </w:tc>
        <w:tc>
          <w:tcPr>
            <w:tcW w:w="5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2022</w:t>
            </w:r>
          </w:p>
        </w:tc>
        <w:tc>
          <w:tcPr>
            <w:tcW w:w="90" w:type="dxa"/>
            <w:tcBorders/>
            <w:shd w:fill="auto" w:val="clear"/>
            <w:vAlign w:val="center"/>
          </w:tcPr>
          <w:p>
            <w:pPr>
              <w:pStyle w:val="TableContents"/>
              <w:spacing w:before="0" w:after="0"/>
              <w:ind w:left="0" w:right="0" w:firstLine="30"/>
              <w:rPr/>
            </w:pPr>
            <w:r>
              <w:rPr/>
              <w:t> </w:t>
            </w:r>
          </w:p>
        </w:tc>
        <w:tc>
          <w:tcPr>
            <w:tcW w:w="12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951</w:t>
            </w:r>
          </w:p>
        </w:tc>
        <w:tc>
          <w:tcPr>
            <w:tcW w:w="5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2023</w:t>
            </w:r>
          </w:p>
        </w:tc>
        <w:tc>
          <w:tcPr>
            <w:tcW w:w="90" w:type="dxa"/>
            <w:tcBorders/>
            <w:shd w:fill="CCEEFF" w:val="clear"/>
            <w:vAlign w:val="center"/>
          </w:tcPr>
          <w:p>
            <w:pPr>
              <w:pStyle w:val="TableContents"/>
              <w:spacing w:before="0" w:after="0"/>
              <w:ind w:left="0" w:right="0" w:firstLine="30"/>
              <w:rPr/>
            </w:pPr>
            <w:r>
              <w:rPr/>
              <w:t> </w:t>
            </w:r>
          </w:p>
        </w:tc>
        <w:tc>
          <w:tcPr>
            <w:tcW w:w="12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970</w:t>
            </w:r>
          </w:p>
        </w:tc>
        <w:tc>
          <w:tcPr>
            <w:tcW w:w="5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2024</w:t>
            </w:r>
          </w:p>
        </w:tc>
        <w:tc>
          <w:tcPr>
            <w:tcW w:w="90" w:type="dxa"/>
            <w:tcBorders/>
            <w:shd w:fill="auto" w:val="clear"/>
            <w:vAlign w:val="center"/>
          </w:tcPr>
          <w:p>
            <w:pPr>
              <w:pStyle w:val="TableContents"/>
              <w:spacing w:before="0" w:after="0"/>
              <w:ind w:left="0" w:right="0" w:firstLine="30"/>
              <w:rPr/>
            </w:pPr>
            <w:r>
              <w:rPr/>
              <w:t> </w:t>
            </w:r>
          </w:p>
        </w:tc>
        <w:tc>
          <w:tcPr>
            <w:tcW w:w="12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990</w:t>
            </w:r>
          </w:p>
        </w:tc>
        <w:tc>
          <w:tcPr>
            <w:tcW w:w="5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Thereafter</w:t>
            </w:r>
          </w:p>
        </w:tc>
        <w:tc>
          <w:tcPr>
            <w:tcW w:w="90" w:type="dxa"/>
            <w:tcBorders/>
            <w:shd w:fill="CCEEFF" w:val="clear"/>
            <w:vAlign w:val="center"/>
          </w:tcPr>
          <w:p>
            <w:pPr>
              <w:pStyle w:val="TableContents"/>
              <w:spacing w:before="0" w:after="0"/>
              <w:ind w:left="0" w:right="0" w:firstLine="30"/>
              <w:rPr/>
            </w:pPr>
            <w:r>
              <w:rPr/>
              <w:t> </w:t>
            </w:r>
          </w:p>
        </w:tc>
        <w:tc>
          <w:tcPr>
            <w:tcW w:w="12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15,905</w:t>
            </w:r>
          </w:p>
        </w:tc>
        <w:tc>
          <w:tcPr>
            <w:tcW w:w="53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0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minimum lease commitments</w:t>
            </w:r>
          </w:p>
        </w:tc>
        <w:tc>
          <w:tcPr>
            <w:tcW w:w="90" w:type="dxa"/>
            <w:tcBorders/>
            <w:shd w:fill="auto" w:val="clear"/>
            <w:vAlign w:val="center"/>
          </w:tcPr>
          <w:p>
            <w:pPr>
              <w:pStyle w:val="TableContents"/>
              <w:spacing w:before="0" w:after="0"/>
              <w:ind w:left="0" w:right="0" w:firstLine="30"/>
              <w:rPr/>
            </w:pPr>
            <w:r>
              <w:rPr/>
              <w:t> </w:t>
            </w:r>
          </w:p>
        </w:tc>
        <w:tc>
          <w:tcPr>
            <w:tcW w:w="21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0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21,656</w:t>
            </w:r>
          </w:p>
        </w:tc>
        <w:tc>
          <w:tcPr>
            <w:tcW w:w="53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Discounting factor</w:t>
            </w:r>
          </w:p>
        </w:tc>
        <w:tc>
          <w:tcPr>
            <w:tcW w:w="90" w:type="dxa"/>
            <w:tcBorders/>
            <w:shd w:fill="CCEEFF" w:val="clear"/>
            <w:vAlign w:val="center"/>
          </w:tcPr>
          <w:p>
            <w:pPr>
              <w:pStyle w:val="TableContents"/>
              <w:spacing w:before="0" w:after="0"/>
              <w:ind w:left="0" w:right="0" w:firstLine="30"/>
              <w:rPr/>
            </w:pPr>
            <w:r>
              <w:rPr/>
              <w:t> </w:t>
            </w:r>
          </w:p>
        </w:tc>
        <w:tc>
          <w:tcPr>
            <w:tcW w:w="12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10,552</w:t>
            </w:r>
          </w:p>
        </w:tc>
        <w:tc>
          <w:tcPr>
            <w:tcW w:w="5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Lease liability</w:t>
            </w:r>
          </w:p>
        </w:tc>
        <w:tc>
          <w:tcPr>
            <w:tcW w:w="90" w:type="dxa"/>
            <w:tcBorders/>
            <w:shd w:fill="auto" w:val="clear"/>
            <w:vAlign w:val="center"/>
          </w:tcPr>
          <w:p>
            <w:pPr>
              <w:pStyle w:val="TableContents"/>
              <w:spacing w:before="0" w:after="0"/>
              <w:ind w:left="0" w:right="0" w:firstLine="30"/>
              <w:rPr/>
            </w:pPr>
            <w:r>
              <w:rPr/>
              <w:t> </w:t>
            </w:r>
          </w:p>
        </w:tc>
        <w:tc>
          <w:tcPr>
            <w:tcW w:w="21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06" w:type="dxa"/>
            <w:tcBorders/>
            <w:shd w:fill="auto" w:val="clear"/>
            <w:vAlign w:val="center"/>
          </w:tcPr>
          <w:p>
            <w:pPr>
              <w:pStyle w:val="TableContents"/>
              <w:spacing w:before="0" w:after="0"/>
              <w:jc w:val="right"/>
              <w:rPr>
                <w:rFonts w:ascii="inherit" w:hAnsi="inherit"/>
                <w:sz w:val="17"/>
              </w:rPr>
            </w:pPr>
            <w:r>
              <w:rPr>
                <w:rFonts w:ascii="inherit" w:hAnsi="inherit"/>
                <w:sz w:val="17"/>
              </w:rPr>
              <w:t>11,104</w:t>
            </w:r>
          </w:p>
        </w:tc>
        <w:tc>
          <w:tcPr>
            <w:tcW w:w="539"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sz w:val="20"/>
        </w:rPr>
      </w:pPr>
      <w:bookmarkStart w:id="23" w:name="sF8015D6AABAB51C498968A9298062428"/>
      <w:bookmarkEnd w:id="23"/>
      <w:r>
        <w:rPr>
          <w:rFonts w:ascii="inherit" w:hAnsi="inherit"/>
          <w:b/>
          <w:sz w:val="20"/>
        </w:rPr>
        <w:t>Note 12</w:t>
      </w:r>
      <w:r>
        <w:rPr>
          <w:sz w:val="20"/>
        </w:rPr>
        <w:t xml:space="preserve"> — </w:t>
      </w:r>
      <w:r>
        <w:rPr>
          <w:rFonts w:ascii="inherit" w:hAnsi="inherit"/>
          <w:b/>
          <w:sz w:val="20"/>
        </w:rPr>
        <w:t>Stockholders' Equity</w:t>
      </w:r>
      <w:r>
        <w:rPr>
          <w:sz w:val="20"/>
        </w:rPr>
        <w:t xml:space="preserve"> </w:t>
      </w:r>
    </w:p>
    <w:p>
      <w:pPr>
        <w:pStyle w:val="TextBody"/>
        <w:spacing w:lineRule="auto" w:line="288" w:before="0" w:after="0"/>
        <w:jc w:val="both"/>
        <w:rPr>
          <w:rFonts w:ascii="inherit" w:hAnsi="inherit"/>
          <w:b/>
          <w:i/>
          <w:sz w:val="17"/>
        </w:rPr>
      </w:pPr>
      <w:r>
        <w:rPr>
          <w:rFonts w:ascii="inherit" w:hAnsi="inherit"/>
          <w:b/>
          <w:i/>
          <w:sz w:val="17"/>
        </w:rPr>
        <w:t>Stock</w:t>
      </w:r>
    </w:p>
    <w:p>
      <w:pPr>
        <w:pStyle w:val="TextBody"/>
        <w:spacing w:lineRule="auto" w:line="288" w:before="0" w:after="0"/>
        <w:jc w:val="both"/>
        <w:rPr>
          <w:sz w:val="17"/>
        </w:rPr>
      </w:pPr>
      <w:r>
        <w:rPr>
          <w:rFonts w:ascii="inherit" w:hAnsi="inherit"/>
          <w:sz w:val="17"/>
        </w:rPr>
        <w:t>We have the authority to issue 750,000,000</w:t>
      </w:r>
      <w:r>
        <w:rPr>
          <w:sz w:val="17"/>
        </w:rPr>
        <w:t xml:space="preserve"> </w:t>
      </w:r>
      <w:r>
        <w:rPr>
          <w:rFonts w:ascii="inherit" w:hAnsi="inherit"/>
          <w:sz w:val="17"/>
        </w:rPr>
        <w:t>shares of stock, consisting of 700,000,000</w:t>
      </w:r>
      <w:r>
        <w:rPr>
          <w:sz w:val="17"/>
        </w:rPr>
        <w:t xml:space="preserve"> </w:t>
      </w:r>
      <w:r>
        <w:rPr>
          <w:rFonts w:ascii="inherit" w:hAnsi="inherit"/>
          <w:sz w:val="17"/>
        </w:rPr>
        <w:t>shares of Common Stock, $0.01</w:t>
      </w:r>
      <w:r>
        <w:rPr>
          <w:sz w:val="17"/>
        </w:rPr>
        <w:t xml:space="preserve"> </w:t>
      </w:r>
      <w:r>
        <w:rPr>
          <w:rFonts w:ascii="inherit" w:hAnsi="inherit"/>
          <w:sz w:val="17"/>
        </w:rPr>
        <w:t>par value per share and 50,000,000</w:t>
      </w:r>
      <w:r>
        <w:rPr>
          <w:sz w:val="17"/>
        </w:rPr>
        <w:t xml:space="preserve"> </w:t>
      </w:r>
      <w:r>
        <w:rPr>
          <w:rFonts w:ascii="inherit" w:hAnsi="inherit"/>
          <w:sz w:val="17"/>
        </w:rPr>
        <w:t>shares of Preferred Stock, $0.01</w:t>
      </w:r>
      <w:r>
        <w:rPr>
          <w:sz w:val="17"/>
        </w:rPr>
        <w:t xml:space="preserve"> </w:t>
      </w:r>
      <w:r>
        <w:rPr>
          <w:rFonts w:ascii="inherit" w:hAnsi="inherit"/>
          <w:sz w:val="17"/>
        </w:rPr>
        <w:t>par value per share.</w:t>
      </w:r>
    </w:p>
    <w:p>
      <w:pPr>
        <w:pStyle w:val="TextBody"/>
        <w:spacing w:lineRule="auto" w:line="288" w:before="0" w:after="0"/>
        <w:jc w:val="both"/>
        <w:rPr>
          <w:rFonts w:ascii="inherit" w:hAnsi="inherit"/>
          <w:b/>
          <w:i/>
          <w:sz w:val="17"/>
        </w:rPr>
      </w:pPr>
      <w:r>
        <w:rPr>
          <w:rFonts w:ascii="inherit" w:hAnsi="inherit"/>
          <w:b/>
          <w:i/>
          <w:sz w:val="17"/>
        </w:rPr>
        <w:t>Initial Public Offering</w:t>
      </w:r>
    </w:p>
    <w:p>
      <w:pPr>
        <w:pStyle w:val="TextBody"/>
        <w:spacing w:lineRule="auto" w:line="288" w:before="0" w:after="0"/>
        <w:jc w:val="both"/>
        <w:rPr>
          <w:sz w:val="17"/>
        </w:rPr>
      </w:pPr>
      <w:r>
        <w:rPr>
          <w:rFonts w:ascii="inherit" w:hAnsi="inherit"/>
          <w:sz w:val="17"/>
        </w:rPr>
        <w:t>On February 5, 2018, we completed an initial public offering of 69,575,000</w:t>
      </w:r>
      <w:r>
        <w:rPr>
          <w:sz w:val="17"/>
        </w:rPr>
        <w:t xml:space="preserve"> </w:t>
      </w:r>
      <w:r>
        <w:rPr>
          <w:rFonts w:ascii="inherit" w:hAnsi="inherit"/>
          <w:sz w:val="17"/>
        </w:rPr>
        <w:t>shares of common stock at an offering price of $20.00</w:t>
      </w:r>
      <w:r>
        <w:rPr>
          <w:sz w:val="17"/>
        </w:rPr>
        <w:t xml:space="preserve"> </w:t>
      </w:r>
      <w:r>
        <w:rPr>
          <w:rFonts w:ascii="inherit" w:hAnsi="inherit"/>
          <w:sz w:val="17"/>
        </w:rPr>
        <w:t>per share for an aggregate offering value of $1.4 billion, resulting in net proceeds of approximately $1.3 billion</w:t>
      </w:r>
      <w:r>
        <w:rPr>
          <w:sz w:val="17"/>
        </w:rPr>
        <w:t xml:space="preserve"> </w:t>
      </w:r>
      <w:r>
        <w:rPr>
          <w:rFonts w:ascii="inherit" w:hAnsi="inherit"/>
          <w:sz w:val="17"/>
        </w:rPr>
        <w:t xml:space="preserve">after commissions and expenses. </w:t>
      </w:r>
    </w:p>
    <w:p>
      <w:pPr>
        <w:pStyle w:val="TextBody"/>
        <w:spacing w:lineRule="auto" w:line="288" w:before="0" w:after="0"/>
        <w:jc w:val="both"/>
        <w:rPr>
          <w:rFonts w:ascii="inherit" w:hAnsi="inherit"/>
          <w:b/>
          <w:i/>
          <w:sz w:val="17"/>
        </w:rPr>
      </w:pPr>
      <w:r>
        <w:rPr>
          <w:rFonts w:ascii="inherit" w:hAnsi="inherit"/>
          <w:b/>
          <w:i/>
          <w:sz w:val="17"/>
        </w:rPr>
        <w:t>Primary Follow-on Offering</w:t>
      </w:r>
    </w:p>
    <w:p>
      <w:pPr>
        <w:pStyle w:val="TextBody"/>
        <w:spacing w:lineRule="auto" w:line="288" w:before="0" w:after="0"/>
        <w:jc w:val="both"/>
        <w:rPr>
          <w:sz w:val="17"/>
        </w:rPr>
      </w:pPr>
      <w:r>
        <w:rPr>
          <w:rFonts w:ascii="inherit" w:hAnsi="inherit"/>
          <w:sz w:val="17"/>
        </w:rPr>
        <w:t>On November 19, 2018, we completed a primary follow-on offering of 34,500,000</w:t>
      </w:r>
      <w:r>
        <w:rPr>
          <w:sz w:val="17"/>
        </w:rPr>
        <w:t xml:space="preserve"> </w:t>
      </w:r>
      <w:r>
        <w:rPr>
          <w:rFonts w:ascii="inherit" w:hAnsi="inherit"/>
          <w:sz w:val="17"/>
        </w:rPr>
        <w:t>shares of common stock at an offering price of $21.00</w:t>
      </w:r>
      <w:r>
        <w:rPr>
          <w:sz w:val="17"/>
        </w:rPr>
        <w:t xml:space="preserve"> </w:t>
      </w:r>
      <w:r>
        <w:rPr>
          <w:rFonts w:ascii="inherit" w:hAnsi="inherit"/>
          <w:sz w:val="17"/>
        </w:rPr>
        <w:t>per share for an aggregate offering value of $724.5 million, resulting in net proceeds of $694.2 million. We intend to contribute the net proceeds from the offering to pay a portion of the aggregate purchase price of $700.0 million</w:t>
      </w:r>
      <w:r>
        <w:rPr>
          <w:sz w:val="17"/>
        </w:rPr>
        <w:t xml:space="preserve"> </w:t>
      </w:r>
      <w:r>
        <w:rPr>
          <w:rFonts w:ascii="inherit" w:hAnsi="inherit"/>
          <w:sz w:val="17"/>
        </w:rPr>
        <w:t>for the recently announced acquisition of the land and real estate assets of Greektown in Detroit, Michigan and related fees and expenses.</w:t>
      </w:r>
    </w:p>
    <w:p>
      <w:pPr>
        <w:pStyle w:val="TextBody"/>
        <w:spacing w:lineRule="auto" w:line="288" w:before="0" w:after="0"/>
        <w:jc w:val="both"/>
        <w:rPr>
          <w:rFonts w:ascii="inherit" w:hAnsi="inherit"/>
          <w:b/>
          <w:i/>
          <w:sz w:val="17"/>
        </w:rPr>
      </w:pPr>
      <w:r>
        <w:rPr>
          <w:rFonts w:ascii="inherit" w:hAnsi="inherit"/>
          <w:b/>
          <w:i/>
          <w:sz w:val="17"/>
        </w:rPr>
        <w:t>At-the-Market Offering Program</w:t>
      </w:r>
    </w:p>
    <w:p>
      <w:pPr>
        <w:pStyle w:val="TextBody"/>
        <w:spacing w:lineRule="auto" w:line="288" w:before="0" w:after="0"/>
        <w:jc w:val="both"/>
        <w:rPr>
          <w:sz w:val="17"/>
        </w:rPr>
      </w:pPr>
      <w:r>
        <w:rPr>
          <w:rFonts w:ascii="inherit" w:hAnsi="inherit"/>
          <w:sz w:val="17"/>
        </w:rPr>
        <w:t>On December 19, 2018, we entered into an equity distribution agreement, or ATM Agreement, pursuant to which we may sell, from time to time, up to an aggregate sales price of $750.0 million</w:t>
      </w:r>
      <w:r>
        <w:rPr>
          <w:sz w:val="17"/>
        </w:rPr>
        <w:t xml:space="preserve"> </w:t>
      </w:r>
      <w:r>
        <w:rPr>
          <w:rFonts w:ascii="inherit" w:hAnsi="inherit"/>
          <w:sz w:val="17"/>
        </w:rPr>
        <w:t>of our common stock. Sales of common stock, if any, made pursuant to the ATM Agreement may be sold in negotiated transactions or transactions that are deemed to be “at the market” offerings, as defined in Rule 415 of the Securities Act of 1933, as amended. Actual sales will depend on a variety of factors including market conditions, the trading price of our common stock, our capital needs, and our determination of the appropriate sources of funding to meet such needs. During the three months ended March 31, 2019, we sold a total of 6,107,633</w:t>
      </w:r>
      <w:r>
        <w:rPr>
          <w:sz w:val="17"/>
        </w:rPr>
        <w:t xml:space="preserve"> </w:t>
      </w:r>
      <w:r>
        <w:rPr>
          <w:rFonts w:ascii="inherit" w:hAnsi="inherit"/>
          <w:sz w:val="17"/>
        </w:rPr>
        <w:t xml:space="preserve">shares under the at-the-market offering program for aggregate proceeds of $129.9 million, net of stock issuance fees of $1.8 million, primarily related to underwriters' fees and commissions, and legal and accounting fees. </w:t>
      </w:r>
    </w:p>
    <w:p>
      <w:pPr>
        <w:pStyle w:val="TextBody"/>
        <w:spacing w:lineRule="auto" w:line="288" w:before="0" w:after="0"/>
        <w:jc w:val="both"/>
        <w:rPr>
          <w:sz w:val="17"/>
        </w:rPr>
      </w:pPr>
      <w:r>
        <w:rPr>
          <w:rFonts w:ascii="inherit" w:hAnsi="inherit"/>
          <w:sz w:val="17"/>
        </w:rPr>
        <w:t>After giving effect to the initial public offering, the primary follow-on offering, the at-the-market offering program and the issuance of certain unvested restricted shares under the 2017 Stock Incentive Plan (the “Plan”), we have 410,970,554</w:t>
      </w:r>
      <w:r>
        <w:rPr>
          <w:sz w:val="17"/>
        </w:rPr>
        <w:t xml:space="preserve"> </w:t>
      </w:r>
      <w:r>
        <w:rPr>
          <w:rFonts w:ascii="inherit" w:hAnsi="inherit"/>
          <w:sz w:val="17"/>
        </w:rPr>
        <w:t>shares of Common Stock issued and outstanding as of March 31, 2019. We have no obligation to sell the remaining shares available for sale under the at-the-market offering program.</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24</w:t>
      </w:r>
      <w:r>
        <w:br w:type="page"/>
      </w:r>
    </w:p>
    <w:p>
      <w:pPr>
        <w:pStyle w:val="TextBody"/>
        <w:spacing w:lineRule="auto" w:line="288" w:before="0" w:after="0"/>
        <w:jc w:val="left"/>
        <w:rPr/>
      </w:pPr>
      <w:hyperlink w:anchor="s7181E430E8A9506B896277AC8CF177C4">
        <w:r>
          <w:rPr>
            <w:rStyle w:val="InternetLink"/>
            <w:rFonts w:ascii="inherit" w:hAnsi="inherit"/>
            <w:sz w:val="17"/>
          </w:rPr>
          <w:t>Table of Contents</w:t>
        </w:r>
      </w:hyperlink>
    </w:p>
    <w:p>
      <w:pPr>
        <w:pStyle w:val="TextBody"/>
        <w:spacing w:lineRule="auto" w:line="288" w:before="0" w:after="0"/>
        <w:jc w:val="center"/>
        <w:rPr>
          <w:rFonts w:ascii="inherit" w:hAnsi="inherit"/>
          <w:b/>
          <w:sz w:val="18"/>
        </w:rPr>
      </w:pPr>
      <w:r>
        <w:rPr>
          <w:rFonts w:ascii="inherit" w:hAnsi="inherit"/>
          <w:b/>
          <w:sz w:val="18"/>
        </w:rPr>
        <w:t>VICI PROPERTIES INC.</w:t>
      </w:r>
    </w:p>
    <w:p>
      <w:pPr>
        <w:pStyle w:val="TextBody"/>
        <w:spacing w:lineRule="auto" w:line="288" w:before="0" w:after="0"/>
        <w:jc w:val="center"/>
        <w:rPr>
          <w:rFonts w:ascii="inherit" w:hAnsi="inherit"/>
          <w:b/>
          <w:sz w:val="18"/>
        </w:rPr>
      </w:pPr>
      <w:r>
        <w:rPr>
          <w:rFonts w:ascii="inherit" w:hAnsi="inherit"/>
          <w:b/>
          <w:sz w:val="18"/>
        </w:rPr>
        <w:t>NOTES TO CONSOLIDATED FINANCIAL STATEMENTS (Continued)</w:t>
      </w:r>
    </w:p>
    <w:p>
      <w:pPr>
        <w:pStyle w:val="TextBody"/>
        <w:spacing w:lineRule="auto" w:line="288" w:before="0" w:after="0"/>
        <w:jc w:val="center"/>
        <w:rPr>
          <w:rFonts w:ascii="inherit" w:hAnsi="inherit"/>
          <w:b/>
          <w:sz w:val="18"/>
        </w:rPr>
      </w:pPr>
      <w:r>
        <w:rPr>
          <w:rFonts w:ascii="inherit" w:hAnsi="inherit"/>
          <w:b/>
          <w:sz w:val="18"/>
        </w:rPr>
        <w:t>(UNAUDITED)</w:t>
      </w:r>
    </w:p>
    <w:p>
      <w:pPr>
        <w:pStyle w:val="TextBody"/>
        <w:spacing w:before="0" w:after="0"/>
        <w:rPr/>
      </w:pPr>
      <w:r>
        <w:rPr/>
      </w:r>
    </w:p>
    <w:p>
      <w:pPr>
        <w:pStyle w:val="TextBody"/>
        <w:spacing w:lineRule="auto" w:line="288" w:before="0" w:after="0"/>
        <w:jc w:val="both"/>
        <w:rPr>
          <w:rFonts w:ascii="inherit" w:hAnsi="inherit"/>
          <w:b/>
          <w:i/>
          <w:sz w:val="17"/>
        </w:rPr>
      </w:pPr>
      <w:r>
        <w:rPr>
          <w:rFonts w:ascii="inherit" w:hAnsi="inherit"/>
          <w:b/>
          <w:i/>
          <w:sz w:val="17"/>
        </w:rPr>
        <w:t>Dividends</w:t>
      </w:r>
    </w:p>
    <w:p>
      <w:pPr>
        <w:pStyle w:val="TextBody"/>
        <w:spacing w:lineRule="auto" w:line="288" w:before="0" w:after="0"/>
        <w:jc w:val="both"/>
        <w:rPr>
          <w:sz w:val="17"/>
        </w:rPr>
      </w:pPr>
      <w:r>
        <w:rPr>
          <w:rFonts w:ascii="inherit" w:hAnsi="inherit"/>
          <w:sz w:val="17"/>
        </w:rPr>
        <w:t>Dividends declared (on a per share basis) during the three months ended March 31, 2019 and 2018</w:t>
      </w:r>
      <w:r>
        <w:rPr>
          <w:sz w:val="17"/>
        </w:rPr>
        <w:t xml:space="preserve"> </w:t>
      </w:r>
      <w:r>
        <w:rPr>
          <w:rFonts w:ascii="inherit" w:hAnsi="inherit"/>
          <w:sz w:val="17"/>
        </w:rPr>
        <w:t>were as follows:</w:t>
      </w:r>
    </w:p>
    <w:tbl>
      <w:tblPr>
        <w:tblW w:w="5310" w:type="dxa"/>
        <w:jc w:val="center"/>
        <w:tblInd w:w="0" w:type="dxa"/>
        <w:tblCellMar>
          <w:top w:w="0" w:type="dxa"/>
          <w:left w:w="0" w:type="dxa"/>
          <w:bottom w:w="0" w:type="dxa"/>
          <w:right w:w="0" w:type="dxa"/>
        </w:tblCellMar>
      </w:tblPr>
      <w:tblGrid>
        <w:gridCol w:w="1550"/>
        <w:gridCol w:w="90"/>
        <w:gridCol w:w="2780"/>
        <w:gridCol w:w="90"/>
        <w:gridCol w:w="131"/>
        <w:gridCol w:w="621"/>
        <w:gridCol w:w="48"/>
      </w:tblGrid>
      <w:tr>
        <w:trPr/>
        <w:tc>
          <w:tcPr>
            <w:tcW w:w="5310" w:type="dxa"/>
            <w:gridSpan w:val="7"/>
            <w:tcBorders/>
            <w:shd w:fill="auto" w:val="clear"/>
            <w:vAlign w:val="center"/>
          </w:tcPr>
          <w:p>
            <w:pPr>
              <w:pStyle w:val="TableContents"/>
              <w:spacing w:before="0" w:after="283"/>
              <w:rPr>
                <w:sz w:val="4"/>
                <w:szCs w:val="4"/>
              </w:rPr>
            </w:pPr>
            <w:r>
              <w:rPr>
                <w:sz w:val="4"/>
                <w:szCs w:val="4"/>
              </w:rPr>
            </w:r>
          </w:p>
        </w:tc>
      </w:tr>
      <w:tr>
        <w:trPr/>
        <w:tc>
          <w:tcPr>
            <w:tcW w:w="155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78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4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31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Three Months Ended March 31, 2019</w:t>
            </w:r>
          </w:p>
        </w:tc>
      </w:tr>
      <w:tr>
        <w:trPr/>
        <w:tc>
          <w:tcPr>
            <w:tcW w:w="155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Declaration Date</w:t>
            </w:r>
          </w:p>
        </w:tc>
        <w:tc>
          <w:tcPr>
            <w:tcW w:w="90" w:type="dxa"/>
            <w:tcBorders/>
            <w:shd w:fill="auto" w:val="clear"/>
            <w:vAlign w:val="center"/>
          </w:tcPr>
          <w:p>
            <w:pPr>
              <w:pStyle w:val="TableContents"/>
              <w:spacing w:before="0" w:after="0"/>
              <w:ind w:left="0" w:right="0" w:firstLine="30"/>
              <w:rPr/>
            </w:pPr>
            <w:r>
              <w:rPr/>
              <w:t> </w:t>
            </w:r>
          </w:p>
        </w:tc>
        <w:tc>
          <w:tcPr>
            <w:tcW w:w="278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Period</w:t>
            </w:r>
          </w:p>
        </w:tc>
        <w:tc>
          <w:tcPr>
            <w:tcW w:w="90" w:type="dxa"/>
            <w:tcBorders/>
            <w:shd w:fill="auto" w:val="clear"/>
            <w:vAlign w:val="center"/>
          </w:tcPr>
          <w:p>
            <w:pPr>
              <w:pStyle w:val="TableContents"/>
              <w:spacing w:before="0" w:after="0"/>
              <w:ind w:left="0" w:right="0" w:firstLine="30"/>
              <w:rPr/>
            </w:pPr>
            <w:r>
              <w:rPr/>
              <w:t> </w:t>
            </w:r>
          </w:p>
        </w:tc>
        <w:tc>
          <w:tcPr>
            <w:tcW w:w="80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Dividend</w:t>
            </w:r>
          </w:p>
        </w:tc>
      </w:tr>
      <w:tr>
        <w:trPr/>
        <w:tc>
          <w:tcPr>
            <w:tcW w:w="1550" w:type="dxa"/>
            <w:tcBorders/>
            <w:shd w:fill="CCEEFF" w:val="clear"/>
            <w:vAlign w:val="center"/>
          </w:tcPr>
          <w:p>
            <w:pPr>
              <w:pStyle w:val="TableContents"/>
              <w:spacing w:lineRule="auto" w:line="288" w:before="0" w:after="0"/>
              <w:ind w:left="0" w:right="0" w:firstLine="30"/>
              <w:jc w:val="center"/>
              <w:rPr>
                <w:sz w:val="17"/>
              </w:rPr>
            </w:pPr>
            <w:r>
              <w:rPr>
                <w:rFonts w:ascii="inherit" w:hAnsi="inherit"/>
                <w:sz w:val="17"/>
              </w:rPr>
              <w:t xml:space="preserve">March 14, 2019 </w:t>
            </w:r>
            <w:r>
              <w:rPr>
                <w:rFonts w:ascii="inherit" w:hAnsi="inherit"/>
                <w:i/>
                <w:sz w:val="12"/>
              </w:rPr>
              <w:t>(1)</w:t>
            </w:r>
          </w:p>
        </w:tc>
        <w:tc>
          <w:tcPr>
            <w:tcW w:w="90" w:type="dxa"/>
            <w:tcBorders/>
            <w:shd w:fill="CCEEFF" w:val="clear"/>
            <w:vAlign w:val="center"/>
          </w:tcPr>
          <w:p>
            <w:pPr>
              <w:pStyle w:val="TableContents"/>
              <w:spacing w:before="0" w:after="0"/>
              <w:ind w:left="0" w:right="0" w:firstLine="30"/>
              <w:rPr/>
            </w:pPr>
            <w:r>
              <w:rPr/>
              <w:t> </w:t>
            </w:r>
          </w:p>
        </w:tc>
        <w:tc>
          <w:tcPr>
            <w:tcW w:w="2780"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January 1, 2019 - March 31, 2019</w:t>
            </w:r>
          </w:p>
        </w:tc>
        <w:tc>
          <w:tcPr>
            <w:tcW w:w="90" w:type="dxa"/>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21" w:type="dxa"/>
            <w:tcBorders/>
            <w:shd w:fill="CCEEFF" w:val="clear"/>
            <w:vAlign w:val="center"/>
          </w:tcPr>
          <w:p>
            <w:pPr>
              <w:pStyle w:val="TableContents"/>
              <w:spacing w:before="0" w:after="0"/>
              <w:jc w:val="right"/>
              <w:rPr>
                <w:rFonts w:ascii="inherit" w:hAnsi="inherit"/>
                <w:sz w:val="17"/>
              </w:rPr>
            </w:pPr>
            <w:r>
              <w:rPr>
                <w:rFonts w:ascii="inherit" w:hAnsi="inherit"/>
                <w:sz w:val="17"/>
              </w:rPr>
              <w:t>0.2875</w:t>
            </w:r>
          </w:p>
        </w:tc>
        <w:tc>
          <w:tcPr>
            <w:tcW w:w="48"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tbl>
      <w:tblPr>
        <w:tblW w:w="5430" w:type="dxa"/>
        <w:jc w:val="center"/>
        <w:tblInd w:w="0" w:type="dxa"/>
        <w:tblCellMar>
          <w:top w:w="0" w:type="dxa"/>
          <w:left w:w="0" w:type="dxa"/>
          <w:bottom w:w="0" w:type="dxa"/>
          <w:right w:w="0" w:type="dxa"/>
        </w:tblCellMar>
      </w:tblPr>
      <w:tblGrid>
        <w:gridCol w:w="1550"/>
        <w:gridCol w:w="90"/>
        <w:gridCol w:w="2900"/>
        <w:gridCol w:w="90"/>
        <w:gridCol w:w="181"/>
        <w:gridCol w:w="552"/>
        <w:gridCol w:w="67"/>
      </w:tblGrid>
      <w:tr>
        <w:trPr/>
        <w:tc>
          <w:tcPr>
            <w:tcW w:w="5430" w:type="dxa"/>
            <w:gridSpan w:val="7"/>
            <w:tcBorders/>
            <w:shd w:fill="auto" w:val="clear"/>
            <w:vAlign w:val="center"/>
          </w:tcPr>
          <w:p>
            <w:pPr>
              <w:pStyle w:val="TableContents"/>
              <w:spacing w:before="0" w:after="283"/>
              <w:rPr>
                <w:sz w:val="4"/>
                <w:szCs w:val="4"/>
              </w:rPr>
            </w:pPr>
            <w:r>
              <w:rPr>
                <w:sz w:val="4"/>
                <w:szCs w:val="4"/>
              </w:rPr>
            </w:r>
          </w:p>
        </w:tc>
      </w:tr>
      <w:tr>
        <w:trPr/>
        <w:tc>
          <w:tcPr>
            <w:tcW w:w="155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43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Three Months Ended March 31, 2018</w:t>
            </w:r>
          </w:p>
        </w:tc>
      </w:tr>
      <w:tr>
        <w:trPr/>
        <w:tc>
          <w:tcPr>
            <w:tcW w:w="155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Declaration Date</w:t>
            </w:r>
          </w:p>
        </w:tc>
        <w:tc>
          <w:tcPr>
            <w:tcW w:w="90" w:type="dxa"/>
            <w:tcBorders/>
            <w:shd w:fill="auto" w:val="clear"/>
            <w:vAlign w:val="center"/>
          </w:tcPr>
          <w:p>
            <w:pPr>
              <w:pStyle w:val="TableContents"/>
              <w:spacing w:before="0" w:after="0"/>
              <w:ind w:left="0" w:right="0" w:firstLine="30"/>
              <w:rPr/>
            </w:pPr>
            <w:r>
              <w:rPr/>
              <w:t> </w:t>
            </w:r>
          </w:p>
        </w:tc>
        <w:tc>
          <w:tcPr>
            <w:tcW w:w="290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Period</w:t>
            </w:r>
          </w:p>
        </w:tc>
        <w:tc>
          <w:tcPr>
            <w:tcW w:w="90" w:type="dxa"/>
            <w:tcBorders/>
            <w:shd w:fill="auto" w:val="clear"/>
            <w:vAlign w:val="center"/>
          </w:tcPr>
          <w:p>
            <w:pPr>
              <w:pStyle w:val="TableContents"/>
              <w:spacing w:before="0" w:after="0"/>
              <w:ind w:left="0" w:right="0" w:firstLine="30"/>
              <w:rPr/>
            </w:pPr>
            <w:r>
              <w:rPr/>
              <w:t> </w:t>
            </w:r>
          </w:p>
        </w:tc>
        <w:tc>
          <w:tcPr>
            <w:tcW w:w="80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Dividend</w:t>
            </w:r>
          </w:p>
        </w:tc>
      </w:tr>
      <w:tr>
        <w:trPr/>
        <w:tc>
          <w:tcPr>
            <w:tcW w:w="1550" w:type="dxa"/>
            <w:tcBorders/>
            <w:shd w:fill="CCEEFF" w:val="clear"/>
            <w:vAlign w:val="center"/>
          </w:tcPr>
          <w:p>
            <w:pPr>
              <w:pStyle w:val="TableContents"/>
              <w:spacing w:lineRule="auto" w:line="288" w:before="0" w:after="0"/>
              <w:ind w:left="0" w:right="0" w:firstLine="30"/>
              <w:jc w:val="center"/>
              <w:rPr>
                <w:sz w:val="17"/>
              </w:rPr>
            </w:pPr>
            <w:r>
              <w:rPr>
                <w:rFonts w:ascii="inherit" w:hAnsi="inherit"/>
                <w:sz w:val="17"/>
              </w:rPr>
              <w:t xml:space="preserve">March 15, 2018 </w:t>
            </w:r>
            <w:r>
              <w:rPr>
                <w:rFonts w:ascii="inherit" w:hAnsi="inherit"/>
                <w:i/>
                <w:sz w:val="12"/>
              </w:rPr>
              <w:t>(2)</w:t>
            </w:r>
          </w:p>
        </w:tc>
        <w:tc>
          <w:tcPr>
            <w:tcW w:w="90" w:type="dxa"/>
            <w:tcBorders/>
            <w:shd w:fill="CCEEFF" w:val="clear"/>
            <w:vAlign w:val="center"/>
          </w:tcPr>
          <w:p>
            <w:pPr>
              <w:pStyle w:val="TableContents"/>
              <w:spacing w:before="0" w:after="0"/>
              <w:ind w:left="0" w:right="0" w:firstLine="30"/>
              <w:rPr/>
            </w:pPr>
            <w:r>
              <w:rPr/>
              <w:t> </w:t>
            </w:r>
          </w:p>
        </w:tc>
        <w:tc>
          <w:tcPr>
            <w:tcW w:w="2900"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February 5, 2018 - March 31, 2018</w:t>
            </w:r>
          </w:p>
        </w:tc>
        <w:tc>
          <w:tcPr>
            <w:tcW w:w="90" w:type="dxa"/>
            <w:tcBorders/>
            <w:shd w:fill="CCEEFF" w:val="clear"/>
            <w:vAlign w:val="center"/>
          </w:tcPr>
          <w:p>
            <w:pPr>
              <w:pStyle w:val="TableContents"/>
              <w:spacing w:before="0" w:after="0"/>
              <w:ind w:left="0" w:right="0" w:firstLine="30"/>
              <w:rPr/>
            </w:pPr>
            <w:r>
              <w:rPr/>
              <w:t> </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52" w:type="dxa"/>
            <w:tcBorders/>
            <w:shd w:fill="CCEEFF" w:val="clear"/>
            <w:vAlign w:val="center"/>
          </w:tcPr>
          <w:p>
            <w:pPr>
              <w:pStyle w:val="TableContents"/>
              <w:spacing w:before="0" w:after="0"/>
              <w:jc w:val="right"/>
              <w:rPr>
                <w:rFonts w:ascii="inherit" w:hAnsi="inherit"/>
                <w:sz w:val="17"/>
              </w:rPr>
            </w:pPr>
            <w:r>
              <w:rPr>
                <w:rFonts w:ascii="inherit" w:hAnsi="inherit"/>
                <w:sz w:val="17"/>
              </w:rPr>
              <w:t>0.16</w:t>
            </w:r>
          </w:p>
        </w:tc>
        <w:tc>
          <w:tcPr>
            <w:tcW w:w="67"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____________________</w:t>
      </w:r>
    </w:p>
    <w:tbl>
      <w:tblPr>
        <w:tblW w:w="8365" w:type="dxa"/>
        <w:jc w:val="left"/>
        <w:tblInd w:w="0" w:type="dxa"/>
        <w:tblCellMar>
          <w:top w:w="0" w:type="dxa"/>
          <w:left w:w="0" w:type="dxa"/>
          <w:bottom w:w="0" w:type="dxa"/>
          <w:right w:w="0" w:type="dxa"/>
        </w:tblCellMar>
      </w:tblPr>
      <w:tblGrid>
        <w:gridCol w:w="245"/>
        <w:gridCol w:w="8120"/>
      </w:tblGrid>
      <w:tr>
        <w:trPr/>
        <w:tc>
          <w:tcPr>
            <w:tcW w:w="245" w:type="dxa"/>
            <w:tcBorders/>
            <w:shd w:fill="auto" w:val="clear"/>
            <w:vAlign w:val="center"/>
          </w:tcPr>
          <w:p>
            <w:pPr>
              <w:pStyle w:val="TableContents"/>
              <w:spacing w:before="0" w:after="283"/>
              <w:rPr>
                <w:sz w:val="4"/>
                <w:szCs w:val="4"/>
              </w:rPr>
            </w:pPr>
            <w:r>
              <w:rPr>
                <w:sz w:val="4"/>
                <w:szCs w:val="4"/>
              </w:rPr>
            </w:r>
          </w:p>
        </w:tc>
        <w:tc>
          <w:tcPr>
            <w:tcW w:w="812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i/>
                <w:sz w:val="13"/>
              </w:rPr>
            </w:pPr>
            <w:r>
              <w:rPr>
                <w:rFonts w:ascii="inherit" w:hAnsi="inherit"/>
                <w:i/>
                <w:sz w:val="13"/>
              </w:rPr>
              <w:t>(1)</w:t>
            </w:r>
          </w:p>
        </w:tc>
        <w:tc>
          <w:tcPr>
            <w:tcW w:w="8120" w:type="dxa"/>
            <w:tcBorders/>
            <w:shd w:fill="auto" w:val="clear"/>
            <w:vAlign w:val="center"/>
          </w:tcPr>
          <w:p>
            <w:pPr>
              <w:pStyle w:val="TableContents"/>
              <w:spacing w:lineRule="auto" w:line="288" w:before="0" w:after="0"/>
              <w:jc w:val="both"/>
              <w:rPr>
                <w:rFonts w:ascii="inherit" w:hAnsi="inherit"/>
                <w:i/>
                <w:sz w:val="13"/>
              </w:rPr>
            </w:pPr>
            <w:r>
              <w:rPr>
                <w:rFonts w:ascii="inherit" w:hAnsi="inherit"/>
                <w:i/>
                <w:sz w:val="13"/>
              </w:rPr>
              <w:t>The dividend was paid on April 11, 2019 to stockholders of record as of the close of business on March 29, 2019.</w:t>
            </w:r>
          </w:p>
        </w:tc>
      </w:tr>
    </w:tbl>
    <w:tbl>
      <w:tblPr>
        <w:tblW w:w="10205" w:type="dxa"/>
        <w:jc w:val="left"/>
        <w:tblInd w:w="0" w:type="dxa"/>
        <w:tblCellMar>
          <w:top w:w="0" w:type="dxa"/>
          <w:left w:w="0" w:type="dxa"/>
          <w:bottom w:w="0" w:type="dxa"/>
          <w:right w:w="0" w:type="dxa"/>
        </w:tblCellMar>
      </w:tblPr>
      <w:tblGrid>
        <w:gridCol w:w="210"/>
        <w:gridCol w:w="9995"/>
      </w:tblGrid>
      <w:tr>
        <w:trPr/>
        <w:tc>
          <w:tcPr>
            <w:tcW w:w="210" w:type="dxa"/>
            <w:tcBorders/>
            <w:shd w:fill="auto" w:val="clear"/>
            <w:vAlign w:val="center"/>
          </w:tcPr>
          <w:p>
            <w:pPr>
              <w:pStyle w:val="TableContents"/>
              <w:spacing w:before="0" w:after="283"/>
              <w:rPr>
                <w:sz w:val="4"/>
                <w:szCs w:val="4"/>
              </w:rPr>
            </w:pPr>
            <w:r>
              <w:rPr>
                <w:sz w:val="4"/>
                <w:szCs w:val="4"/>
              </w:rPr>
            </w:r>
          </w:p>
        </w:tc>
        <w:tc>
          <w:tcPr>
            <w:tcW w:w="9995" w:type="dxa"/>
            <w:tcBorders/>
            <w:shd w:fill="auto" w:val="clear"/>
            <w:vAlign w:val="center"/>
          </w:tcPr>
          <w:p>
            <w:pPr>
              <w:pStyle w:val="TableContents"/>
              <w:spacing w:before="0" w:after="283"/>
              <w:rPr>
                <w:sz w:val="4"/>
                <w:szCs w:val="4"/>
              </w:rPr>
            </w:pPr>
            <w:r>
              <w:rPr>
                <w:sz w:val="4"/>
                <w:szCs w:val="4"/>
              </w:rPr>
            </w:r>
          </w:p>
        </w:tc>
      </w:tr>
      <w:tr>
        <w:trPr/>
        <w:tc>
          <w:tcPr>
            <w:tcW w:w="210" w:type="dxa"/>
            <w:tcBorders/>
            <w:shd w:fill="auto" w:val="clear"/>
            <w:vAlign w:val="center"/>
          </w:tcPr>
          <w:p>
            <w:pPr>
              <w:pStyle w:val="TableContents"/>
              <w:spacing w:lineRule="auto" w:line="288" w:before="0" w:after="0"/>
              <w:ind w:left="0" w:right="0" w:hanging="0"/>
              <w:rPr>
                <w:rFonts w:ascii="inherit" w:hAnsi="inherit"/>
                <w:i/>
                <w:sz w:val="13"/>
              </w:rPr>
            </w:pPr>
            <w:r>
              <w:rPr>
                <w:rFonts w:ascii="inherit" w:hAnsi="inherit"/>
                <w:i/>
                <w:sz w:val="13"/>
              </w:rPr>
              <w:t>(2)</w:t>
            </w:r>
          </w:p>
        </w:tc>
        <w:tc>
          <w:tcPr>
            <w:tcW w:w="9995" w:type="dxa"/>
            <w:tcBorders/>
            <w:shd w:fill="auto" w:val="clear"/>
            <w:vAlign w:val="center"/>
          </w:tcPr>
          <w:p>
            <w:pPr>
              <w:pStyle w:val="TableContents"/>
              <w:spacing w:lineRule="auto" w:line="288" w:before="0" w:after="0"/>
              <w:jc w:val="both"/>
              <w:rPr>
                <w:sz w:val="13"/>
              </w:rPr>
            </w:pPr>
            <w:r>
              <w:rPr>
                <w:rFonts w:ascii="inherit" w:hAnsi="inherit"/>
                <w:i/>
                <w:sz w:val="13"/>
              </w:rPr>
              <w:t>The dividend was pro-rated for the period commencing upon the closing of our initial public offering and ending on March 31, 2018, based on a quarterly distribution rate of $0.2625</w:t>
            </w:r>
            <w:r>
              <w:rPr>
                <w:sz w:val="13"/>
              </w:rPr>
              <w:t xml:space="preserve"> </w:t>
            </w:r>
            <w:r>
              <w:rPr>
                <w:rFonts w:ascii="inherit" w:hAnsi="inherit"/>
                <w:i/>
                <w:sz w:val="13"/>
              </w:rPr>
              <w:t>per share. The dividend was paid on April 13, 2018 to stockholders of record as of the close of business on March 29, 2018.</w:t>
            </w:r>
          </w:p>
        </w:tc>
      </w:tr>
    </w:tbl>
    <w:p>
      <w:pPr>
        <w:pStyle w:val="TextBody"/>
        <w:spacing w:lineRule="auto" w:line="288" w:before="0" w:after="0"/>
        <w:jc w:val="both"/>
        <w:rPr>
          <w:sz w:val="20"/>
        </w:rPr>
      </w:pPr>
      <w:bookmarkStart w:id="24" w:name="s63D38F279C825821AD8D015614AD4565"/>
      <w:bookmarkEnd w:id="24"/>
      <w:r>
        <w:rPr>
          <w:rFonts w:ascii="inherit" w:hAnsi="inherit"/>
          <w:b/>
          <w:sz w:val="20"/>
        </w:rPr>
        <w:t>Note 13</w:t>
      </w:r>
      <w:r>
        <w:rPr>
          <w:sz w:val="20"/>
        </w:rPr>
        <w:t xml:space="preserve"> — </w:t>
      </w:r>
      <w:r>
        <w:rPr>
          <w:rFonts w:ascii="inherit" w:hAnsi="inherit"/>
          <w:b/>
          <w:sz w:val="20"/>
        </w:rPr>
        <w:t>Earnings Per Share</w:t>
      </w:r>
      <w:r>
        <w:rPr>
          <w:sz w:val="20"/>
        </w:rPr>
        <w:t xml:space="preserve"> </w:t>
      </w:r>
    </w:p>
    <w:p>
      <w:pPr>
        <w:pStyle w:val="TextBody"/>
        <w:spacing w:lineRule="auto" w:line="288" w:before="0" w:after="0"/>
        <w:jc w:val="both"/>
        <w:rPr>
          <w:rFonts w:ascii="inherit" w:hAnsi="inherit"/>
          <w:sz w:val="17"/>
        </w:rPr>
      </w:pPr>
      <w:r>
        <w:rPr>
          <w:rFonts w:ascii="inherit" w:hAnsi="inherit"/>
          <w:sz w:val="17"/>
        </w:rPr>
        <w:t>Basic earnings per share is computed by dividing net income attributable to common stockholders by the weighted-average number of common shares outstanding during the period, excluding net income attributable to participating securities (unvested restricted stock awards). Diluted earnings per share reflects the additional dilution for all potentially-dilutive securities such as stock options, unvested restricted shares and unvested performance-based restricted shares. The following table reconciles the weighted-average common shares outstanding used in the calculation of basic earnings per share to the weighted-average common shares outstanding used in the calculation of diluted earnings per share for the three months ended March 31, 2019 and 2018:</w:t>
      </w:r>
    </w:p>
    <w:tbl>
      <w:tblPr>
        <w:tblW w:w="10205" w:type="dxa"/>
        <w:jc w:val="left"/>
        <w:tblInd w:w="0" w:type="dxa"/>
        <w:tblCellMar>
          <w:top w:w="0" w:type="dxa"/>
          <w:left w:w="0" w:type="dxa"/>
          <w:bottom w:w="0" w:type="dxa"/>
          <w:right w:w="0" w:type="dxa"/>
        </w:tblCellMar>
      </w:tblPr>
      <w:tblGrid>
        <w:gridCol w:w="4322"/>
        <w:gridCol w:w="2755"/>
        <w:gridCol w:w="118"/>
        <w:gridCol w:w="90"/>
        <w:gridCol w:w="2008"/>
        <w:gridCol w:w="912"/>
      </w:tblGrid>
      <w:tr>
        <w:trPr/>
        <w:tc>
          <w:tcPr>
            <w:tcW w:w="10205" w:type="dxa"/>
            <w:gridSpan w:val="6"/>
            <w:tcBorders/>
            <w:shd w:fill="auto" w:val="clear"/>
            <w:vAlign w:val="center"/>
          </w:tcPr>
          <w:p>
            <w:pPr>
              <w:pStyle w:val="TableContents"/>
              <w:spacing w:before="0" w:after="283"/>
              <w:rPr>
                <w:sz w:val="4"/>
                <w:szCs w:val="4"/>
              </w:rPr>
            </w:pPr>
            <w:r>
              <w:rPr>
                <w:sz w:val="4"/>
                <w:szCs w:val="4"/>
              </w:rPr>
            </w:r>
          </w:p>
        </w:tc>
      </w:tr>
      <w:tr>
        <w:trPr/>
        <w:tc>
          <w:tcPr>
            <w:tcW w:w="4322" w:type="dxa"/>
            <w:tcBorders/>
            <w:shd w:fill="auto" w:val="clear"/>
            <w:vAlign w:val="center"/>
          </w:tcPr>
          <w:p>
            <w:pPr>
              <w:pStyle w:val="TableContents"/>
              <w:spacing w:before="0" w:after="283"/>
              <w:rPr>
                <w:sz w:val="4"/>
                <w:szCs w:val="4"/>
              </w:rPr>
            </w:pPr>
            <w:r>
              <w:rPr>
                <w:sz w:val="4"/>
                <w:szCs w:val="4"/>
              </w:rPr>
            </w:r>
          </w:p>
        </w:tc>
        <w:tc>
          <w:tcPr>
            <w:tcW w:w="2755"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008"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322" w:type="dxa"/>
            <w:tcBorders/>
            <w:shd w:fill="auto" w:val="clear"/>
            <w:vAlign w:val="center"/>
          </w:tcPr>
          <w:p>
            <w:pPr>
              <w:pStyle w:val="TableContents"/>
              <w:spacing w:before="0" w:after="0"/>
              <w:ind w:left="0" w:right="0" w:firstLine="30"/>
              <w:jc w:val="left"/>
              <w:rPr>
                <w:rFonts w:ascii="inherit" w:hAnsi="inherit"/>
                <w:b/>
                <w:i/>
                <w:sz w:val="13"/>
                <w:u w:val="single"/>
              </w:rPr>
            </w:pPr>
            <w:r>
              <w:rPr>
                <w:rFonts w:ascii="inherit" w:hAnsi="inherit"/>
                <w:b/>
                <w:i/>
                <w:sz w:val="13"/>
                <w:u w:val="single"/>
              </w:rPr>
              <w:t>(In thousands)</w:t>
            </w:r>
          </w:p>
        </w:tc>
        <w:tc>
          <w:tcPr>
            <w:tcW w:w="2873"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Three Months Ended March 31, 2019</w:t>
            </w:r>
          </w:p>
        </w:tc>
        <w:tc>
          <w:tcPr>
            <w:tcW w:w="90" w:type="dxa"/>
            <w:tcBorders/>
            <w:shd w:fill="auto" w:val="clear"/>
            <w:vAlign w:val="center"/>
          </w:tcPr>
          <w:p>
            <w:pPr>
              <w:pStyle w:val="TableContents"/>
              <w:spacing w:before="0" w:after="0"/>
              <w:ind w:left="0" w:right="0" w:firstLine="30"/>
              <w:rPr/>
            </w:pPr>
            <w:r>
              <w:rPr/>
              <w:t> </w:t>
            </w:r>
          </w:p>
        </w:tc>
        <w:tc>
          <w:tcPr>
            <w:tcW w:w="292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Three Months Ended March 31, 2018</w:t>
            </w:r>
          </w:p>
        </w:tc>
      </w:tr>
      <w:tr>
        <w:trPr/>
        <w:tc>
          <w:tcPr>
            <w:tcW w:w="4322"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Determination of shares:</w:t>
            </w:r>
          </w:p>
        </w:tc>
        <w:tc>
          <w:tcPr>
            <w:tcW w:w="2873" w:type="dxa"/>
            <w:gridSpan w:val="2"/>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008" w:type="dxa"/>
            <w:tcBorders/>
            <w:shd w:fill="CCEEFF" w:val="clear"/>
            <w:vAlign w:val="center"/>
          </w:tcPr>
          <w:p>
            <w:pPr>
              <w:pStyle w:val="TableContents"/>
              <w:spacing w:before="0" w:after="0"/>
              <w:jc w:val="right"/>
              <w:rPr/>
            </w:pPr>
            <w:r>
              <w:rPr/>
              <w:t> </w:t>
            </w:r>
          </w:p>
        </w:tc>
        <w:tc>
          <w:tcPr>
            <w:tcW w:w="912"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3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Weighted-average common shares outstanding</w:t>
            </w:r>
          </w:p>
        </w:tc>
        <w:tc>
          <w:tcPr>
            <w:tcW w:w="2755" w:type="dxa"/>
            <w:tcBorders/>
            <w:shd w:fill="auto" w:val="clear"/>
            <w:vAlign w:val="center"/>
          </w:tcPr>
          <w:p>
            <w:pPr>
              <w:pStyle w:val="TableContents"/>
              <w:spacing w:before="0" w:after="0"/>
              <w:jc w:val="right"/>
              <w:rPr>
                <w:rFonts w:ascii="inherit" w:hAnsi="inherit"/>
                <w:sz w:val="17"/>
              </w:rPr>
            </w:pPr>
            <w:r>
              <w:rPr>
                <w:rFonts w:ascii="inherit" w:hAnsi="inherit"/>
                <w:sz w:val="17"/>
              </w:rPr>
              <w:t>405,734</w:t>
            </w:r>
          </w:p>
        </w:tc>
        <w:tc>
          <w:tcPr>
            <w:tcW w:w="1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008" w:type="dxa"/>
            <w:tcBorders/>
            <w:shd w:fill="auto" w:val="clear"/>
            <w:vAlign w:val="center"/>
          </w:tcPr>
          <w:p>
            <w:pPr>
              <w:pStyle w:val="TableContents"/>
              <w:spacing w:before="0" w:after="0"/>
              <w:jc w:val="right"/>
              <w:rPr>
                <w:rFonts w:ascii="inherit" w:hAnsi="inherit"/>
                <w:sz w:val="17"/>
              </w:rPr>
            </w:pPr>
            <w:r>
              <w:rPr>
                <w:rFonts w:ascii="inherit" w:hAnsi="inherit"/>
                <w:sz w:val="17"/>
              </w:rPr>
              <w:t>342,901</w:t>
            </w:r>
          </w:p>
        </w:tc>
        <w:tc>
          <w:tcPr>
            <w:tcW w:w="912"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3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Assumed conversion of restricted stock</w:t>
            </w:r>
          </w:p>
        </w:tc>
        <w:tc>
          <w:tcPr>
            <w:tcW w:w="2755" w:type="dxa"/>
            <w:tcBorders/>
            <w:shd w:fill="CCEEFF" w:val="clear"/>
            <w:vAlign w:val="center"/>
          </w:tcPr>
          <w:p>
            <w:pPr>
              <w:pStyle w:val="TableContents"/>
              <w:spacing w:before="0" w:after="0"/>
              <w:jc w:val="right"/>
              <w:rPr>
                <w:rFonts w:ascii="inherit" w:hAnsi="inherit"/>
                <w:sz w:val="17"/>
              </w:rPr>
            </w:pPr>
            <w:r>
              <w:rPr>
                <w:rFonts w:ascii="inherit" w:hAnsi="inherit"/>
                <w:sz w:val="17"/>
              </w:rPr>
              <w:t>301</w:t>
            </w:r>
          </w:p>
        </w:tc>
        <w:tc>
          <w:tcPr>
            <w:tcW w:w="1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008" w:type="dxa"/>
            <w:tcBorders/>
            <w:shd w:fill="CCEEFF" w:val="clear"/>
            <w:vAlign w:val="center"/>
          </w:tcPr>
          <w:p>
            <w:pPr>
              <w:pStyle w:val="TableContents"/>
              <w:spacing w:before="0" w:after="0"/>
              <w:jc w:val="right"/>
              <w:rPr>
                <w:rFonts w:ascii="inherit" w:hAnsi="inherit"/>
                <w:sz w:val="17"/>
              </w:rPr>
            </w:pPr>
            <w:r>
              <w:rPr>
                <w:rFonts w:ascii="inherit" w:hAnsi="inherit"/>
                <w:sz w:val="17"/>
              </w:rPr>
              <w:t>156</w:t>
            </w:r>
          </w:p>
        </w:tc>
        <w:tc>
          <w:tcPr>
            <w:tcW w:w="912"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3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Diluted weighted-average common shares outstanding</w:t>
            </w:r>
          </w:p>
        </w:tc>
        <w:tc>
          <w:tcPr>
            <w:tcW w:w="275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406,035</w:t>
            </w:r>
          </w:p>
        </w:tc>
        <w:tc>
          <w:tcPr>
            <w:tcW w:w="11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00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343,057</w:t>
            </w:r>
          </w:p>
        </w:tc>
        <w:tc>
          <w:tcPr>
            <w:tcW w:w="91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center"/>
        <w:tblInd w:w="0" w:type="dxa"/>
        <w:tblCellMar>
          <w:top w:w="0" w:type="dxa"/>
          <w:left w:w="0" w:type="dxa"/>
          <w:bottom w:w="0" w:type="dxa"/>
          <w:right w:w="0" w:type="dxa"/>
        </w:tblCellMar>
      </w:tblPr>
      <w:tblGrid>
        <w:gridCol w:w="4311"/>
        <w:gridCol w:w="422"/>
        <w:gridCol w:w="2354"/>
        <w:gridCol w:w="100"/>
        <w:gridCol w:w="90"/>
        <w:gridCol w:w="321"/>
        <w:gridCol w:w="1790"/>
        <w:gridCol w:w="817"/>
      </w:tblGrid>
      <w:tr>
        <w:trPr/>
        <w:tc>
          <w:tcPr>
            <w:tcW w:w="10205" w:type="dxa"/>
            <w:gridSpan w:val="8"/>
            <w:tcBorders/>
            <w:shd w:fill="auto" w:val="clear"/>
            <w:vAlign w:val="center"/>
          </w:tcPr>
          <w:p>
            <w:pPr>
              <w:pStyle w:val="TableContents"/>
              <w:spacing w:lineRule="auto" w:line="288" w:before="0" w:after="0"/>
              <w:ind w:left="0" w:right="0" w:hanging="0"/>
              <w:jc w:val="left"/>
              <w:rPr>
                <w:rFonts w:ascii="inherit" w:hAnsi="inherit"/>
                <w:i/>
                <w:sz w:val="17"/>
                <w:u w:val="single"/>
              </w:rPr>
            </w:pPr>
            <w:r>
              <w:rPr>
                <w:rFonts w:ascii="inherit" w:hAnsi="inherit"/>
                <w:i/>
                <w:sz w:val="17"/>
                <w:u w:val="single"/>
              </w:rPr>
              <w:t>Basic and Diluted Earnings Per Share</w:t>
            </w:r>
          </w:p>
        </w:tc>
      </w:tr>
      <w:tr>
        <w:trPr/>
        <w:tc>
          <w:tcPr>
            <w:tcW w:w="4311"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2354"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790"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311" w:type="dxa"/>
            <w:tcBorders/>
            <w:shd w:fill="auto" w:val="clear"/>
            <w:vAlign w:val="center"/>
          </w:tcPr>
          <w:p>
            <w:pPr>
              <w:pStyle w:val="TableContents"/>
              <w:spacing w:before="0" w:after="0"/>
              <w:ind w:left="0" w:right="0" w:firstLine="30"/>
              <w:jc w:val="left"/>
              <w:rPr>
                <w:rFonts w:ascii="inherit" w:hAnsi="inherit"/>
                <w:b/>
                <w:i/>
                <w:sz w:val="13"/>
                <w:u w:val="single"/>
              </w:rPr>
            </w:pPr>
            <w:r>
              <w:rPr>
                <w:rFonts w:ascii="inherit" w:hAnsi="inherit"/>
                <w:b/>
                <w:i/>
                <w:sz w:val="13"/>
                <w:u w:val="single"/>
              </w:rPr>
              <w:t>(In thousands, except per share data)</w:t>
            </w:r>
          </w:p>
        </w:tc>
        <w:tc>
          <w:tcPr>
            <w:tcW w:w="287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Three Months Ended March 31, 2019</w:t>
            </w:r>
          </w:p>
        </w:tc>
        <w:tc>
          <w:tcPr>
            <w:tcW w:w="90" w:type="dxa"/>
            <w:tcBorders/>
            <w:shd w:fill="auto" w:val="clear"/>
            <w:vAlign w:val="center"/>
          </w:tcPr>
          <w:p>
            <w:pPr>
              <w:pStyle w:val="TableContents"/>
              <w:spacing w:before="0" w:after="0"/>
              <w:ind w:left="0" w:right="0" w:firstLine="30"/>
              <w:rPr/>
            </w:pPr>
            <w:r>
              <w:rPr/>
              <w:t> </w:t>
            </w:r>
          </w:p>
        </w:tc>
        <w:tc>
          <w:tcPr>
            <w:tcW w:w="292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Three Months Ended March 31, 2018</w:t>
            </w:r>
          </w:p>
        </w:tc>
      </w:tr>
      <w:tr>
        <w:trPr/>
        <w:tc>
          <w:tcPr>
            <w:tcW w:w="4311"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Basic:</w:t>
            </w:r>
          </w:p>
        </w:tc>
        <w:tc>
          <w:tcPr>
            <w:tcW w:w="287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928" w:type="dxa"/>
            <w:gridSpan w:val="3"/>
            <w:tcBorders/>
            <w:shd w:fill="CCEEFF" w:val="clear"/>
            <w:vAlign w:val="center"/>
          </w:tcPr>
          <w:p>
            <w:pPr>
              <w:pStyle w:val="TableContents"/>
              <w:spacing w:before="0" w:after="0"/>
              <w:ind w:left="0" w:right="0" w:firstLine="300"/>
              <w:rPr/>
            </w:pPr>
            <w:r>
              <w:rPr/>
              <w:t> </w:t>
            </w:r>
          </w:p>
        </w:tc>
      </w:tr>
      <w:tr>
        <w:trPr/>
        <w:tc>
          <w:tcPr>
            <w:tcW w:w="43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common stockholders</w:t>
            </w:r>
          </w:p>
        </w:tc>
        <w:tc>
          <w:tcPr>
            <w:tcW w:w="42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2354" w:type="dxa"/>
            <w:tcBorders/>
            <w:shd w:fill="auto" w:val="clear"/>
            <w:vAlign w:val="center"/>
          </w:tcPr>
          <w:p>
            <w:pPr>
              <w:pStyle w:val="TableContents"/>
              <w:spacing w:before="0" w:after="0"/>
              <w:jc w:val="right"/>
              <w:rPr>
                <w:rFonts w:ascii="inherit" w:hAnsi="inherit"/>
                <w:sz w:val="17"/>
              </w:rPr>
            </w:pPr>
            <w:r>
              <w:rPr>
                <w:rFonts w:ascii="inherit" w:hAnsi="inherit"/>
                <w:sz w:val="17"/>
              </w:rPr>
              <w:t>150,849</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2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790" w:type="dxa"/>
            <w:tcBorders/>
            <w:shd w:fill="auto" w:val="clear"/>
            <w:vAlign w:val="center"/>
          </w:tcPr>
          <w:p>
            <w:pPr>
              <w:pStyle w:val="TableContents"/>
              <w:spacing w:before="0" w:after="0"/>
              <w:jc w:val="right"/>
              <w:rPr>
                <w:rFonts w:ascii="inherit" w:hAnsi="inherit"/>
                <w:sz w:val="17"/>
              </w:rPr>
            </w:pPr>
            <w:r>
              <w:rPr>
                <w:rFonts w:ascii="inherit" w:hAnsi="inherit"/>
                <w:sz w:val="17"/>
              </w:rPr>
              <w:t>112,122</w:t>
            </w:r>
          </w:p>
        </w:tc>
        <w:tc>
          <w:tcPr>
            <w:tcW w:w="81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3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Weighted-average common shares outstanding</w:t>
            </w:r>
          </w:p>
        </w:tc>
        <w:tc>
          <w:tcPr>
            <w:tcW w:w="27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405,734</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11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342,901</w:t>
            </w:r>
          </w:p>
        </w:tc>
        <w:tc>
          <w:tcPr>
            <w:tcW w:w="817" w:type="dxa"/>
            <w:tcBorders>
              <w:bottom w:val="single" w:sz="2" w:space="0" w:color="000000"/>
            </w:tcBorders>
            <w:shd w:fill="CCEEFF"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3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Basic EPS</w:t>
            </w:r>
          </w:p>
        </w:tc>
        <w:tc>
          <w:tcPr>
            <w:tcW w:w="42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35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0.37</w:t>
            </w:r>
          </w:p>
        </w:tc>
        <w:tc>
          <w:tcPr>
            <w:tcW w:w="10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2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7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0.33</w:t>
            </w:r>
          </w:p>
        </w:tc>
        <w:tc>
          <w:tcPr>
            <w:tcW w:w="81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11" w:type="dxa"/>
            <w:tcBorders/>
            <w:shd w:fill="CCEEFF" w:val="clear"/>
            <w:vAlign w:val="center"/>
          </w:tcPr>
          <w:p>
            <w:pPr>
              <w:pStyle w:val="TableContents"/>
              <w:spacing w:before="0" w:after="0"/>
              <w:ind w:left="0" w:right="0" w:firstLine="30"/>
              <w:jc w:val="left"/>
              <w:rPr/>
            </w:pPr>
            <w:r>
              <w:rPr/>
              <w:t> </w:t>
            </w:r>
          </w:p>
        </w:tc>
        <w:tc>
          <w:tcPr>
            <w:tcW w:w="287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928" w:type="dxa"/>
            <w:gridSpan w:val="3"/>
            <w:tcBorders/>
            <w:shd w:fill="CCEEFF" w:val="clear"/>
            <w:vAlign w:val="center"/>
          </w:tcPr>
          <w:p>
            <w:pPr>
              <w:pStyle w:val="TableContents"/>
              <w:spacing w:before="0" w:after="0"/>
              <w:ind w:left="0" w:right="0" w:firstLine="30"/>
              <w:rPr/>
            </w:pPr>
            <w:r>
              <w:rPr/>
              <w:t> </w:t>
            </w:r>
          </w:p>
        </w:tc>
      </w:tr>
      <w:tr>
        <w:trPr/>
        <w:tc>
          <w:tcPr>
            <w:tcW w:w="4311"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Diluted:</w:t>
            </w:r>
          </w:p>
        </w:tc>
        <w:tc>
          <w:tcPr>
            <w:tcW w:w="287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928" w:type="dxa"/>
            <w:gridSpan w:val="3"/>
            <w:tcBorders/>
            <w:shd w:fill="auto" w:val="clear"/>
            <w:vAlign w:val="center"/>
          </w:tcPr>
          <w:p>
            <w:pPr>
              <w:pStyle w:val="TableContents"/>
              <w:spacing w:before="0" w:after="0"/>
              <w:ind w:left="0" w:right="0" w:firstLine="300"/>
              <w:rPr/>
            </w:pPr>
            <w:r>
              <w:rPr/>
              <w:t> </w:t>
            </w:r>
          </w:p>
        </w:tc>
      </w:tr>
      <w:tr>
        <w:trPr/>
        <w:tc>
          <w:tcPr>
            <w:tcW w:w="43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common stockholders</w:t>
            </w:r>
          </w:p>
        </w:tc>
        <w:tc>
          <w:tcPr>
            <w:tcW w:w="42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2354" w:type="dxa"/>
            <w:tcBorders/>
            <w:shd w:fill="CCEEFF" w:val="clear"/>
            <w:vAlign w:val="center"/>
          </w:tcPr>
          <w:p>
            <w:pPr>
              <w:pStyle w:val="TableContents"/>
              <w:spacing w:before="0" w:after="0"/>
              <w:jc w:val="right"/>
              <w:rPr>
                <w:rFonts w:ascii="inherit" w:hAnsi="inherit"/>
                <w:sz w:val="17"/>
              </w:rPr>
            </w:pPr>
            <w:r>
              <w:rPr>
                <w:rFonts w:ascii="inherit" w:hAnsi="inherit"/>
                <w:sz w:val="17"/>
              </w:rPr>
              <w:t>150,849</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2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790" w:type="dxa"/>
            <w:tcBorders/>
            <w:shd w:fill="CCEEFF" w:val="clear"/>
            <w:vAlign w:val="center"/>
          </w:tcPr>
          <w:p>
            <w:pPr>
              <w:pStyle w:val="TableContents"/>
              <w:spacing w:before="0" w:after="0"/>
              <w:jc w:val="right"/>
              <w:rPr>
                <w:rFonts w:ascii="inherit" w:hAnsi="inherit"/>
                <w:sz w:val="17"/>
              </w:rPr>
            </w:pPr>
            <w:r>
              <w:rPr>
                <w:rFonts w:ascii="inherit" w:hAnsi="inherit"/>
                <w:sz w:val="17"/>
              </w:rPr>
              <w:t>112,122</w:t>
            </w:r>
          </w:p>
        </w:tc>
        <w:tc>
          <w:tcPr>
            <w:tcW w:w="817"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3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Diluted weighted-average common shares outstanding</w:t>
            </w:r>
          </w:p>
        </w:tc>
        <w:tc>
          <w:tcPr>
            <w:tcW w:w="27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406,035</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343,057</w:t>
            </w:r>
          </w:p>
        </w:tc>
        <w:tc>
          <w:tcPr>
            <w:tcW w:w="81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3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Diluted EPS</w:t>
            </w:r>
          </w:p>
        </w:tc>
        <w:tc>
          <w:tcPr>
            <w:tcW w:w="42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35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0.37</w:t>
            </w:r>
          </w:p>
        </w:tc>
        <w:tc>
          <w:tcPr>
            <w:tcW w:w="10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2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7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0.33</w:t>
            </w:r>
          </w:p>
        </w:tc>
        <w:tc>
          <w:tcPr>
            <w:tcW w:w="81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25</w:t>
      </w:r>
      <w:r>
        <w:br w:type="page"/>
      </w:r>
    </w:p>
    <w:p>
      <w:pPr>
        <w:pStyle w:val="TextBody"/>
        <w:spacing w:lineRule="auto" w:line="288" w:before="0" w:after="0"/>
        <w:jc w:val="left"/>
        <w:rPr/>
      </w:pPr>
      <w:hyperlink w:anchor="s7181E430E8A9506B896277AC8CF177C4">
        <w:bookmarkStart w:id="25" w:name="s600A4409E44B5DD1A5C4006A102810AD"/>
        <w:bookmarkEnd w:id="25"/>
        <w:r>
          <w:rPr>
            <w:rStyle w:val="InternetLink"/>
            <w:rFonts w:ascii="inherit" w:hAnsi="inherit"/>
            <w:sz w:val="17"/>
          </w:rPr>
          <w:t>Table of Contents</w:t>
        </w:r>
      </w:hyperlink>
    </w:p>
    <w:p>
      <w:pPr>
        <w:pStyle w:val="TextBody"/>
        <w:spacing w:lineRule="auto" w:line="288" w:before="0" w:after="0"/>
        <w:jc w:val="center"/>
        <w:rPr>
          <w:rFonts w:ascii="inherit" w:hAnsi="inherit"/>
          <w:b/>
          <w:sz w:val="18"/>
        </w:rPr>
      </w:pPr>
      <w:r>
        <w:rPr>
          <w:rFonts w:ascii="inherit" w:hAnsi="inherit"/>
          <w:b/>
          <w:sz w:val="18"/>
        </w:rPr>
        <w:t>VICI PROPERTIES INC.</w:t>
      </w:r>
    </w:p>
    <w:p>
      <w:pPr>
        <w:pStyle w:val="TextBody"/>
        <w:spacing w:lineRule="auto" w:line="288" w:before="0" w:after="0"/>
        <w:jc w:val="center"/>
        <w:rPr>
          <w:rFonts w:ascii="inherit" w:hAnsi="inherit"/>
          <w:b/>
          <w:sz w:val="18"/>
        </w:rPr>
      </w:pPr>
      <w:r>
        <w:rPr>
          <w:rFonts w:ascii="inherit" w:hAnsi="inherit"/>
          <w:b/>
          <w:sz w:val="18"/>
        </w:rPr>
        <w:t>NOTES TO CONSOLIDATED FINANCIAL STATEMENTS (Continued)</w:t>
      </w:r>
    </w:p>
    <w:p>
      <w:pPr>
        <w:pStyle w:val="TextBody"/>
        <w:spacing w:lineRule="auto" w:line="288" w:before="0" w:after="0"/>
        <w:jc w:val="center"/>
        <w:rPr>
          <w:rFonts w:ascii="inherit" w:hAnsi="inherit"/>
          <w:b/>
          <w:sz w:val="18"/>
        </w:rPr>
      </w:pPr>
      <w:r>
        <w:rPr>
          <w:rFonts w:ascii="inherit" w:hAnsi="inherit"/>
          <w:b/>
          <w:sz w:val="18"/>
        </w:rPr>
        <w:t>(UNAUDITED)</w:t>
      </w:r>
    </w:p>
    <w:p>
      <w:pPr>
        <w:pStyle w:val="TextBody"/>
        <w:spacing w:before="0" w:after="0"/>
        <w:rPr/>
      </w:pPr>
      <w:r>
        <w:rPr/>
      </w:r>
    </w:p>
    <w:p>
      <w:pPr>
        <w:pStyle w:val="TextBody"/>
        <w:spacing w:lineRule="auto" w:line="288" w:before="0" w:after="0"/>
        <w:jc w:val="both"/>
        <w:rPr>
          <w:sz w:val="20"/>
        </w:rPr>
      </w:pPr>
      <w:r>
        <w:rPr>
          <w:rFonts w:ascii="inherit" w:hAnsi="inherit"/>
          <w:b/>
          <w:sz w:val="20"/>
        </w:rPr>
        <w:t>Note 14</w:t>
      </w:r>
      <w:r>
        <w:rPr>
          <w:sz w:val="20"/>
        </w:rPr>
        <w:t xml:space="preserve"> — </w:t>
      </w:r>
      <w:r>
        <w:rPr>
          <w:rFonts w:ascii="inherit" w:hAnsi="inherit"/>
          <w:b/>
          <w:sz w:val="20"/>
        </w:rPr>
        <w:t>Stock-Based Compensation</w:t>
      </w:r>
      <w:r>
        <w:rPr>
          <w:sz w:val="20"/>
        </w:rPr>
        <w:t xml:space="preserve"> </w:t>
      </w:r>
    </w:p>
    <w:p>
      <w:pPr>
        <w:pStyle w:val="TextBody"/>
        <w:spacing w:lineRule="auto" w:line="288" w:before="0" w:after="0"/>
        <w:jc w:val="both"/>
        <w:rPr>
          <w:sz w:val="17"/>
        </w:rPr>
      </w:pPr>
      <w:r>
        <w:rPr>
          <w:rFonts w:ascii="inherit" w:hAnsi="inherit"/>
          <w:sz w:val="17"/>
        </w:rPr>
        <w:t>The Plan is designed to provide long-term equity-based compensation to our directors and employees. It is administered by the Compensation Committee of the Board of Directors. Awards under the Plan may be granted with respect to an aggregate of 12,750,000</w:t>
      </w:r>
      <w:r>
        <w:rPr>
          <w:sz w:val="17"/>
        </w:rPr>
        <w:t xml:space="preserve"> </w:t>
      </w:r>
      <w:r>
        <w:rPr>
          <w:rFonts w:ascii="inherit" w:hAnsi="inherit"/>
          <w:sz w:val="17"/>
        </w:rPr>
        <w:t>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 At March 31, 2019, 11,939,399</w:t>
      </w:r>
      <w:r>
        <w:rPr>
          <w:sz w:val="17"/>
        </w:rPr>
        <w:t xml:space="preserve"> </w:t>
      </w:r>
      <w:r>
        <w:rPr>
          <w:rFonts w:ascii="inherit" w:hAnsi="inherit"/>
          <w:sz w:val="17"/>
        </w:rPr>
        <w:t>shares of common stock remained available for issuance by us as equity awards under the Plan.</w:t>
      </w:r>
    </w:p>
    <w:p>
      <w:pPr>
        <w:pStyle w:val="TextBody"/>
        <w:spacing w:lineRule="auto" w:line="288" w:before="0" w:after="0"/>
        <w:jc w:val="both"/>
        <w:rPr>
          <w:sz w:val="17"/>
        </w:rPr>
      </w:pPr>
      <w:r>
        <w:rPr>
          <w:rFonts w:ascii="inherit" w:hAnsi="inherit"/>
          <w:sz w:val="17"/>
        </w:rPr>
        <w:t>Total stock-based compensation expense recorded as General and administrative expense in the Statement of Operations totaled $1.1 million</w:t>
      </w:r>
      <w:r>
        <w:rPr>
          <w:sz w:val="17"/>
        </w:rPr>
        <w:t xml:space="preserve"> </w:t>
      </w:r>
      <w:r>
        <w:rPr>
          <w:rFonts w:ascii="inherit" w:hAnsi="inherit"/>
          <w:sz w:val="17"/>
        </w:rPr>
        <w:t>and $0.4 million</w:t>
      </w:r>
      <w:r>
        <w:rPr>
          <w:sz w:val="17"/>
        </w:rPr>
        <w:t xml:space="preserve"> </w:t>
      </w:r>
      <w:r>
        <w:rPr>
          <w:rFonts w:ascii="inherit" w:hAnsi="inherit"/>
          <w:sz w:val="17"/>
        </w:rPr>
        <w:t>for the three months ended March 31, 2019 and 2018, respectively. Compensation expense is recognized on a straight-line basis over the term of the award.</w:t>
      </w:r>
    </w:p>
    <w:p>
      <w:pPr>
        <w:pStyle w:val="TextBody"/>
        <w:spacing w:lineRule="auto" w:line="288" w:before="0" w:after="0"/>
        <w:jc w:val="both"/>
        <w:rPr>
          <w:rFonts w:ascii="inherit" w:hAnsi="inherit"/>
          <w:sz w:val="17"/>
        </w:rPr>
      </w:pPr>
      <w:r>
        <w:rPr>
          <w:rFonts w:ascii="inherit" w:hAnsi="inherit"/>
          <w:sz w:val="17"/>
        </w:rPr>
        <w:t>The following table details the activity of our time-based restricted stock and performance-based restricted stock units:</w:t>
      </w:r>
    </w:p>
    <w:tbl>
      <w:tblPr>
        <w:tblW w:w="10205" w:type="dxa"/>
        <w:jc w:val="left"/>
        <w:tblInd w:w="0" w:type="dxa"/>
        <w:tblCellMar>
          <w:top w:w="0" w:type="dxa"/>
          <w:left w:w="0" w:type="dxa"/>
          <w:bottom w:w="0" w:type="dxa"/>
          <w:right w:w="0" w:type="dxa"/>
        </w:tblCellMar>
      </w:tblPr>
      <w:tblGrid>
        <w:gridCol w:w="2342"/>
        <w:gridCol w:w="844"/>
        <w:gridCol w:w="256"/>
        <w:gridCol w:w="210"/>
        <w:gridCol w:w="2484"/>
        <w:gridCol w:w="145"/>
        <w:gridCol w:w="90"/>
        <w:gridCol w:w="768"/>
        <w:gridCol w:w="231"/>
        <w:gridCol w:w="189"/>
        <w:gridCol w:w="558"/>
        <w:gridCol w:w="1909"/>
        <w:gridCol w:w="179"/>
      </w:tblGrid>
      <w:tr>
        <w:trPr/>
        <w:tc>
          <w:tcPr>
            <w:tcW w:w="10205" w:type="dxa"/>
            <w:gridSpan w:val="13"/>
            <w:tcBorders/>
            <w:shd w:fill="auto" w:val="clear"/>
            <w:vAlign w:val="center"/>
          </w:tcPr>
          <w:p>
            <w:pPr>
              <w:pStyle w:val="TableContents"/>
              <w:spacing w:before="0" w:after="283"/>
              <w:rPr>
                <w:sz w:val="4"/>
                <w:szCs w:val="4"/>
              </w:rPr>
            </w:pPr>
            <w:r>
              <w:rPr>
                <w:sz w:val="4"/>
                <w:szCs w:val="4"/>
              </w:rPr>
            </w:r>
          </w:p>
        </w:tc>
      </w:tr>
      <w:tr>
        <w:trPr/>
        <w:tc>
          <w:tcPr>
            <w:tcW w:w="2342"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484"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19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342" w:type="dxa"/>
            <w:tcBorders/>
            <w:shd w:fill="auto" w:val="clear"/>
            <w:vAlign w:val="center"/>
          </w:tcPr>
          <w:p>
            <w:pPr>
              <w:pStyle w:val="TableContents"/>
              <w:spacing w:before="0" w:after="0"/>
              <w:ind w:left="0" w:right="0" w:firstLine="30"/>
              <w:rPr/>
            </w:pPr>
            <w:r>
              <w:rPr/>
              <w:t> </w:t>
            </w:r>
          </w:p>
        </w:tc>
        <w:tc>
          <w:tcPr>
            <w:tcW w:w="3939"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Three Months Ended March 31, 2019</w:t>
            </w:r>
          </w:p>
        </w:tc>
        <w:tc>
          <w:tcPr>
            <w:tcW w:w="90" w:type="dxa"/>
            <w:tcBorders/>
            <w:shd w:fill="auto" w:val="clear"/>
            <w:vAlign w:val="center"/>
          </w:tcPr>
          <w:p>
            <w:pPr>
              <w:pStyle w:val="TableContents"/>
              <w:spacing w:before="0" w:after="0"/>
              <w:ind w:left="0" w:right="0" w:firstLine="30"/>
              <w:rPr/>
            </w:pPr>
            <w:r>
              <w:rPr/>
              <w:t> </w:t>
            </w:r>
          </w:p>
        </w:tc>
        <w:tc>
          <w:tcPr>
            <w:tcW w:w="3834"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Three Months Ended March 31, 2018</w:t>
            </w:r>
          </w:p>
        </w:tc>
      </w:tr>
      <w:tr>
        <w:trPr/>
        <w:tc>
          <w:tcPr>
            <w:tcW w:w="2342" w:type="dxa"/>
            <w:tcBorders/>
            <w:shd w:fill="auto" w:val="clear"/>
            <w:vAlign w:val="center"/>
          </w:tcPr>
          <w:p>
            <w:pPr>
              <w:pStyle w:val="TableContents"/>
              <w:spacing w:before="0" w:after="0"/>
              <w:ind w:left="0" w:right="0" w:firstLine="30"/>
              <w:rPr/>
            </w:pPr>
            <w:r>
              <w:rPr/>
              <w:t> </w:t>
            </w:r>
            <w:r>
              <w:rPr>
                <w:rFonts w:ascii="inherit" w:hAnsi="inherit"/>
                <w:b/>
                <w:i/>
                <w:sz w:val="13"/>
                <w:u w:val="single"/>
              </w:rPr>
              <w:t>(In thousands, except per share data)</w:t>
            </w:r>
          </w:p>
        </w:tc>
        <w:tc>
          <w:tcPr>
            <w:tcW w:w="1100" w:type="dxa"/>
            <w:gridSpan w:val="2"/>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Shares</w:t>
            </w:r>
          </w:p>
        </w:tc>
        <w:tc>
          <w:tcPr>
            <w:tcW w:w="210" w:type="dxa"/>
            <w:tcBorders/>
            <w:shd w:fill="auto" w:val="clear"/>
            <w:vAlign w:val="center"/>
          </w:tcPr>
          <w:p>
            <w:pPr>
              <w:pStyle w:val="TableContents"/>
              <w:spacing w:before="0" w:after="0"/>
              <w:ind w:left="0" w:right="0" w:firstLine="30"/>
              <w:rPr/>
            </w:pPr>
            <w:r>
              <w:rPr/>
              <w:t> </w:t>
            </w:r>
          </w:p>
        </w:tc>
        <w:tc>
          <w:tcPr>
            <w:tcW w:w="2629" w:type="dxa"/>
            <w:gridSpan w:val="2"/>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Weighted Average Grant Date Fair Value</w:t>
            </w:r>
          </w:p>
        </w:tc>
        <w:tc>
          <w:tcPr>
            <w:tcW w:w="90" w:type="dxa"/>
            <w:tcBorders/>
            <w:shd w:fill="auto" w:val="clear"/>
            <w:vAlign w:val="center"/>
          </w:tcPr>
          <w:p>
            <w:pPr>
              <w:pStyle w:val="TableContents"/>
              <w:spacing w:before="0" w:after="0"/>
              <w:ind w:left="0" w:right="0" w:firstLine="30"/>
              <w:rPr/>
            </w:pPr>
            <w:r>
              <w:rPr/>
              <w:t> </w:t>
            </w:r>
          </w:p>
        </w:tc>
        <w:tc>
          <w:tcPr>
            <w:tcW w:w="99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Shares</w:t>
            </w:r>
          </w:p>
        </w:tc>
        <w:tc>
          <w:tcPr>
            <w:tcW w:w="189" w:type="dxa"/>
            <w:tcBorders/>
            <w:shd w:fill="auto" w:val="clear"/>
            <w:vAlign w:val="center"/>
          </w:tcPr>
          <w:p>
            <w:pPr>
              <w:pStyle w:val="TableContents"/>
              <w:spacing w:before="0" w:after="0"/>
              <w:ind w:left="0" w:right="0" w:firstLine="30"/>
              <w:rPr/>
            </w:pPr>
            <w:r>
              <w:rPr/>
              <w:t> </w:t>
            </w:r>
          </w:p>
        </w:tc>
        <w:tc>
          <w:tcPr>
            <w:tcW w:w="264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Weighted Average Grant Date Fair Value</w:t>
            </w:r>
          </w:p>
        </w:tc>
      </w:tr>
      <w:tr>
        <w:trPr/>
        <w:tc>
          <w:tcPr>
            <w:tcW w:w="23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Outstanding at beginning of period</w:t>
            </w:r>
          </w:p>
        </w:tc>
        <w:tc>
          <w:tcPr>
            <w:tcW w:w="844"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398</w:t>
            </w:r>
          </w:p>
        </w:tc>
        <w:tc>
          <w:tcPr>
            <w:tcW w:w="25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0" w:type="dxa"/>
            <w:tcBorders/>
            <w:shd w:fill="CCEEFF" w:val="clear"/>
            <w:vAlign w:val="center"/>
          </w:tcPr>
          <w:p>
            <w:pPr>
              <w:pStyle w:val="TableContents"/>
              <w:spacing w:before="0" w:after="0"/>
              <w:ind w:left="0" w:right="0" w:firstLine="30"/>
              <w:rPr/>
            </w:pPr>
            <w:r>
              <w:rPr/>
              <w:t> </w:t>
            </w:r>
          </w:p>
        </w:tc>
        <w:tc>
          <w:tcPr>
            <w:tcW w:w="2484"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19.60</w:t>
            </w:r>
          </w:p>
        </w:tc>
        <w:tc>
          <w:tcPr>
            <w:tcW w:w="14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68"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124</w:t>
            </w:r>
          </w:p>
        </w:tc>
        <w:tc>
          <w:tcPr>
            <w:tcW w:w="23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9" w:type="dxa"/>
            <w:tcBorders/>
            <w:shd w:fill="CCEEFF" w:val="clear"/>
            <w:vAlign w:val="center"/>
          </w:tcPr>
          <w:p>
            <w:pPr>
              <w:pStyle w:val="TableContents"/>
              <w:spacing w:before="0" w:after="0"/>
              <w:ind w:left="0" w:right="0" w:firstLine="30"/>
              <w:rPr/>
            </w:pPr>
            <w:r>
              <w:rPr/>
              <w:t> </w:t>
            </w:r>
          </w:p>
        </w:tc>
        <w:tc>
          <w:tcPr>
            <w:tcW w:w="558"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909"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15.61</w:t>
            </w:r>
          </w:p>
        </w:tc>
        <w:tc>
          <w:tcPr>
            <w:tcW w:w="17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Granted</w:t>
            </w:r>
          </w:p>
        </w:tc>
        <w:tc>
          <w:tcPr>
            <w:tcW w:w="844" w:type="dxa"/>
            <w:tcBorders/>
            <w:shd w:fill="auto" w:val="clear"/>
            <w:vAlign w:val="center"/>
          </w:tcPr>
          <w:p>
            <w:pPr>
              <w:pStyle w:val="TableContents"/>
              <w:spacing w:before="0" w:after="0"/>
              <w:jc w:val="right"/>
              <w:rPr>
                <w:rFonts w:ascii="inherit" w:hAnsi="inherit"/>
                <w:sz w:val="17"/>
              </w:rPr>
            </w:pPr>
            <w:r>
              <w:rPr>
                <w:rFonts w:ascii="inherit" w:hAnsi="inherit"/>
                <w:sz w:val="17"/>
              </w:rPr>
              <w:t>299</w:t>
            </w:r>
          </w:p>
        </w:tc>
        <w:tc>
          <w:tcPr>
            <w:tcW w:w="2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0" w:type="dxa"/>
            <w:tcBorders/>
            <w:shd w:fill="auto" w:val="clear"/>
            <w:vAlign w:val="center"/>
          </w:tcPr>
          <w:p>
            <w:pPr>
              <w:pStyle w:val="TableContents"/>
              <w:spacing w:before="0" w:after="0"/>
              <w:ind w:left="0" w:right="0" w:firstLine="30"/>
              <w:rPr/>
            </w:pPr>
            <w:r>
              <w:rPr/>
              <w:t> </w:t>
            </w:r>
          </w:p>
        </w:tc>
        <w:tc>
          <w:tcPr>
            <w:tcW w:w="2484" w:type="dxa"/>
            <w:tcBorders/>
            <w:shd w:fill="auto" w:val="clear"/>
            <w:vAlign w:val="center"/>
          </w:tcPr>
          <w:p>
            <w:pPr>
              <w:pStyle w:val="TableContents"/>
              <w:spacing w:before="0" w:after="0"/>
              <w:jc w:val="right"/>
              <w:rPr>
                <w:rFonts w:ascii="inherit" w:hAnsi="inherit"/>
                <w:sz w:val="17"/>
              </w:rPr>
            </w:pPr>
            <w:r>
              <w:rPr>
                <w:rFonts w:ascii="inherit" w:hAnsi="inherit"/>
                <w:sz w:val="17"/>
              </w:rPr>
              <w:t>22.00</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68" w:type="dxa"/>
            <w:tcBorders/>
            <w:shd w:fill="auto" w:val="clear"/>
            <w:vAlign w:val="center"/>
          </w:tcPr>
          <w:p>
            <w:pPr>
              <w:pStyle w:val="TableContents"/>
              <w:spacing w:before="0" w:after="0"/>
              <w:jc w:val="right"/>
              <w:rPr>
                <w:rFonts w:ascii="inherit" w:hAnsi="inherit"/>
                <w:sz w:val="17"/>
              </w:rPr>
            </w:pPr>
            <w:r>
              <w:rPr>
                <w:rFonts w:ascii="inherit" w:hAnsi="inherit"/>
                <w:sz w:val="17"/>
              </w:rPr>
              <w:t>100</w:t>
            </w:r>
          </w:p>
        </w:tc>
        <w:tc>
          <w:tcPr>
            <w:tcW w:w="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9" w:type="dxa"/>
            <w:tcBorders/>
            <w:shd w:fill="auto" w:val="clear"/>
            <w:vAlign w:val="center"/>
          </w:tcPr>
          <w:p>
            <w:pPr>
              <w:pStyle w:val="TableContents"/>
              <w:spacing w:before="0" w:after="0"/>
              <w:ind w:left="0" w:right="0" w:firstLine="30"/>
              <w:rPr/>
            </w:pPr>
            <w:r>
              <w:rPr/>
              <w:t> </w:t>
            </w:r>
          </w:p>
        </w:tc>
        <w:tc>
          <w:tcPr>
            <w:tcW w:w="246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20.04</w:t>
            </w:r>
          </w:p>
        </w:tc>
        <w:tc>
          <w:tcPr>
            <w:tcW w:w="1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Vested</w:t>
            </w:r>
          </w:p>
        </w:tc>
        <w:tc>
          <w:tcPr>
            <w:tcW w:w="844" w:type="dxa"/>
            <w:tcBorders/>
            <w:shd w:fill="CCEEFF" w:val="clear"/>
            <w:vAlign w:val="center"/>
          </w:tcPr>
          <w:p>
            <w:pPr>
              <w:pStyle w:val="TableContents"/>
              <w:spacing w:before="0" w:after="0"/>
              <w:jc w:val="right"/>
              <w:rPr>
                <w:rFonts w:ascii="inherit" w:hAnsi="inherit"/>
                <w:sz w:val="17"/>
              </w:rPr>
            </w:pPr>
            <w:r>
              <w:rPr>
                <w:rFonts w:ascii="inherit" w:hAnsi="inherit"/>
                <w:sz w:val="17"/>
              </w:rPr>
              <w:t>(82</w:t>
            </w:r>
          </w:p>
        </w:tc>
        <w:tc>
          <w:tcPr>
            <w:tcW w:w="2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210" w:type="dxa"/>
            <w:tcBorders/>
            <w:shd w:fill="CCEEFF" w:val="clear"/>
            <w:vAlign w:val="center"/>
          </w:tcPr>
          <w:p>
            <w:pPr>
              <w:pStyle w:val="TableContents"/>
              <w:spacing w:before="0" w:after="0"/>
              <w:ind w:left="0" w:right="0" w:firstLine="30"/>
              <w:rPr/>
            </w:pPr>
            <w:r>
              <w:rPr/>
              <w:t> </w:t>
            </w:r>
          </w:p>
        </w:tc>
        <w:tc>
          <w:tcPr>
            <w:tcW w:w="2484" w:type="dxa"/>
            <w:tcBorders/>
            <w:shd w:fill="CCEEFF" w:val="clear"/>
            <w:vAlign w:val="center"/>
          </w:tcPr>
          <w:p>
            <w:pPr>
              <w:pStyle w:val="TableContents"/>
              <w:spacing w:before="0" w:after="0"/>
              <w:jc w:val="right"/>
              <w:rPr>
                <w:rFonts w:ascii="inherit" w:hAnsi="inherit"/>
                <w:sz w:val="17"/>
              </w:rPr>
            </w:pPr>
            <w:r>
              <w:rPr>
                <w:rFonts w:ascii="inherit" w:hAnsi="inherit"/>
                <w:sz w:val="17"/>
              </w:rPr>
              <w:t>19.50</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68" w:type="dxa"/>
            <w:tcBorders/>
            <w:shd w:fill="CCEEFF" w:val="clear"/>
            <w:vAlign w:val="center"/>
          </w:tcPr>
          <w:p>
            <w:pPr>
              <w:pStyle w:val="TableContents"/>
              <w:spacing w:before="0" w:after="0"/>
              <w:jc w:val="right"/>
              <w:rPr>
                <w:rFonts w:ascii="inherit" w:hAnsi="inherit"/>
                <w:sz w:val="17"/>
              </w:rPr>
            </w:pPr>
            <w:r>
              <w:rPr>
                <w:rFonts w:ascii="inherit" w:hAnsi="inherit"/>
                <w:sz w:val="17"/>
              </w:rPr>
              <w:t>(27</w:t>
            </w:r>
          </w:p>
        </w:tc>
        <w:tc>
          <w:tcPr>
            <w:tcW w:w="2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89" w:type="dxa"/>
            <w:tcBorders/>
            <w:shd w:fill="CCEEFF" w:val="clear"/>
            <w:vAlign w:val="center"/>
          </w:tcPr>
          <w:p>
            <w:pPr>
              <w:pStyle w:val="TableContents"/>
              <w:spacing w:before="0" w:after="0"/>
              <w:ind w:left="0" w:right="0" w:firstLine="30"/>
              <w:rPr/>
            </w:pPr>
            <w:r>
              <w:rPr/>
              <w:t> </w:t>
            </w:r>
          </w:p>
        </w:tc>
        <w:tc>
          <w:tcPr>
            <w:tcW w:w="246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20.04</w:t>
            </w:r>
          </w:p>
        </w:tc>
        <w:tc>
          <w:tcPr>
            <w:tcW w:w="1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Forfeited</w:t>
            </w:r>
          </w:p>
        </w:tc>
        <w:tc>
          <w:tcPr>
            <w:tcW w:w="844" w:type="dxa"/>
            <w:tcBorders/>
            <w:shd w:fill="auto" w:val="clear"/>
            <w:vAlign w:val="center"/>
          </w:tcPr>
          <w:p>
            <w:pPr>
              <w:pStyle w:val="TableContents"/>
              <w:spacing w:before="0" w:after="0"/>
              <w:jc w:val="right"/>
              <w:rPr>
                <w:rFonts w:ascii="inherit" w:hAnsi="inherit"/>
                <w:sz w:val="17"/>
              </w:rPr>
            </w:pPr>
            <w:r>
              <w:rPr>
                <w:rFonts w:ascii="inherit" w:hAnsi="inherit"/>
                <w:sz w:val="17"/>
              </w:rPr>
              <w:t>(8</w:t>
            </w:r>
          </w:p>
        </w:tc>
        <w:tc>
          <w:tcPr>
            <w:tcW w:w="2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210" w:type="dxa"/>
            <w:tcBorders/>
            <w:shd w:fill="auto" w:val="clear"/>
            <w:vAlign w:val="center"/>
          </w:tcPr>
          <w:p>
            <w:pPr>
              <w:pStyle w:val="TableContents"/>
              <w:spacing w:before="0" w:after="0"/>
              <w:ind w:left="0" w:right="0" w:firstLine="30"/>
              <w:rPr/>
            </w:pPr>
            <w:r>
              <w:rPr/>
              <w:t> </w:t>
            </w:r>
          </w:p>
        </w:tc>
        <w:tc>
          <w:tcPr>
            <w:tcW w:w="2484" w:type="dxa"/>
            <w:tcBorders/>
            <w:shd w:fill="auto" w:val="clear"/>
            <w:vAlign w:val="center"/>
          </w:tcPr>
          <w:p>
            <w:pPr>
              <w:pStyle w:val="TableContents"/>
              <w:spacing w:before="0" w:after="0"/>
              <w:jc w:val="right"/>
              <w:rPr>
                <w:rFonts w:ascii="inherit" w:hAnsi="inherit"/>
                <w:sz w:val="17"/>
              </w:rPr>
            </w:pPr>
            <w:r>
              <w:rPr>
                <w:rFonts w:ascii="inherit" w:hAnsi="inherit"/>
                <w:sz w:val="17"/>
              </w:rPr>
              <w:t>20.47</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68" w:type="dxa"/>
            <w:tcBorders/>
            <w:shd w:fill="auto" w:val="clear"/>
            <w:vAlign w:val="center"/>
          </w:tcPr>
          <w:p>
            <w:pPr>
              <w:pStyle w:val="TableContents"/>
              <w:spacing w:before="0" w:after="0"/>
              <w:jc w:val="right"/>
              <w:rPr/>
            </w:pPr>
            <w:r>
              <w:rPr/>
              <w:t>—</w:t>
            </w:r>
          </w:p>
        </w:tc>
        <w:tc>
          <w:tcPr>
            <w:tcW w:w="2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9" w:type="dxa"/>
            <w:tcBorders/>
            <w:shd w:fill="auto" w:val="clear"/>
            <w:vAlign w:val="center"/>
          </w:tcPr>
          <w:p>
            <w:pPr>
              <w:pStyle w:val="TableContents"/>
              <w:spacing w:before="0" w:after="0"/>
              <w:ind w:left="0" w:right="0" w:firstLine="30"/>
              <w:rPr/>
            </w:pPr>
            <w:r>
              <w:rPr/>
              <w:t> </w:t>
            </w:r>
          </w:p>
        </w:tc>
        <w:tc>
          <w:tcPr>
            <w:tcW w:w="2467" w:type="dxa"/>
            <w:gridSpan w:val="2"/>
            <w:tcBorders/>
            <w:shd w:fill="auto" w:val="clear"/>
            <w:vAlign w:val="center"/>
          </w:tcPr>
          <w:p>
            <w:pPr>
              <w:pStyle w:val="TableContents"/>
              <w:spacing w:before="0" w:after="0"/>
              <w:jc w:val="right"/>
              <w:rPr/>
            </w:pPr>
            <w:r>
              <w:rPr/>
              <w:t>—</w:t>
            </w:r>
          </w:p>
        </w:tc>
        <w:tc>
          <w:tcPr>
            <w:tcW w:w="1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Canceled</w:t>
            </w:r>
          </w:p>
        </w:tc>
        <w:tc>
          <w:tcPr>
            <w:tcW w:w="844"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25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0" w:type="dxa"/>
            <w:tcBorders/>
            <w:shd w:fill="CCEEFF" w:val="clear"/>
            <w:vAlign w:val="center"/>
          </w:tcPr>
          <w:p>
            <w:pPr>
              <w:pStyle w:val="TableContents"/>
              <w:spacing w:before="0" w:after="0"/>
              <w:ind w:left="0" w:right="0" w:firstLine="30"/>
              <w:rPr/>
            </w:pPr>
            <w:r>
              <w:rPr/>
              <w:t> </w:t>
            </w:r>
          </w:p>
        </w:tc>
        <w:tc>
          <w:tcPr>
            <w:tcW w:w="2484"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68"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23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9" w:type="dxa"/>
            <w:tcBorders/>
            <w:shd w:fill="CCEEFF" w:val="clear"/>
            <w:vAlign w:val="center"/>
          </w:tcPr>
          <w:p>
            <w:pPr>
              <w:pStyle w:val="TableContents"/>
              <w:spacing w:before="0" w:after="0"/>
              <w:ind w:left="0" w:right="0" w:firstLine="30"/>
              <w:rPr/>
            </w:pPr>
            <w:r>
              <w:rPr/>
              <w:t> </w:t>
            </w:r>
          </w:p>
        </w:tc>
        <w:tc>
          <w:tcPr>
            <w:tcW w:w="2467" w:type="dxa"/>
            <w:gridSpan w:val="2"/>
            <w:tcBorders/>
            <w:shd w:fill="CCEEFF" w:val="clear"/>
            <w:vAlign w:val="center"/>
          </w:tcPr>
          <w:p>
            <w:pPr>
              <w:pStyle w:val="TableContents"/>
              <w:spacing w:before="0" w:after="0"/>
              <w:jc w:val="right"/>
              <w:rPr/>
            </w:pPr>
            <w:r>
              <w:rPr/>
              <w:t>—</w:t>
            </w:r>
          </w:p>
        </w:tc>
        <w:tc>
          <w:tcPr>
            <w:tcW w:w="1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Outstanding at end of period</w:t>
            </w:r>
          </w:p>
        </w:tc>
        <w:tc>
          <w:tcPr>
            <w:tcW w:w="84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607</w:t>
            </w:r>
          </w:p>
        </w:tc>
        <w:tc>
          <w:tcPr>
            <w:tcW w:w="25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0" w:type="dxa"/>
            <w:tcBorders/>
            <w:shd w:fill="auto" w:val="clear"/>
            <w:vAlign w:val="center"/>
          </w:tcPr>
          <w:p>
            <w:pPr>
              <w:pStyle w:val="TableContents"/>
              <w:spacing w:before="0" w:after="0"/>
              <w:ind w:left="0" w:right="0" w:firstLine="30"/>
              <w:rPr/>
            </w:pPr>
            <w:r>
              <w:rPr/>
              <w:t> </w:t>
            </w:r>
          </w:p>
        </w:tc>
        <w:tc>
          <w:tcPr>
            <w:tcW w:w="248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20.78</w:t>
            </w:r>
          </w:p>
        </w:tc>
        <w:tc>
          <w:tcPr>
            <w:tcW w:w="14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6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197</w:t>
            </w:r>
          </w:p>
        </w:tc>
        <w:tc>
          <w:tcPr>
            <w:tcW w:w="23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9" w:type="dxa"/>
            <w:tcBorders/>
            <w:shd w:fill="auto" w:val="clear"/>
            <w:vAlign w:val="center"/>
          </w:tcPr>
          <w:p>
            <w:pPr>
              <w:pStyle w:val="TableContents"/>
              <w:spacing w:before="0" w:after="0"/>
              <w:ind w:left="0" w:right="0" w:firstLine="30"/>
              <w:rPr/>
            </w:pPr>
            <w:r>
              <w:rPr/>
              <w:t> </w:t>
            </w:r>
          </w:p>
        </w:tc>
        <w:tc>
          <w:tcPr>
            <w:tcW w:w="55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90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17.27</w:t>
            </w:r>
          </w:p>
        </w:tc>
        <w:tc>
          <w:tcPr>
            <w:tcW w:w="17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sz w:val="17"/>
        </w:rPr>
      </w:pPr>
      <w:r>
        <w:rPr>
          <w:rFonts w:ascii="inherit" w:hAnsi="inherit"/>
          <w:sz w:val="17"/>
        </w:rPr>
        <w:t>As of March 31, 2019, there was $11.0 million</w:t>
      </w:r>
      <w:r>
        <w:rPr>
          <w:sz w:val="17"/>
        </w:rPr>
        <w:t xml:space="preserve"> </w:t>
      </w:r>
      <w:r>
        <w:rPr>
          <w:rFonts w:ascii="inherit" w:hAnsi="inherit"/>
          <w:sz w:val="17"/>
        </w:rPr>
        <w:t>of unrecognized compensation cost related to non-vested stock-based compensation arrangements under the Plan. This cost is expected to be recognized over a weighted average period of 2.5</w:t>
      </w:r>
      <w:r>
        <w:rPr>
          <w:sz w:val="17"/>
        </w:rPr>
        <w:t xml:space="preserve"> </w:t>
      </w:r>
      <w:r>
        <w:rPr>
          <w:rFonts w:ascii="inherit" w:hAnsi="inherit"/>
          <w:sz w:val="17"/>
        </w:rPr>
        <w:t>years.</w:t>
      </w:r>
    </w:p>
    <w:p>
      <w:pPr>
        <w:pStyle w:val="TextBody"/>
        <w:spacing w:lineRule="auto" w:line="288" w:before="0" w:after="0"/>
        <w:jc w:val="both"/>
        <w:rPr>
          <w:sz w:val="20"/>
        </w:rPr>
      </w:pPr>
      <w:bookmarkStart w:id="26" w:name="s8E96ECB629D05E15A021FF8E7412A7B7"/>
      <w:bookmarkEnd w:id="26"/>
      <w:r>
        <w:rPr>
          <w:rFonts w:ascii="inherit" w:hAnsi="inherit"/>
          <w:b/>
          <w:sz w:val="20"/>
        </w:rPr>
        <w:t>Note 15</w:t>
      </w:r>
      <w:r>
        <w:rPr>
          <w:sz w:val="20"/>
        </w:rPr>
        <w:t xml:space="preserve"> — </w:t>
      </w:r>
      <w:r>
        <w:rPr>
          <w:rFonts w:ascii="inherit" w:hAnsi="inherit"/>
          <w:b/>
          <w:sz w:val="20"/>
        </w:rPr>
        <w:t>Segment Information</w:t>
      </w:r>
      <w:r>
        <w:rPr>
          <w:sz w:val="20"/>
        </w:rPr>
        <w:t xml:space="preserve"> </w:t>
      </w:r>
    </w:p>
    <w:p>
      <w:pPr>
        <w:pStyle w:val="TextBody"/>
        <w:spacing w:lineRule="auto" w:line="288" w:before="0" w:after="0"/>
        <w:jc w:val="both"/>
        <w:rPr>
          <w:sz w:val="17"/>
        </w:rPr>
      </w:pPr>
      <w:r>
        <w:rPr>
          <w:rFonts w:ascii="inherit" w:hAnsi="inherit"/>
          <w:sz w:val="17"/>
        </w:rPr>
        <w:t>Our real property business and our golf course business represent two</w:t>
      </w:r>
      <w:r>
        <w:rPr>
          <w:sz w:val="17"/>
        </w:rPr>
        <w:t xml:space="preserve"> </w:t>
      </w:r>
      <w:r>
        <w:rPr>
          <w:rFonts w:ascii="inherit" w:hAnsi="inherit"/>
          <w:sz w:val="17"/>
        </w:rPr>
        <w:t>reportable segments. The real property business segment consists of leased real property and represents the substantial majority of our business. The golf course business segment consists of four</w:t>
      </w:r>
      <w:r>
        <w:rPr>
          <w:sz w:val="17"/>
        </w:rPr>
        <w:t xml:space="preserve"> </w:t>
      </w:r>
      <w:r>
        <w:rPr>
          <w:rFonts w:ascii="inherit" w:hAnsi="inherit"/>
          <w:sz w:val="17"/>
        </w:rPr>
        <w:t>golf courses, with each being operating segments that are aggregated into one reportable segment.</w:t>
      </w:r>
    </w:p>
    <w:p>
      <w:pPr>
        <w:pStyle w:val="TextBody"/>
        <w:spacing w:lineRule="auto" w:line="288" w:before="0" w:after="0"/>
        <w:jc w:val="both"/>
        <w:rPr>
          <w:rFonts w:ascii="inherit" w:hAnsi="inherit"/>
          <w:sz w:val="17"/>
        </w:rPr>
      </w:pPr>
      <w:r>
        <w:rPr>
          <w:rFonts w:ascii="inherit" w:hAnsi="inherit"/>
          <w:sz w:val="17"/>
        </w:rPr>
        <w:t xml:space="preserve">The results of each reportable segment presented below are consistent with the way our management assesses these results and allocates resources, which is a consolidated view that adjusts for the impact of certain transactions between our reportable segments, as described below.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26</w:t>
      </w:r>
      <w:r>
        <w:br w:type="page"/>
      </w:r>
    </w:p>
    <w:p>
      <w:pPr>
        <w:pStyle w:val="TextBody"/>
        <w:spacing w:lineRule="auto" w:line="288" w:before="0" w:after="0"/>
        <w:jc w:val="left"/>
        <w:rPr/>
      </w:pPr>
      <w:hyperlink w:anchor="s7181E430E8A9506B896277AC8CF177C4">
        <w:r>
          <w:rPr>
            <w:rStyle w:val="InternetLink"/>
            <w:rFonts w:ascii="inherit" w:hAnsi="inherit"/>
            <w:sz w:val="17"/>
          </w:rPr>
          <w:t>Table of Contents</w:t>
        </w:r>
      </w:hyperlink>
    </w:p>
    <w:p>
      <w:pPr>
        <w:pStyle w:val="TextBody"/>
        <w:spacing w:lineRule="auto" w:line="288" w:before="0" w:after="0"/>
        <w:jc w:val="center"/>
        <w:rPr>
          <w:rFonts w:ascii="inherit" w:hAnsi="inherit"/>
          <w:b/>
          <w:sz w:val="18"/>
        </w:rPr>
      </w:pPr>
      <w:r>
        <w:rPr>
          <w:rFonts w:ascii="inherit" w:hAnsi="inherit"/>
          <w:b/>
          <w:sz w:val="18"/>
        </w:rPr>
        <w:t>VICI PROPERTIES INC.</w:t>
      </w:r>
    </w:p>
    <w:p>
      <w:pPr>
        <w:pStyle w:val="TextBody"/>
        <w:spacing w:lineRule="auto" w:line="288" w:before="0" w:after="0"/>
        <w:jc w:val="center"/>
        <w:rPr>
          <w:rFonts w:ascii="inherit" w:hAnsi="inherit"/>
          <w:b/>
          <w:sz w:val="18"/>
        </w:rPr>
      </w:pPr>
      <w:r>
        <w:rPr>
          <w:rFonts w:ascii="inherit" w:hAnsi="inherit"/>
          <w:b/>
          <w:sz w:val="18"/>
        </w:rPr>
        <w:t>NOTES TO CONSOLIDATED FINANCIAL STATEMENTS (Continued)</w:t>
      </w:r>
    </w:p>
    <w:p>
      <w:pPr>
        <w:pStyle w:val="TextBody"/>
        <w:spacing w:lineRule="auto" w:line="288" w:before="0" w:after="0"/>
        <w:jc w:val="center"/>
        <w:rPr>
          <w:rFonts w:ascii="inherit" w:hAnsi="inherit"/>
          <w:b/>
          <w:sz w:val="18"/>
        </w:rPr>
      </w:pPr>
      <w:r>
        <w:rPr>
          <w:rFonts w:ascii="inherit" w:hAnsi="inherit"/>
          <w:b/>
          <w:sz w:val="18"/>
        </w:rPr>
        <w:t>(UNAUDITED)</w:t>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The following table presents certain information with respect to our segments:</w:t>
      </w:r>
    </w:p>
    <w:tbl>
      <w:tblPr>
        <w:tblW w:w="10205" w:type="dxa"/>
        <w:jc w:val="center"/>
        <w:tblInd w:w="0" w:type="dxa"/>
        <w:tblCellMar>
          <w:top w:w="0" w:type="dxa"/>
          <w:left w:w="0" w:type="dxa"/>
          <w:bottom w:w="0" w:type="dxa"/>
          <w:right w:w="0" w:type="dxa"/>
        </w:tblCellMar>
      </w:tblPr>
      <w:tblGrid>
        <w:gridCol w:w="1809"/>
        <w:gridCol w:w="90"/>
        <w:gridCol w:w="154"/>
        <w:gridCol w:w="1173"/>
        <w:gridCol w:w="135"/>
        <w:gridCol w:w="90"/>
        <w:gridCol w:w="174"/>
        <w:gridCol w:w="825"/>
        <w:gridCol w:w="153"/>
        <w:gridCol w:w="90"/>
        <w:gridCol w:w="137"/>
        <w:gridCol w:w="1044"/>
        <w:gridCol w:w="120"/>
        <w:gridCol w:w="90"/>
        <w:gridCol w:w="154"/>
        <w:gridCol w:w="1173"/>
        <w:gridCol w:w="135"/>
        <w:gridCol w:w="90"/>
        <w:gridCol w:w="174"/>
        <w:gridCol w:w="825"/>
        <w:gridCol w:w="153"/>
        <w:gridCol w:w="90"/>
        <w:gridCol w:w="137"/>
        <w:gridCol w:w="1043"/>
        <w:gridCol w:w="147"/>
      </w:tblGrid>
      <w:tr>
        <w:trPr/>
        <w:tc>
          <w:tcPr>
            <w:tcW w:w="10205" w:type="dxa"/>
            <w:gridSpan w:val="25"/>
            <w:tcBorders/>
            <w:shd w:fill="auto" w:val="clear"/>
            <w:vAlign w:val="center"/>
          </w:tcPr>
          <w:p>
            <w:pPr>
              <w:pStyle w:val="TableContents"/>
              <w:spacing w:before="0" w:after="283"/>
              <w:rPr>
                <w:sz w:val="4"/>
                <w:szCs w:val="4"/>
              </w:rPr>
            </w:pPr>
            <w:r>
              <w:rPr>
                <w:sz w:val="4"/>
                <w:szCs w:val="4"/>
              </w:rPr>
            </w:r>
          </w:p>
        </w:tc>
      </w:tr>
      <w:tr>
        <w:trPr/>
        <w:tc>
          <w:tcPr>
            <w:tcW w:w="180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09"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095"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Three Months Ended March 31, 2019</w:t>
            </w:r>
          </w:p>
        </w:tc>
        <w:tc>
          <w:tcPr>
            <w:tcW w:w="90" w:type="dxa"/>
            <w:tcBorders/>
            <w:shd w:fill="auto" w:val="clear"/>
            <w:vAlign w:val="center"/>
          </w:tcPr>
          <w:p>
            <w:pPr>
              <w:pStyle w:val="TableContents"/>
              <w:spacing w:before="0" w:after="0"/>
              <w:ind w:left="0" w:right="0" w:firstLine="30"/>
              <w:rPr/>
            </w:pPr>
            <w:r>
              <w:rPr/>
              <w:t> </w:t>
            </w:r>
          </w:p>
        </w:tc>
        <w:tc>
          <w:tcPr>
            <w:tcW w:w="4121"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Three Months Ended March 31, 2018</w:t>
            </w:r>
          </w:p>
        </w:tc>
      </w:tr>
      <w:tr>
        <w:trPr/>
        <w:tc>
          <w:tcPr>
            <w:tcW w:w="1809" w:type="dxa"/>
            <w:tcBorders/>
            <w:shd w:fill="auto" w:val="clear"/>
            <w:vAlign w:val="center"/>
          </w:tcPr>
          <w:p>
            <w:pPr>
              <w:pStyle w:val="TableContents"/>
              <w:spacing w:before="0" w:after="0"/>
              <w:ind w:left="0" w:right="0" w:firstLine="30"/>
              <w:jc w:val="left"/>
              <w:rPr>
                <w:rFonts w:ascii="inherit" w:hAnsi="inherit"/>
                <w:b/>
                <w:i/>
                <w:sz w:val="13"/>
                <w:u w:val="single"/>
              </w:rPr>
            </w:pPr>
            <w:r>
              <w:rPr>
                <w:rFonts w:ascii="inherit" w:hAnsi="inherit"/>
                <w:b/>
                <w:i/>
                <w:sz w:val="13"/>
                <w:u w:val="single"/>
              </w:rPr>
              <w:t>(In thousands)</w:t>
            </w:r>
          </w:p>
        </w:tc>
        <w:tc>
          <w:tcPr>
            <w:tcW w:w="90" w:type="dxa"/>
            <w:tcBorders/>
            <w:shd w:fill="auto" w:val="clear"/>
            <w:vAlign w:val="center"/>
          </w:tcPr>
          <w:p>
            <w:pPr>
              <w:pStyle w:val="TableContents"/>
              <w:spacing w:before="0" w:after="0"/>
              <w:ind w:left="0" w:right="0" w:firstLine="30"/>
              <w:rPr/>
            </w:pPr>
            <w:r>
              <w:rPr/>
              <w:t> </w:t>
            </w:r>
          </w:p>
        </w:tc>
        <w:tc>
          <w:tcPr>
            <w:tcW w:w="146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Real Property Business</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15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Golf Course Business</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301"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VICI Consolidated</w:t>
            </w:r>
          </w:p>
        </w:tc>
        <w:tc>
          <w:tcPr>
            <w:tcW w:w="90" w:type="dxa"/>
            <w:tcBorders/>
            <w:shd w:fill="auto" w:val="clear"/>
            <w:vAlign w:val="center"/>
          </w:tcPr>
          <w:p>
            <w:pPr>
              <w:pStyle w:val="TableContents"/>
              <w:spacing w:before="0" w:after="0"/>
              <w:ind w:left="0" w:right="0" w:firstLine="30"/>
              <w:rPr/>
            </w:pPr>
            <w:r>
              <w:rPr/>
              <w:t> </w:t>
            </w:r>
          </w:p>
        </w:tc>
        <w:tc>
          <w:tcPr>
            <w:tcW w:w="146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Real Property Business</w:t>
            </w:r>
          </w:p>
        </w:tc>
        <w:tc>
          <w:tcPr>
            <w:tcW w:w="90" w:type="dxa"/>
            <w:tcBorders/>
            <w:shd w:fill="auto" w:val="clear"/>
            <w:vAlign w:val="center"/>
          </w:tcPr>
          <w:p>
            <w:pPr>
              <w:pStyle w:val="TableContents"/>
              <w:spacing w:before="0" w:after="0"/>
              <w:ind w:left="0" w:right="0" w:firstLine="30"/>
              <w:rPr/>
            </w:pPr>
            <w:r>
              <w:rPr/>
              <w:t> </w:t>
            </w:r>
          </w:p>
        </w:tc>
        <w:tc>
          <w:tcPr>
            <w:tcW w:w="115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Golf Course Business</w:t>
            </w:r>
          </w:p>
        </w:tc>
        <w:tc>
          <w:tcPr>
            <w:tcW w:w="90" w:type="dxa"/>
            <w:tcBorders/>
            <w:shd w:fill="auto" w:val="clear"/>
            <w:vAlign w:val="center"/>
          </w:tcPr>
          <w:p>
            <w:pPr>
              <w:pStyle w:val="TableContents"/>
              <w:spacing w:before="0" w:after="0"/>
              <w:ind w:left="0" w:right="0" w:firstLine="30"/>
              <w:rPr/>
            </w:pPr>
            <w:r>
              <w:rPr/>
              <w:t> </w:t>
            </w:r>
          </w:p>
        </w:tc>
        <w:tc>
          <w:tcPr>
            <w:tcW w:w="132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VICI Consolidated</w:t>
            </w:r>
          </w:p>
        </w:tc>
      </w:tr>
      <w:tr>
        <w:trPr/>
        <w:tc>
          <w:tcPr>
            <w:tcW w:w="1809"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Revenues </w:t>
            </w:r>
            <w:r>
              <w:rPr>
                <w:rFonts w:ascii="inherit" w:hAnsi="inherit"/>
                <w:sz w:val="12"/>
              </w:rPr>
              <w:t>(1)</w:t>
            </w:r>
          </w:p>
        </w:tc>
        <w:tc>
          <w:tcPr>
            <w:tcW w:w="90" w:type="dxa"/>
            <w:tcBorders/>
            <w:shd w:fill="CCEEFF" w:val="clear"/>
            <w:vAlign w:val="center"/>
          </w:tcPr>
          <w:p>
            <w:pPr>
              <w:pStyle w:val="TableContents"/>
              <w:spacing w:before="0" w:after="0"/>
              <w:ind w:left="0" w:right="0" w:firstLine="30"/>
              <w:rPr/>
            </w:pPr>
            <w:r>
              <w:rPr/>
              <w:t> </w:t>
            </w:r>
          </w:p>
        </w:tc>
        <w:tc>
          <w:tcPr>
            <w:tcW w:w="154"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73"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206,663</w:t>
            </w:r>
          </w:p>
        </w:tc>
        <w:tc>
          <w:tcPr>
            <w:tcW w:w="13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4"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2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7,339</w:t>
            </w:r>
          </w:p>
        </w:tc>
        <w:tc>
          <w:tcPr>
            <w:tcW w:w="15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7"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044"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214,002</w:t>
            </w:r>
          </w:p>
        </w:tc>
        <w:tc>
          <w:tcPr>
            <w:tcW w:w="12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4"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73"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211,488</w:t>
            </w:r>
          </w:p>
        </w:tc>
        <w:tc>
          <w:tcPr>
            <w:tcW w:w="13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4"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2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6,788</w:t>
            </w:r>
          </w:p>
        </w:tc>
        <w:tc>
          <w:tcPr>
            <w:tcW w:w="15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7"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043"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218,276</w:t>
            </w:r>
          </w:p>
        </w:tc>
        <w:tc>
          <w:tcPr>
            <w:tcW w:w="14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income</w:t>
            </w:r>
          </w:p>
        </w:tc>
        <w:tc>
          <w:tcPr>
            <w:tcW w:w="90"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199,546</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9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2,320</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201,866</w:t>
            </w:r>
          </w:p>
        </w:tc>
        <w:tc>
          <w:tcPr>
            <w:tcW w:w="1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186,936</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9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1,788</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188,724</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90"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(53,586</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99" w:type="dxa"/>
            <w:gridSpan w:val="2"/>
            <w:tcBorders/>
            <w:shd w:fill="CCEEFF" w:val="clear"/>
            <w:vAlign w:val="center"/>
          </w:tcPr>
          <w:p>
            <w:pPr>
              <w:pStyle w:val="TableContents"/>
              <w:spacing w:before="0" w:after="0"/>
              <w:jc w:val="right"/>
              <w:rPr/>
            </w:pPr>
            <w:r>
              <w:rPr/>
              <w:t>—</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(53,586</w:t>
            </w:r>
          </w:p>
        </w:tc>
        <w:tc>
          <w:tcPr>
            <w:tcW w:w="1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(52,875</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99" w:type="dxa"/>
            <w:gridSpan w:val="2"/>
            <w:tcBorders/>
            <w:shd w:fill="CCEEFF" w:val="clear"/>
            <w:vAlign w:val="center"/>
          </w:tcPr>
          <w:p>
            <w:pPr>
              <w:pStyle w:val="TableContents"/>
              <w:spacing w:before="0" w:after="0"/>
              <w:jc w:val="right"/>
              <w:rPr/>
            </w:pPr>
            <w:r>
              <w:rPr/>
              <w:t>—</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(52,875</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18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on extinguishment of debt</w:t>
            </w:r>
          </w:p>
        </w:tc>
        <w:tc>
          <w:tcPr>
            <w:tcW w:w="90"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99" w:type="dxa"/>
            <w:gridSpan w:val="2"/>
            <w:tcBorders/>
            <w:shd w:fill="auto" w:val="clear"/>
            <w:vAlign w:val="center"/>
          </w:tcPr>
          <w:p>
            <w:pPr>
              <w:pStyle w:val="TableContents"/>
              <w:spacing w:before="0" w:after="0"/>
              <w:jc w:val="right"/>
              <w:rPr/>
            </w:pPr>
            <w:r>
              <w:rPr/>
              <w:t>—</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81" w:type="dxa"/>
            <w:gridSpan w:val="2"/>
            <w:tcBorders/>
            <w:shd w:fill="auto" w:val="clear"/>
            <w:vAlign w:val="center"/>
          </w:tcPr>
          <w:p>
            <w:pPr>
              <w:pStyle w:val="TableContents"/>
              <w:spacing w:before="0" w:after="0"/>
              <w:jc w:val="right"/>
              <w:rPr/>
            </w:pPr>
            <w:r>
              <w:rPr/>
              <w:t>—</w:t>
            </w:r>
          </w:p>
        </w:tc>
        <w:tc>
          <w:tcPr>
            <w:tcW w:w="1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(23,040</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99" w:type="dxa"/>
            <w:gridSpan w:val="2"/>
            <w:tcBorders/>
            <w:shd w:fill="auto" w:val="clear"/>
            <w:vAlign w:val="center"/>
          </w:tcPr>
          <w:p>
            <w:pPr>
              <w:pStyle w:val="TableContents"/>
              <w:spacing w:before="0" w:after="0"/>
              <w:jc w:val="right"/>
              <w:rPr/>
            </w:pPr>
            <w:r>
              <w:rPr/>
              <w:t>—</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(23,040</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18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before income taxes</w:t>
            </w:r>
          </w:p>
        </w:tc>
        <w:tc>
          <w:tcPr>
            <w:tcW w:w="90"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151,091</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9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2,356</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153,447</w:t>
            </w:r>
          </w:p>
        </w:tc>
        <w:tc>
          <w:tcPr>
            <w:tcW w:w="1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112,699</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9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1,788</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114,487</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90"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9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(521</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1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(521</w:t>
            </w:r>
          </w:p>
        </w:tc>
        <w:tc>
          <w:tcPr>
            <w:tcW w:w="1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9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(384</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1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(384</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18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90"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151,091</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9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1,835</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152,926</w:t>
            </w:r>
          </w:p>
        </w:tc>
        <w:tc>
          <w:tcPr>
            <w:tcW w:w="1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112,699</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9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1,404</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114,103</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09"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46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5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0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46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5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27" w:type="dxa"/>
            <w:gridSpan w:val="3"/>
            <w:tcBorders/>
            <w:shd w:fill="auto" w:val="clear"/>
            <w:vAlign w:val="center"/>
          </w:tcPr>
          <w:p>
            <w:pPr>
              <w:pStyle w:val="TableContents"/>
              <w:spacing w:before="0" w:after="0"/>
              <w:ind w:left="0" w:right="0" w:firstLine="30"/>
              <w:rPr/>
            </w:pPr>
            <w:r>
              <w:rPr/>
              <w:t> </w:t>
            </w:r>
          </w:p>
        </w:tc>
      </w:tr>
      <w:tr>
        <w:trPr/>
        <w:tc>
          <w:tcPr>
            <w:tcW w:w="18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90"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9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927</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930</w:t>
            </w:r>
          </w:p>
        </w:tc>
        <w:tc>
          <w:tcPr>
            <w:tcW w:w="1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9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906</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906</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09"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46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5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0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46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5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27" w:type="dxa"/>
            <w:gridSpan w:val="3"/>
            <w:tcBorders/>
            <w:shd w:fill="auto" w:val="clear"/>
            <w:vAlign w:val="center"/>
          </w:tcPr>
          <w:p>
            <w:pPr>
              <w:pStyle w:val="TableContents"/>
              <w:spacing w:before="0" w:after="0"/>
              <w:ind w:left="0" w:right="0" w:firstLine="30"/>
              <w:rPr/>
            </w:pPr>
            <w:r>
              <w:rPr/>
              <w:t> </w:t>
            </w:r>
          </w:p>
        </w:tc>
      </w:tr>
      <w:tr>
        <w:trPr/>
        <w:tc>
          <w:tcPr>
            <w:tcW w:w="18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90" w:type="dxa"/>
            <w:tcBorders/>
            <w:shd w:fill="CCEEFF" w:val="clear"/>
            <w:vAlign w:val="center"/>
          </w:tcPr>
          <w:p>
            <w:pPr>
              <w:pStyle w:val="TableContents"/>
              <w:spacing w:before="0" w:after="0"/>
              <w:ind w:left="0" w:right="0" w:firstLine="30"/>
              <w:rPr/>
            </w:pPr>
            <w:r>
              <w:rPr/>
              <w:t> </w:t>
            </w:r>
          </w:p>
        </w:tc>
        <w:tc>
          <w:tcPr>
            <w:tcW w:w="15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73" w:type="dxa"/>
            <w:tcBorders/>
            <w:shd w:fill="CCEEFF" w:val="clear"/>
            <w:vAlign w:val="center"/>
          </w:tcPr>
          <w:p>
            <w:pPr>
              <w:pStyle w:val="TableContents"/>
              <w:spacing w:before="0" w:after="0"/>
              <w:jc w:val="right"/>
              <w:rPr>
                <w:rFonts w:ascii="inherit" w:hAnsi="inherit"/>
                <w:sz w:val="17"/>
              </w:rPr>
            </w:pPr>
            <w:r>
              <w:rPr>
                <w:rFonts w:ascii="inherit" w:hAnsi="inherit"/>
                <w:sz w:val="17"/>
              </w:rPr>
              <w:t>11,350,664</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25" w:type="dxa"/>
            <w:tcBorders/>
            <w:shd w:fill="CCEEFF" w:val="clear"/>
            <w:vAlign w:val="center"/>
          </w:tcPr>
          <w:p>
            <w:pPr>
              <w:pStyle w:val="TableContents"/>
              <w:spacing w:before="0" w:after="0"/>
              <w:jc w:val="right"/>
              <w:rPr>
                <w:rFonts w:ascii="inherit" w:hAnsi="inherit"/>
                <w:sz w:val="17"/>
              </w:rPr>
            </w:pPr>
            <w:r>
              <w:rPr>
                <w:rFonts w:ascii="inherit" w:hAnsi="inherit"/>
                <w:sz w:val="17"/>
              </w:rPr>
              <w:t>98,007</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4" w:type="dxa"/>
            <w:tcBorders/>
            <w:shd w:fill="CCEEFF" w:val="clear"/>
            <w:vAlign w:val="center"/>
          </w:tcPr>
          <w:p>
            <w:pPr>
              <w:pStyle w:val="TableContents"/>
              <w:spacing w:before="0" w:after="0"/>
              <w:jc w:val="right"/>
              <w:rPr>
                <w:rFonts w:ascii="inherit" w:hAnsi="inherit"/>
                <w:sz w:val="17"/>
              </w:rPr>
            </w:pPr>
            <w:r>
              <w:rPr>
                <w:rFonts w:ascii="inherit" w:hAnsi="inherit"/>
                <w:sz w:val="17"/>
              </w:rPr>
              <w:t>11,448,671</w:t>
            </w:r>
          </w:p>
        </w:tc>
        <w:tc>
          <w:tcPr>
            <w:tcW w:w="1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73" w:type="dxa"/>
            <w:tcBorders/>
            <w:shd w:fill="CCEEFF" w:val="clear"/>
            <w:vAlign w:val="center"/>
          </w:tcPr>
          <w:p>
            <w:pPr>
              <w:pStyle w:val="TableContents"/>
              <w:spacing w:before="0" w:after="0"/>
              <w:jc w:val="right"/>
              <w:rPr>
                <w:rFonts w:ascii="inherit" w:hAnsi="inherit"/>
                <w:sz w:val="17"/>
              </w:rPr>
            </w:pPr>
            <w:r>
              <w:rPr>
                <w:rFonts w:ascii="inherit" w:hAnsi="inherit"/>
                <w:sz w:val="17"/>
              </w:rPr>
              <w:t>10,404,715</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25" w:type="dxa"/>
            <w:tcBorders/>
            <w:shd w:fill="CCEEFF" w:val="clear"/>
            <w:vAlign w:val="center"/>
          </w:tcPr>
          <w:p>
            <w:pPr>
              <w:pStyle w:val="TableContents"/>
              <w:spacing w:before="0" w:after="0"/>
              <w:jc w:val="right"/>
              <w:rPr>
                <w:rFonts w:ascii="inherit" w:hAnsi="inherit"/>
                <w:sz w:val="17"/>
              </w:rPr>
            </w:pPr>
            <w:r>
              <w:rPr>
                <w:rFonts w:ascii="inherit" w:hAnsi="inherit"/>
                <w:sz w:val="17"/>
              </w:rPr>
              <w:t>81,524</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3" w:type="dxa"/>
            <w:tcBorders/>
            <w:shd w:fill="CCEEFF" w:val="clear"/>
            <w:vAlign w:val="center"/>
          </w:tcPr>
          <w:p>
            <w:pPr>
              <w:pStyle w:val="TableContents"/>
              <w:spacing w:before="0" w:after="0"/>
              <w:jc w:val="right"/>
              <w:rPr>
                <w:rFonts w:ascii="inherit" w:hAnsi="inherit"/>
                <w:sz w:val="17"/>
              </w:rPr>
            </w:pPr>
            <w:r>
              <w:rPr>
                <w:rFonts w:ascii="inherit" w:hAnsi="inherit"/>
                <w:sz w:val="17"/>
              </w:rPr>
              <w:t>10,486,239</w:t>
            </w:r>
          </w:p>
        </w:tc>
        <w:tc>
          <w:tcPr>
            <w:tcW w:w="147"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____________________</w:t>
      </w:r>
    </w:p>
    <w:tbl>
      <w:tblPr>
        <w:tblW w:w="10205" w:type="dxa"/>
        <w:jc w:val="left"/>
        <w:tblInd w:w="0" w:type="dxa"/>
        <w:tblCellMar>
          <w:top w:w="0" w:type="dxa"/>
          <w:left w:w="0" w:type="dxa"/>
          <w:bottom w:w="0" w:type="dxa"/>
          <w:right w:w="0" w:type="dxa"/>
        </w:tblCellMar>
      </w:tblPr>
      <w:tblGrid>
        <w:gridCol w:w="225"/>
        <w:gridCol w:w="9980"/>
      </w:tblGrid>
      <w:tr>
        <w:trPr/>
        <w:tc>
          <w:tcPr>
            <w:tcW w:w="225" w:type="dxa"/>
            <w:tcBorders/>
            <w:shd w:fill="auto" w:val="clear"/>
            <w:vAlign w:val="center"/>
          </w:tcPr>
          <w:p>
            <w:pPr>
              <w:pStyle w:val="TableContents"/>
              <w:spacing w:before="0" w:after="283"/>
              <w:rPr>
                <w:sz w:val="4"/>
                <w:szCs w:val="4"/>
              </w:rPr>
            </w:pPr>
            <w:r>
              <w:rPr>
                <w:sz w:val="4"/>
                <w:szCs w:val="4"/>
              </w:rPr>
            </w:r>
          </w:p>
        </w:tc>
        <w:tc>
          <w:tcPr>
            <w:tcW w:w="9980" w:type="dxa"/>
            <w:tcBorders/>
            <w:shd w:fill="auto" w:val="clear"/>
            <w:vAlign w:val="center"/>
          </w:tcPr>
          <w:p>
            <w:pPr>
              <w:pStyle w:val="TableContents"/>
              <w:spacing w:before="0" w:after="283"/>
              <w:rPr>
                <w:sz w:val="4"/>
                <w:szCs w:val="4"/>
              </w:rPr>
            </w:pPr>
            <w:r>
              <w:rPr>
                <w:sz w:val="4"/>
                <w:szCs w:val="4"/>
              </w:rPr>
            </w:r>
          </w:p>
        </w:tc>
      </w:tr>
      <w:tr>
        <w:trPr/>
        <w:tc>
          <w:tcPr>
            <w:tcW w:w="225" w:type="dxa"/>
            <w:tcBorders/>
            <w:shd w:fill="auto" w:val="clear"/>
            <w:vAlign w:val="center"/>
          </w:tcPr>
          <w:p>
            <w:pPr>
              <w:pStyle w:val="TableContents"/>
              <w:spacing w:lineRule="auto" w:line="288" w:before="0" w:after="0"/>
              <w:ind w:left="0" w:right="0" w:hanging="0"/>
              <w:rPr>
                <w:rFonts w:ascii="inherit" w:hAnsi="inherit"/>
                <w:i/>
                <w:sz w:val="13"/>
              </w:rPr>
            </w:pPr>
            <w:r>
              <w:rPr>
                <w:rFonts w:ascii="inherit" w:hAnsi="inherit"/>
                <w:i/>
                <w:sz w:val="13"/>
              </w:rPr>
              <w:t>(1)</w:t>
            </w:r>
          </w:p>
        </w:tc>
        <w:tc>
          <w:tcPr>
            <w:tcW w:w="9980" w:type="dxa"/>
            <w:tcBorders/>
            <w:shd w:fill="auto" w:val="clear"/>
            <w:vAlign w:val="center"/>
          </w:tcPr>
          <w:p>
            <w:pPr>
              <w:pStyle w:val="TableContents"/>
              <w:spacing w:lineRule="auto" w:line="288" w:before="0" w:after="0"/>
              <w:jc w:val="both"/>
              <w:rPr>
                <w:rFonts w:ascii="inherit" w:hAnsi="inherit"/>
                <w:i/>
                <w:sz w:val="13"/>
              </w:rPr>
            </w:pPr>
            <w:r>
              <w:rPr>
                <w:rFonts w:ascii="inherit" w:hAnsi="inherit"/>
                <w:i/>
                <w:sz w:val="13"/>
              </w:rPr>
              <w:t>Upon the adoption of ASC 842 on January 1, 2019, we ceased recording tenant reimbursement of property taxes as these taxes are paid directly by our tenants to the applicable government entity.</w:t>
            </w:r>
          </w:p>
        </w:tc>
      </w:tr>
    </w:tbl>
    <w:p>
      <w:pPr>
        <w:pStyle w:val="TextBody"/>
        <w:spacing w:lineRule="auto" w:line="288" w:before="0" w:after="0"/>
        <w:jc w:val="both"/>
        <w:rPr>
          <w:sz w:val="20"/>
        </w:rPr>
      </w:pPr>
      <w:bookmarkStart w:id="27" w:name="s36BF79E70D73596CAFDEBE84DB933C2E"/>
      <w:bookmarkEnd w:id="27"/>
      <w:r>
        <w:rPr>
          <w:rFonts w:ascii="inherit" w:hAnsi="inherit"/>
          <w:b/>
          <w:sz w:val="20"/>
        </w:rPr>
        <w:t>Note 16</w:t>
      </w:r>
      <w:r>
        <w:rPr>
          <w:sz w:val="20"/>
        </w:rPr>
        <w:t xml:space="preserve"> — </w:t>
      </w:r>
      <w:r>
        <w:rPr>
          <w:rFonts w:ascii="inherit" w:hAnsi="inherit"/>
          <w:b/>
          <w:sz w:val="20"/>
        </w:rPr>
        <w:t>Subsequent Events</w:t>
      </w:r>
      <w:r>
        <w:rPr>
          <w:sz w:val="20"/>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We have evaluated subsequent events and, except for the JACK Cincinnati Acquisition announced on April 5, 2019 (as described in Note 4) and the payment of dividends on April 11, 2019 (as described in Note 12), there were no other events relative to the Financial Statements that require additional disclosure.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27</w:t>
      </w:r>
      <w:r>
        <w:br w:type="page"/>
      </w:r>
    </w:p>
    <w:p>
      <w:pPr>
        <w:pStyle w:val="TextBody"/>
        <w:spacing w:lineRule="auto" w:line="288" w:before="0" w:after="0"/>
        <w:jc w:val="both"/>
        <w:rPr/>
      </w:pPr>
      <w:hyperlink w:anchor="s7181E430E8A9506B896277AC8CF177C4">
        <w:bookmarkStart w:id="28" w:name="sBBF75CEBE5BA59D990899209A92CD85B"/>
        <w:bookmarkEnd w:id="28"/>
        <w:r>
          <w:rPr>
            <w:rStyle w:val="InternetLink"/>
            <w:rFonts w:ascii="inherit" w:hAnsi="inherit"/>
            <w:sz w:val="17"/>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165"/>
        <w:gridCol w:w="9040"/>
      </w:tblGrid>
      <w:tr>
        <w:trPr/>
        <w:tc>
          <w:tcPr>
            <w:tcW w:w="1165" w:type="dxa"/>
            <w:tcBorders/>
            <w:shd w:fill="auto" w:val="clear"/>
            <w:vAlign w:val="center"/>
          </w:tcPr>
          <w:p>
            <w:pPr>
              <w:pStyle w:val="TableContents"/>
              <w:spacing w:before="0" w:after="283"/>
              <w:rPr>
                <w:sz w:val="4"/>
                <w:szCs w:val="4"/>
              </w:rPr>
            </w:pPr>
            <w:r>
              <w:rPr>
                <w:sz w:val="4"/>
                <w:szCs w:val="4"/>
              </w:rPr>
            </w:r>
          </w:p>
        </w:tc>
        <w:tc>
          <w:tcPr>
            <w:tcW w:w="9040" w:type="dxa"/>
            <w:tcBorders/>
            <w:shd w:fill="auto" w:val="clear"/>
            <w:vAlign w:val="center"/>
          </w:tcPr>
          <w:p>
            <w:pPr>
              <w:pStyle w:val="TableContents"/>
              <w:spacing w:before="0" w:after="283"/>
              <w:rPr>
                <w:sz w:val="4"/>
                <w:szCs w:val="4"/>
              </w:rPr>
            </w:pPr>
            <w:r>
              <w:rPr>
                <w:sz w:val="4"/>
                <w:szCs w:val="4"/>
              </w:rPr>
            </w:r>
          </w:p>
        </w:tc>
      </w:tr>
      <w:tr>
        <w:trPr/>
        <w:tc>
          <w:tcPr>
            <w:tcW w:w="1165" w:type="dxa"/>
            <w:tcBorders/>
            <w:shd w:fill="auto" w:val="clear"/>
            <w:vAlign w:val="center"/>
          </w:tcPr>
          <w:p>
            <w:pPr>
              <w:pStyle w:val="TableContents"/>
              <w:spacing w:lineRule="auto" w:line="288" w:before="0" w:after="0"/>
              <w:ind w:left="0" w:right="0" w:firstLine="360"/>
              <w:rPr>
                <w:rFonts w:ascii="inherit" w:hAnsi="inherit"/>
                <w:b/>
                <w:sz w:val="20"/>
              </w:rPr>
            </w:pPr>
            <w:r>
              <w:rPr>
                <w:rFonts w:ascii="inherit" w:hAnsi="inherit"/>
                <w:b/>
                <w:sz w:val="20"/>
              </w:rPr>
              <w:t>Item 2.</w:t>
            </w:r>
          </w:p>
        </w:tc>
        <w:tc>
          <w:tcPr>
            <w:tcW w:w="9040" w:type="dxa"/>
            <w:tcBorders/>
            <w:shd w:fill="auto" w:val="clear"/>
            <w:vAlign w:val="center"/>
          </w:tcPr>
          <w:p>
            <w:pPr>
              <w:pStyle w:val="TableContents"/>
              <w:spacing w:lineRule="auto" w:line="288" w:before="0" w:after="0"/>
              <w:ind w:left="0" w:right="0" w:hanging="360"/>
              <w:jc w:val="both"/>
              <w:rPr>
                <w:rFonts w:ascii="inherit" w:hAnsi="inherit"/>
                <w:b/>
                <w:sz w:val="20"/>
              </w:rPr>
            </w:pPr>
            <w:r>
              <w:rPr>
                <w:rFonts w:ascii="inherit" w:hAnsi="inherit"/>
                <w:b/>
                <w:sz w:val="20"/>
              </w:rPr>
              <w:t>Management’s Discussion and Analysis of Financial Condition and Results of Operations</w:t>
            </w:r>
          </w:p>
        </w:tc>
      </w:tr>
    </w:tbl>
    <w:p>
      <w:pPr>
        <w:pStyle w:val="TextBody"/>
        <w:spacing w:lineRule="auto" w:line="288" w:before="0" w:after="0"/>
        <w:jc w:val="both"/>
        <w:rPr>
          <w:sz w:val="17"/>
        </w:rPr>
      </w:pPr>
      <w:r>
        <w:rPr>
          <w:rFonts w:ascii="inherit" w:hAnsi="inherit"/>
          <w:i/>
          <w:sz w:val="17"/>
        </w:rPr>
        <w:t>The following discussion and analysis of the financial position and operating results of VICI Properties Inc. for the three months ended March 31, 2019</w:t>
      </w:r>
      <w:r>
        <w:rPr>
          <w:sz w:val="17"/>
        </w:rPr>
        <w:t xml:space="preserve"> </w:t>
      </w:r>
      <w:r>
        <w:rPr>
          <w:rFonts w:ascii="inherit" w:hAnsi="inherit"/>
          <w:i/>
          <w:sz w:val="17"/>
        </w:rPr>
        <w:t xml:space="preserve">should be read in conjunction with the Consolidated Financial Statements and related notes thereto and other financial information contained elsewhere in this Quarterly Report on Form 10-Q and the audited consolidated financial statements and related notes for the year ended December 31, 2018, which were included in our Annual Report on Form 10-K for the year ended December 31, 2018. All defined terms included herein have the same meaning as those set forth in the Notes to the Consolidated Financial Statements contained within this Quarterly Report on Form 10-Q. </w:t>
      </w:r>
    </w:p>
    <w:p>
      <w:pPr>
        <w:pStyle w:val="TextBody"/>
        <w:spacing w:lineRule="auto" w:line="288" w:before="0" w:after="0"/>
        <w:jc w:val="center"/>
        <w:rPr>
          <w:rFonts w:ascii="inherit" w:hAnsi="inherit"/>
          <w:b/>
          <w:sz w:val="18"/>
        </w:rPr>
      </w:pPr>
      <w:r>
        <w:rPr>
          <w:rFonts w:ascii="inherit" w:hAnsi="inherit"/>
          <w:b/>
          <w:sz w:val="18"/>
        </w:rPr>
        <w:t>CAUTIONARY NOTE REGARDING FORWARD-LOOKING STATEMENTS</w:t>
      </w:r>
    </w:p>
    <w:p>
      <w:pPr>
        <w:pStyle w:val="TextBody"/>
        <w:spacing w:lineRule="auto" w:line="288" w:before="0" w:after="0"/>
        <w:jc w:val="both"/>
        <w:rPr>
          <w:rFonts w:ascii="inherit" w:hAnsi="inherit"/>
          <w:sz w:val="17"/>
        </w:rPr>
      </w:pPr>
      <w:r>
        <w:rPr>
          <w:rFonts w:ascii="inherit" w:hAnsi="inherit"/>
          <w:sz w:val="17"/>
        </w:rPr>
        <w:t>Certain statements in this Quarterly Report on Form 10-Q, including statements such as “anticipate,” “believe,” “estimate,” “expect,” “intend,” “plan,” “project,” “target,” “can,” “could,” “may,” “should,” “will,” “would” or similar expressions, constitute “forward-looking statements” within the meaning of the federal securities law. Forward-looking statements are based on our current plans, expectations and projections about future events. We caution you therefore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pStyle w:val="TextBody"/>
        <w:spacing w:lineRule="auto" w:line="288" w:before="0" w:after="0"/>
        <w:jc w:val="both"/>
        <w:rPr>
          <w:rFonts w:ascii="inherit" w:hAnsi="inherit"/>
          <w:sz w:val="17"/>
        </w:rPr>
      </w:pPr>
      <w:r>
        <w:rPr>
          <w:rFonts w:ascii="inherit" w:hAnsi="inherit"/>
          <w:sz w:val="17"/>
        </w:rPr>
        <w:t>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 our dependence on subsidiaries of Caesars and Penn National as tenants of our properties and Caesars and Penn National or certain of their respective subsidiaries as guarantors of the lease payments and the negative consequences any material adverse effect on their respective businesses could have on us; our dependence on the gaming industry; our ability to pursue our business and growth strategies may be limited by our substantial debt service requirements and by the requirement that we distribute 90% of our REIT taxable income in order to qualify for taxation as a REIT and that we distribute 100% of our REIT taxable income in order to avoid current entity-level U.S. Federal income taxes; the impact of extensive regulation from gaming and other regulatory authorities; the ability of our tenants to obtain and maintain regulatory approvals in connection with the operation of our properties; the possibility that our tenants may choose not to renew the Lease Agreements following the initial or subsequent terms of the leases; restrictions on our ability to sell our properties subject to the Lease Agreements; Caesars’ and Penn National’s historical results may not be a reliable indicator of their future results; our substantial amount of indebtedness and ability to service and refinance such indebtedness; limits on our operational and financial flexibility imposed by our debt agreements; our historical financial information may not be reliable indicators of our future results of operations, financial condition and cash flows; the ability to receive, or delays in obtaining, the governmental and regulatory approvals and consents required to consummate our pending acquisitions, or other delays or impediments to completing our pending acquisitions; our ability to obtain the financing necessary to complete our pending acquisitions on the terms we currently expect or at all; the possibility that our pending acquisitions may not be completed or that completion may be unduly delayed; the effects of our recently completed acquisition and the pending acquisitions on us, including the post-acquisition impact on our financial condition, financial and operating results, cash flows, strategy and plans; the possibility our separation from CEOC fails to qualify as a tax-free spin-off, which could subject us to significant tax liabilities; the impact of changes to the U.S. Federal income tax laws; the possibility of foreclosure on our properties if we are unable to meet required debt service payments; the impact of a rise in interest rates on us; our inability to successfully pursue investments in, and acquisitions of, additional properties; the impact of natural disasters or terrorism on our properties; the loss of the services of key personnel; the inability to attract, retain and motivate employees; the costs and liabilities associated with environmental compliance; failure to establish and maintain an effective system of integrated internal controls; the costs of operating as a public company; our inability to operate as a stand-alone company; our inability to maintain our qualification for taxation as a REIT; our reliance on distributions received from the Operating Partnership to make distributions to our stockholders; the impact on the amount of our cash distributions if we were to sell any of our properties in the future; our ability to continue to make distributions to holders of our common stock or maintain anticipated levels of distributions over time; competition for acquisition opportunities from other REITs and gaming companies that may have greater resources and access to capital and a lower cost of capital than us; and additional factors discussed herein and listed from time to time as “Risk Factors” in our filings with the SEC, including without limitation, in our reports on Form 10-K and Form 8-K and subsequent reports on Form 10-Q.</w:t>
      </w:r>
    </w:p>
    <w:p>
      <w:pPr>
        <w:pStyle w:val="TextBody"/>
        <w:spacing w:lineRule="auto" w:line="288" w:before="0" w:after="0"/>
        <w:jc w:val="both"/>
        <w:rPr>
          <w:rFonts w:ascii="inherit" w:hAnsi="inherit"/>
          <w:sz w:val="17"/>
        </w:rPr>
      </w:pPr>
      <w:r>
        <w:rPr>
          <w:rFonts w:ascii="inherit" w:hAnsi="inherit"/>
          <w:sz w:val="17"/>
        </w:rPr>
        <w:t xml:space="preserve">Any of the assumptions underlying forward-looking statements could be inaccurate. Accordingly, you are cautioned not to place undue reliance on forward-looking statements, which speak only as of the date on which they are made. Except as required by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28</w:t>
      </w:r>
      <w:r>
        <w:br w:type="page"/>
      </w:r>
    </w:p>
    <w:p>
      <w:pPr>
        <w:pStyle w:val="TextBody"/>
        <w:spacing w:lineRule="auto" w:line="288" w:before="0" w:after="0"/>
        <w:jc w:val="both"/>
        <w:rPr/>
      </w:pPr>
      <w:hyperlink w:anchor="s7181E430E8A9506B896277AC8CF177C4">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 xml:space="preserve">law, we do not undertake any obligation to publicly update or revise any forward-looking statements, whether as a result of new information, future events, changed circumstance or any other reason. In light of the significant uncertainties inherent in forward-looking statements, the inclusion of such forward-looking statements should not be regarded as a representation by us. </w:t>
      </w:r>
    </w:p>
    <w:p>
      <w:pPr>
        <w:pStyle w:val="TextBody"/>
        <w:spacing w:lineRule="auto" w:line="288" w:before="0" w:after="0"/>
        <w:jc w:val="left"/>
        <w:rPr>
          <w:rFonts w:ascii="inherit" w:hAnsi="inherit"/>
          <w:b/>
          <w:sz w:val="18"/>
        </w:rPr>
      </w:pPr>
      <w:r>
        <w:rPr>
          <w:rFonts w:ascii="inherit" w:hAnsi="inherit"/>
          <w:b/>
          <w:sz w:val="18"/>
        </w:rPr>
        <w:t>OVERVIEW</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 xml:space="preserve">We are an owner and acquirer of experiential real estate assets across leading gaming, hospitality, entertainment and leisure destinations. Our national, geographically diverse portfolio currently consists of 22 market leading properties, including Caesars Palace Las Vegas and Harrah’s Las Vegas, two of the most iconic entertainment facilities on the Las Vegas Strip. Our entertainment facilities are leased to leading brands that seek to drive consumer loyalty and value with guests through superior services, experiences, products and continuous innovation. Across approximately 39 million square feet, our well-maintained properties are currently located across urban, destination and drive-to markets in ten states, contain approximately 14,800 hotel rooms and feature over 150 restaurants, bars and nightclubs.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Our portfolio also includes approximately 34 acres of undeveloped or underdeveloped land on and adjacent to the Las Vegas Strip that is leased to Caesars, which we may look to monetize as appropriate. We also own and operate four championship golf courses located near certain of our properties, two of which are in close proximity to the Las Vegas Strip. The following chart summarizes our current portfolio of properties, our pending acquisitions, our properties subject to the call option agreement with Caesars and our properties subject to the right of first refusal agreement and put/call agreement with Caesars: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center"/>
        <w:rPr/>
      </w:pPr>
      <w:r>
        <w:rPr/>
        <w:drawing>
          <wp:inline distT="0" distB="0" distL="0" distR="0">
            <wp:extent cx="6515100" cy="438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515100" cy="4381500"/>
                    </a:xfrm>
                    <a:prstGeom prst="rect">
                      <a:avLst/>
                    </a:prstGeom>
                  </pic:spPr>
                </pic:pic>
              </a:graphicData>
            </a:graphic>
          </wp:inline>
        </w:drawing>
      </w:r>
    </w:p>
    <w:p>
      <w:pPr>
        <w:pStyle w:val="TextBody"/>
        <w:spacing w:lineRule="auto" w:line="288" w:before="0" w:after="0"/>
        <w:jc w:val="left"/>
        <w:rPr>
          <w:rFonts w:ascii="inherit" w:hAnsi="inherit"/>
          <w:sz w:val="10"/>
          <w:u w:val="single"/>
        </w:rPr>
      </w:pPr>
      <w:r>
        <w:rPr>
          <w:rFonts w:ascii="inherit" w:hAnsi="inherit"/>
          <w:sz w:val="10"/>
          <w:u w:val="single"/>
        </w:rPr>
        <w:t>______________ ______</w:t>
      </w:r>
    </w:p>
    <w:p>
      <w:pPr>
        <w:pStyle w:val="TextBody"/>
        <w:spacing w:lineRule="auto" w:line="288" w:before="0" w:after="0"/>
        <w:jc w:val="both"/>
        <w:rPr>
          <w:rFonts w:ascii="inherit" w:hAnsi="inherit"/>
          <w:i/>
          <w:sz w:val="13"/>
        </w:rPr>
      </w:pPr>
      <w:r>
        <w:rPr>
          <w:rFonts w:ascii="inherit" w:hAnsi="inherit"/>
          <w:i/>
          <w:sz w:val="13"/>
        </w:rPr>
        <w:t>(1) On April 5, 2019, the Company announced that it entered into definitive agreements pursuant to which VICI will acquire the land and real estate assets associated with JACK Cincinnati. The acquisition is pending completion, subject to customary closing conditions and regulatory approvals.</w:t>
      </w:r>
    </w:p>
    <w:p>
      <w:pPr>
        <w:pStyle w:val="TextBody"/>
        <w:spacing w:lineRule="auto" w:line="288" w:before="0" w:after="0"/>
        <w:jc w:val="both"/>
        <w:rPr>
          <w:rFonts w:ascii="inherit" w:hAnsi="inherit"/>
          <w:i/>
          <w:sz w:val="13"/>
        </w:rPr>
      </w:pPr>
      <w:r>
        <w:rPr>
          <w:rFonts w:ascii="inherit" w:hAnsi="inherit"/>
          <w:i/>
          <w:sz w:val="13"/>
        </w:rPr>
        <w:t>(2) On November 14, 2018, the Company announced that it entered into definitive agreements pursuant to which VICI will acquire the land and real estate assets associated with Greektown. Acquisition is pending completion, subject to customary closing conditions and regulatory approvals.</w:t>
      </w:r>
    </w:p>
    <w:p>
      <w:pPr>
        <w:pStyle w:val="TextBody"/>
        <w:spacing w:lineRule="auto" w:line="288" w:before="0" w:after="0"/>
        <w:ind w:left="0" w:right="0" w:hanging="390"/>
        <w:jc w:val="left"/>
        <w:rPr>
          <w:rFonts w:ascii="inherit" w:hAnsi="inherit"/>
          <w:i/>
          <w:sz w:val="13"/>
        </w:rPr>
      </w:pPr>
      <w:r>
        <w:rPr>
          <w:rFonts w:ascii="inherit" w:hAnsi="inherit"/>
          <w:i/>
          <w:sz w:val="13"/>
        </w:rPr>
        <w:t>(3) VICI completed the acquisition of Margaritaville Bossier City on January 2, 2019.</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29</w:t>
      </w:r>
      <w:r>
        <w:br w:type="page"/>
      </w:r>
    </w:p>
    <w:p>
      <w:pPr>
        <w:pStyle w:val="TextBody"/>
        <w:spacing w:lineRule="auto" w:line="288" w:before="0" w:after="0"/>
        <w:jc w:val="both"/>
        <w:rPr/>
      </w:pPr>
      <w:hyperlink w:anchor="s7181E430E8A9506B896277AC8CF177C4">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We lease our properties to subsidiaries of Caesars and Penn National. We believe we have a mutually beneficial relationship with Caesars and Penn National, both of which are leading owners and operators of gaming, entertainment and leisure properties. Our long-term triple-net Lease Agreements with subsidiaries of Caesars and Penn National provide us with a highly predictable revenue stream with embedded growth potential. We believe our geographic diversification limits the effect of changes in any one market on our overall performance. We are focused on driving long-term total returns through managing experiential asset growth and allocating capital diligently, maintaining a highly productive tenant base, and optimizing our capital structure to support external growth. As a growth focused public real estate investment trust, we expect our relationship with our partners will position us for the acquisition of additional properties across leisure and hospitality.</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Our portfolio is competitively positioned and well-maintained. Pursuant to the terms of the Lease Agreements, which require our tenants to invest in our properties, and in line with our tenants’ commitment to build guest loyalty, we anticipate our tenants will continue to make strategic value-enhancing investments in our properties over time, helping to maintain their competitive position. In addition, given our scale and deep industry knowledge, we believe we are well-positioned to execute highly complementary single-asset and portfolio acquisitions to augment growth.</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We conduct our operations as a real estate investment trust (“REIT”) for U.S. federal income tax purposes. We generally will not be subject to U.S. federal income taxes on our taxable income to the extent that we annually distribute all of our net taxable income to stockholders and maintain our qualification as a REIT. We believe our election of REIT status combined with the income generation from the Lease Agreements will enhance our ability to make distributions to our stockholders, providing investors with current income as well as long-term growth. We conduct our real property business through our Operating Partnership and our golf course business, through a taxable REIT subsidiary (a “TRS”), VICI Golf.</w:t>
      </w:r>
    </w:p>
    <w:p>
      <w:pPr>
        <w:pStyle w:val="TextBody"/>
        <w:spacing w:lineRule="auto" w:line="288" w:before="0" w:after="0"/>
        <w:jc w:val="both"/>
        <w:rPr>
          <w:rFonts w:ascii="inherit" w:hAnsi="inherit"/>
          <w:sz w:val="17"/>
        </w:rPr>
      </w:pPr>
      <w:r>
        <w:rPr>
          <w:rFonts w:ascii="inherit" w:hAnsi="inherit"/>
          <w:sz w:val="17"/>
        </w:rPr>
        <w:t xml:space="preserve">The financial information included in this Form 10-Q are our consolidated results (including the real property business and the golf course business) for the three months ended March 31, 2019. </w:t>
      </w:r>
    </w:p>
    <w:p>
      <w:pPr>
        <w:pStyle w:val="TextBody"/>
        <w:spacing w:lineRule="auto" w:line="288" w:before="0" w:after="0"/>
        <w:jc w:val="both"/>
        <w:rPr>
          <w:rFonts w:ascii="inherit" w:hAnsi="inherit"/>
          <w:b/>
          <w:sz w:val="18"/>
        </w:rPr>
      </w:pPr>
      <w:r>
        <w:rPr>
          <w:rFonts w:ascii="inherit" w:hAnsi="inherit"/>
          <w:b/>
          <w:sz w:val="18"/>
        </w:rPr>
        <w:t>SIGNIFICANT ACTIVITIES DURING 2019</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Our significant activities in 2019, in reverse chronological order, are as follows:</w:t>
      </w:r>
    </w:p>
    <w:p>
      <w:pPr>
        <w:pStyle w:val="TextBody"/>
        <w:spacing w:lineRule="auto" w:line="288" w:before="0" w:after="0"/>
        <w:jc w:val="both"/>
        <w:rPr>
          <w:rFonts w:ascii="inherit" w:hAnsi="inherit"/>
          <w:b/>
          <w:i/>
          <w:sz w:val="17"/>
        </w:rPr>
      </w:pPr>
      <w:r>
        <w:rPr>
          <w:rFonts w:ascii="inherit" w:hAnsi="inherit"/>
          <w:b/>
          <w:i/>
          <w:sz w:val="17"/>
        </w:rPr>
        <w:t>Purchase of JACK Cincinnati Casino</w:t>
      </w:r>
    </w:p>
    <w:p>
      <w:pPr>
        <w:pStyle w:val="TextBody"/>
        <w:spacing w:lineRule="auto" w:line="288" w:before="0" w:after="0"/>
        <w:jc w:val="both"/>
        <w:rPr>
          <w:sz w:val="17"/>
        </w:rPr>
      </w:pPr>
      <w:r>
        <w:rPr>
          <w:rFonts w:ascii="inherit" w:hAnsi="inherit"/>
          <w:sz w:val="17"/>
        </w:rPr>
        <w:t>Subsequent to the quarter end, on April 5, 2019, we entered into definitive agreements to acquire JACK Cincinnati Casino from affiliates of JACK Entertainment LLC, for approximately $558.3 million, and a subsidiary of Hard Rock agreed to acquire the operating assets of the JACK Cincinnati Casino for $186.5 million. Simultaneous with the closing of this transaction, we will enter into a triple-net lease agreement for the JACK Cincinnati Casino with a subsidiary of Hard Rock. The lease will have an initial total annual rent of $42.75 million</w:t>
      </w:r>
      <w:r>
        <w:rPr>
          <w:sz w:val="17"/>
        </w:rPr>
        <w:t xml:space="preserve"> </w:t>
      </w:r>
      <w:r>
        <w:rPr>
          <w:rFonts w:ascii="inherit" w:hAnsi="inherit"/>
          <w:sz w:val="17"/>
        </w:rPr>
        <w:t>and an initial term of 15</w:t>
      </w:r>
      <w:r>
        <w:rPr>
          <w:sz w:val="17"/>
        </w:rPr>
        <w:t xml:space="preserve"> </w:t>
      </w:r>
      <w:r>
        <w:rPr>
          <w:rFonts w:ascii="inherit" w:hAnsi="inherit"/>
          <w:sz w:val="17"/>
        </w:rPr>
        <w:t>years, with four</w:t>
      </w:r>
      <w:r>
        <w:rPr>
          <w:sz w:val="17"/>
        </w:rPr>
        <w:t xml:space="preserve"> </w:t>
      </w:r>
      <w:r>
        <w:rPr>
          <w:rFonts w:ascii="inherit" w:hAnsi="inherit"/>
          <w:sz w:val="17"/>
        </w:rPr>
        <w:t>five-year tenant renewal options. The tenant’s obligations under the lease will be guaranteed by Seminole Hard Rock Entertainment, Inc. The transaction is subject to regulatory approvals and customary closing conditions and is expected to close in late 2019. However, we can provide no assurances that the JACK Cincinnati Acquisition will be consummated on the terms or timeframe described herein, or at all.</w:t>
      </w:r>
    </w:p>
    <w:p>
      <w:pPr>
        <w:pStyle w:val="TextBody"/>
        <w:spacing w:lineRule="auto" w:line="288" w:before="0" w:after="0"/>
        <w:jc w:val="both"/>
        <w:rPr>
          <w:rFonts w:ascii="inherit" w:hAnsi="inherit"/>
          <w:b/>
          <w:i/>
          <w:sz w:val="17"/>
        </w:rPr>
      </w:pPr>
      <w:r>
        <w:rPr>
          <w:rFonts w:ascii="inherit" w:hAnsi="inherit"/>
          <w:b/>
          <w:i/>
          <w:sz w:val="17"/>
        </w:rPr>
        <w:t>Interest Rate Swaps</w:t>
      </w:r>
    </w:p>
    <w:p>
      <w:pPr>
        <w:pStyle w:val="TextBody"/>
        <w:spacing w:lineRule="auto" w:line="288" w:before="0" w:after="0"/>
        <w:jc w:val="both"/>
        <w:rPr>
          <w:rFonts w:ascii="inherit" w:hAnsi="inherit"/>
          <w:sz w:val="17"/>
        </w:rPr>
      </w:pPr>
      <w:r>
        <w:rPr>
          <w:rFonts w:ascii="inherit" w:hAnsi="inherit"/>
          <w:sz w:val="17"/>
        </w:rPr>
        <w:t>On January 3, 2019, we entered into two additional interest rate swap agreements with third-party financial institutions having an aggregate notional amount of $500.0 million. These interest rate swap transactions each have an effective date of January 22, 2019 and a termination date of January 22, 2021 and are intended to be cash flow hedges that effectively fix, for two years, the LIBOR component of the interest rate on $500.0 million of the outstanding debt under the Term Loan B Facility at a blended rate of 2.38%. Subsequent to the effectiveness and for the duration of the interest rate swap transactions, we are only subject to interest rate risk on $100.0 million of variable rate debt.</w:t>
      </w:r>
    </w:p>
    <w:p>
      <w:pPr>
        <w:pStyle w:val="TextBody"/>
        <w:spacing w:lineRule="auto" w:line="288" w:before="0" w:after="0"/>
        <w:jc w:val="both"/>
        <w:rPr>
          <w:rFonts w:ascii="inherit" w:hAnsi="inherit"/>
          <w:b/>
          <w:i/>
          <w:sz w:val="17"/>
        </w:rPr>
      </w:pPr>
      <w:r>
        <w:rPr>
          <w:rFonts w:ascii="inherit" w:hAnsi="inherit"/>
          <w:b/>
          <w:i/>
          <w:sz w:val="17"/>
        </w:rPr>
        <w:t>Purchase of Margaritaville Resort Casino</w:t>
      </w:r>
    </w:p>
    <w:p>
      <w:pPr>
        <w:pStyle w:val="TextBody"/>
        <w:spacing w:lineRule="auto" w:line="288" w:before="0" w:after="0"/>
        <w:jc w:val="both"/>
        <w:rPr>
          <w:rFonts w:ascii="inherit" w:hAnsi="inherit"/>
          <w:sz w:val="17"/>
        </w:rPr>
      </w:pPr>
      <w:r>
        <w:rPr>
          <w:rFonts w:ascii="inherit" w:hAnsi="inherit"/>
          <w:sz w:val="17"/>
        </w:rPr>
        <w:t xml:space="preserve">On January 2, 2019 we completed the previously announced transaction in which we acquired the land and real estate assets of the Margaritaville Resort Casino, located in Bossier City, Louisiana, for $261.1 million. Penn National Gaming, Inc. acquired the operating assets of Margaritaville Resort Casino for $114.9 million. Simultaneous with the closing of this transaction, we entered into a triple-net lease agreement with a subsidiary of Penn National. The lease has an initial annual rent of $23.2 million and an initial term of 15 years, with four five-year tenant renewal options. The tenant’s obligations under the lease are guaranteed by Penn National and certain of its subsidiaries.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30</w:t>
      </w:r>
      <w:r>
        <w:br w:type="page"/>
      </w:r>
    </w:p>
    <w:p>
      <w:pPr>
        <w:pStyle w:val="TextBody"/>
        <w:spacing w:lineRule="auto" w:line="288" w:before="0" w:after="0"/>
        <w:jc w:val="both"/>
        <w:rPr/>
      </w:pPr>
      <w:hyperlink w:anchor="s7181E430E8A9506B896277AC8CF177C4">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b/>
          <w:sz w:val="17"/>
        </w:rPr>
      </w:pPr>
      <w:r>
        <w:rPr>
          <w:rFonts w:ascii="inherit" w:hAnsi="inherit"/>
          <w:b/>
          <w:sz w:val="17"/>
        </w:rPr>
        <w:t>Pending Transactions</w:t>
      </w:r>
    </w:p>
    <w:p>
      <w:pPr>
        <w:pStyle w:val="TextBody"/>
        <w:spacing w:lineRule="auto" w:line="288" w:before="0" w:after="0"/>
        <w:jc w:val="both"/>
        <w:rPr>
          <w:rFonts w:ascii="inherit" w:hAnsi="inherit"/>
          <w:b/>
          <w:i/>
          <w:sz w:val="17"/>
        </w:rPr>
      </w:pPr>
      <w:r>
        <w:rPr>
          <w:rFonts w:ascii="inherit" w:hAnsi="inherit"/>
          <w:b/>
          <w:i/>
          <w:sz w:val="17"/>
        </w:rPr>
        <w:t>Purchase of Greektown</w:t>
      </w:r>
    </w:p>
    <w:p>
      <w:pPr>
        <w:pStyle w:val="TextBody"/>
        <w:spacing w:lineRule="auto" w:line="288" w:before="0" w:after="0"/>
        <w:jc w:val="both"/>
        <w:rPr>
          <w:rFonts w:ascii="inherit" w:hAnsi="inherit"/>
          <w:sz w:val="17"/>
        </w:rPr>
      </w:pPr>
      <w:r>
        <w:rPr>
          <w:rFonts w:ascii="inherit" w:hAnsi="inherit"/>
          <w:sz w:val="17"/>
        </w:rPr>
        <w:t>On November 13, 2018, we entered into definitive agreements to acquire from affiliates of JACK Entertainment LLC all of the land and real estate assets associated with Greektown, for $700.0 million in cash, and an affiliate of Penn National has agreed to acquire the operating assets of Greektown for $300.0 million in cash (together, the “Greektown Acquisition”). Simultaneous with the closing of the Greektown Acquisition, we will enter into a triple-net lease agreement for Greektown with a subsidiary of Penn National. The lease will have an initial total annual rent of $55.6 million and an initial term of 15 years, with four five-year tenant renewal options. The tenant’s obligations under the lease will be guaranteed by Penn National and certain of its subsidiaries. The transaction is subject to regulatory approvals and customary closing conditions and is expected to close in the second quarter of 2019. However, we can provide no assurances that the Greektown Acquisition will be consummated on the terms or timeframe described herein, or at all.</w:t>
      </w:r>
    </w:p>
    <w:p>
      <w:pPr>
        <w:pStyle w:val="TextBody"/>
        <w:spacing w:lineRule="auto" w:line="288" w:before="0" w:after="0"/>
        <w:jc w:val="left"/>
        <w:rPr>
          <w:rFonts w:ascii="inherit" w:hAnsi="inherit"/>
          <w:b/>
          <w:sz w:val="18"/>
        </w:rPr>
      </w:pPr>
      <w:r>
        <w:rPr>
          <w:rFonts w:ascii="inherit" w:hAnsi="inherit"/>
          <w:b/>
          <w:sz w:val="18"/>
        </w:rPr>
        <w:t>DISCUSSION OF OPERATING RESULTS</w:t>
      </w:r>
    </w:p>
    <w:p>
      <w:pPr>
        <w:pStyle w:val="TextBody"/>
        <w:spacing w:lineRule="auto" w:line="288" w:before="0" w:after="0"/>
        <w:jc w:val="both"/>
        <w:rPr>
          <w:rFonts w:ascii="inherit" w:hAnsi="inherit"/>
          <w:b/>
          <w:sz w:val="18"/>
        </w:rPr>
      </w:pPr>
      <w:r>
        <w:rPr>
          <w:rFonts w:ascii="inherit" w:hAnsi="inherit"/>
          <w:b/>
          <w:sz w:val="18"/>
        </w:rPr>
        <w:t>Segments</w:t>
      </w:r>
    </w:p>
    <w:p>
      <w:pPr>
        <w:pStyle w:val="TextBody"/>
        <w:spacing w:lineRule="auto" w:line="288" w:before="0" w:after="0"/>
        <w:jc w:val="both"/>
        <w:rPr>
          <w:rFonts w:ascii="inherit" w:hAnsi="inherit"/>
          <w:sz w:val="17"/>
        </w:rPr>
      </w:pPr>
      <w:r>
        <w:rPr>
          <w:rFonts w:ascii="inherit" w:hAnsi="inherit"/>
          <w:sz w:val="17"/>
        </w:rPr>
        <w:t>Our real property business and our golf course business represent two reportable segments. The real property business segment consists of leased real property and represents the substantial majority of our business. The golf course business segment consists of four golf courses, with each being operating segments that are aggregated into one reportable segment. The results of each reportable segment presented below are consistent with the way our management assesses these results and allocates resources, which is a consolidated view that adjusts for the impact of certain transactions between our reportable segments.</w:t>
      </w:r>
    </w:p>
    <w:tbl>
      <w:tblPr>
        <w:tblW w:w="8896" w:type="dxa"/>
        <w:jc w:val="center"/>
        <w:tblInd w:w="0" w:type="dxa"/>
        <w:tblCellMar>
          <w:top w:w="0" w:type="dxa"/>
          <w:left w:w="0" w:type="dxa"/>
          <w:bottom w:w="0" w:type="dxa"/>
          <w:right w:w="0" w:type="dxa"/>
        </w:tblCellMar>
      </w:tblPr>
      <w:tblGrid>
        <w:gridCol w:w="4805"/>
        <w:gridCol w:w="171"/>
        <w:gridCol w:w="953"/>
        <w:gridCol w:w="150"/>
        <w:gridCol w:w="123"/>
        <w:gridCol w:w="171"/>
        <w:gridCol w:w="953"/>
        <w:gridCol w:w="150"/>
        <w:gridCol w:w="90"/>
        <w:gridCol w:w="125"/>
        <w:gridCol w:w="590"/>
        <w:gridCol w:w="615"/>
      </w:tblGrid>
      <w:tr>
        <w:trPr/>
        <w:tc>
          <w:tcPr>
            <w:tcW w:w="8896" w:type="dxa"/>
            <w:gridSpan w:val="12"/>
            <w:tcBorders/>
            <w:shd w:fill="auto" w:val="clear"/>
            <w:vAlign w:val="center"/>
          </w:tcPr>
          <w:p>
            <w:pPr>
              <w:pStyle w:val="TableContents"/>
              <w:spacing w:before="0" w:after="283"/>
              <w:rPr>
                <w:sz w:val="4"/>
                <w:szCs w:val="4"/>
              </w:rPr>
            </w:pPr>
            <w:r>
              <w:rPr>
                <w:sz w:val="4"/>
                <w:szCs w:val="4"/>
              </w:rPr>
            </w:r>
          </w:p>
        </w:tc>
      </w:tr>
      <w:tr>
        <w:trPr/>
        <w:tc>
          <w:tcPr>
            <w:tcW w:w="480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805" w:type="dxa"/>
            <w:tcBorders/>
            <w:shd w:fill="auto" w:val="clear"/>
            <w:vAlign w:val="center"/>
          </w:tcPr>
          <w:p>
            <w:pPr>
              <w:pStyle w:val="TableContents"/>
              <w:spacing w:before="0" w:after="0"/>
              <w:ind w:left="0" w:right="0" w:firstLine="30"/>
              <w:rPr/>
            </w:pPr>
            <w:r>
              <w:rPr/>
              <w:t> </w:t>
            </w:r>
          </w:p>
        </w:tc>
        <w:tc>
          <w:tcPr>
            <w:tcW w:w="267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Three Months Ended March 31,</w:t>
            </w:r>
          </w:p>
        </w:tc>
        <w:tc>
          <w:tcPr>
            <w:tcW w:w="90" w:type="dxa"/>
            <w:tcBorders/>
            <w:shd w:fill="auto" w:val="clear"/>
            <w:vAlign w:val="center"/>
          </w:tcPr>
          <w:p>
            <w:pPr>
              <w:pStyle w:val="TableContents"/>
              <w:spacing w:before="0" w:after="0"/>
              <w:ind w:left="0" w:right="0" w:firstLine="30"/>
              <w:rPr/>
            </w:pPr>
            <w:r>
              <w:rPr/>
              <w:t> </w:t>
            </w:r>
          </w:p>
        </w:tc>
        <w:tc>
          <w:tcPr>
            <w:tcW w:w="1330" w:type="dxa"/>
            <w:gridSpan w:val="3"/>
            <w:tcBorders/>
            <w:shd w:fill="auto" w:val="clear"/>
            <w:vAlign w:val="center"/>
          </w:tcPr>
          <w:p>
            <w:pPr>
              <w:pStyle w:val="TableContents"/>
              <w:spacing w:before="0" w:after="0"/>
              <w:ind w:left="0" w:right="0" w:firstLine="30"/>
              <w:rPr/>
            </w:pPr>
            <w:r>
              <w:rPr/>
              <w:t> </w:t>
            </w:r>
          </w:p>
        </w:tc>
      </w:tr>
      <w:tr>
        <w:trPr/>
        <w:tc>
          <w:tcPr>
            <w:tcW w:w="4805" w:type="dxa"/>
            <w:tcBorders/>
            <w:shd w:fill="auto" w:val="clear"/>
            <w:vAlign w:val="center"/>
          </w:tcPr>
          <w:p>
            <w:pPr>
              <w:pStyle w:val="TableContents"/>
              <w:spacing w:before="0" w:after="0"/>
              <w:ind w:left="0" w:right="0" w:firstLine="30"/>
              <w:jc w:val="left"/>
              <w:rPr>
                <w:rFonts w:ascii="inherit" w:hAnsi="inherit"/>
                <w:b/>
                <w:i/>
                <w:sz w:val="15"/>
                <w:u w:val="single"/>
              </w:rPr>
            </w:pPr>
            <w:r>
              <w:rPr>
                <w:rFonts w:ascii="inherit" w:hAnsi="inherit"/>
                <w:b/>
                <w:i/>
                <w:sz w:val="15"/>
                <w:u w:val="single"/>
              </w:rPr>
              <w:t>(In thousands)</w:t>
            </w:r>
          </w:p>
        </w:tc>
        <w:tc>
          <w:tcPr>
            <w:tcW w:w="127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2019</w:t>
            </w:r>
          </w:p>
        </w:tc>
        <w:tc>
          <w:tcPr>
            <w:tcW w:w="123" w:type="dxa"/>
            <w:tcBorders/>
            <w:shd w:fill="auto" w:val="clear"/>
            <w:vAlign w:val="center"/>
          </w:tcPr>
          <w:p>
            <w:pPr>
              <w:pStyle w:val="TableContents"/>
              <w:spacing w:before="0" w:after="0"/>
              <w:ind w:left="0" w:right="0" w:firstLine="30"/>
              <w:rPr/>
            </w:pPr>
            <w:r>
              <w:rPr/>
              <w:t> </w:t>
            </w:r>
          </w:p>
        </w:tc>
        <w:tc>
          <w:tcPr>
            <w:tcW w:w="127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2018</w:t>
            </w:r>
          </w:p>
        </w:tc>
        <w:tc>
          <w:tcPr>
            <w:tcW w:w="90" w:type="dxa"/>
            <w:tcBorders/>
            <w:shd w:fill="auto" w:val="clear"/>
            <w:vAlign w:val="center"/>
          </w:tcPr>
          <w:p>
            <w:pPr>
              <w:pStyle w:val="TableContents"/>
              <w:spacing w:before="0" w:after="0"/>
              <w:ind w:left="0" w:right="0" w:firstLine="30"/>
              <w:rPr/>
            </w:pPr>
            <w:r>
              <w:rPr/>
              <w:t> </w:t>
            </w:r>
          </w:p>
        </w:tc>
        <w:tc>
          <w:tcPr>
            <w:tcW w:w="13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Variance</w:t>
            </w:r>
          </w:p>
        </w:tc>
      </w:tr>
      <w:tr>
        <w:trPr/>
        <w:tc>
          <w:tcPr>
            <w:tcW w:w="4805" w:type="dxa"/>
            <w:tcBorders/>
            <w:shd w:fill="auto" w:val="clear"/>
            <w:vAlign w:val="center"/>
          </w:tcPr>
          <w:p>
            <w:pPr>
              <w:pStyle w:val="TableContents"/>
              <w:spacing w:before="0" w:after="0"/>
              <w:ind w:left="0" w:right="0" w:firstLine="30"/>
              <w:jc w:val="left"/>
              <w:rPr>
                <w:rFonts w:ascii="inherit" w:hAnsi="inherit"/>
                <w:b/>
                <w:i/>
                <w:sz w:val="17"/>
              </w:rPr>
            </w:pPr>
            <w:r>
              <w:rPr>
                <w:rFonts w:ascii="inherit" w:hAnsi="inherit"/>
                <w:b/>
                <w:i/>
                <w:sz w:val="17"/>
              </w:rPr>
              <w:t>Revenues</w:t>
            </w:r>
          </w:p>
        </w:tc>
        <w:tc>
          <w:tcPr>
            <w:tcW w:w="1274" w:type="dxa"/>
            <w:gridSpan w:val="3"/>
            <w:tcBorders/>
            <w:shd w:fill="auto" w:val="cle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ind w:left="0" w:right="0" w:firstLine="30"/>
              <w:rPr/>
            </w:pPr>
            <w:r>
              <w:rPr/>
              <w:t> </w:t>
            </w:r>
          </w:p>
        </w:tc>
        <w:tc>
          <w:tcPr>
            <w:tcW w:w="127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30" w:type="dxa"/>
            <w:gridSpan w:val="3"/>
            <w:tcBorders/>
            <w:shd w:fill="auto" w:val="clear"/>
            <w:vAlign w:val="center"/>
          </w:tcPr>
          <w:p>
            <w:pPr>
              <w:pStyle w:val="TableContents"/>
              <w:spacing w:before="0" w:after="0"/>
              <w:ind w:left="0" w:right="0" w:firstLine="300"/>
              <w:rPr/>
            </w:pPr>
            <w:r>
              <w:rPr/>
              <w:t> </w:t>
            </w:r>
          </w:p>
        </w:tc>
      </w:tr>
      <w:tr>
        <w:trPr/>
        <w:tc>
          <w:tcPr>
            <w:tcW w:w="4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direct financing and sales-type leases</w:t>
            </w:r>
          </w:p>
        </w:tc>
        <w:tc>
          <w:tcPr>
            <w:tcW w:w="17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53" w:type="dxa"/>
            <w:tcBorders/>
            <w:shd w:fill="CCEEFF" w:val="clear"/>
            <w:vAlign w:val="center"/>
          </w:tcPr>
          <w:p>
            <w:pPr>
              <w:pStyle w:val="TableContents"/>
              <w:spacing w:before="0" w:after="0"/>
              <w:jc w:val="right"/>
              <w:rPr>
                <w:rFonts w:ascii="inherit" w:hAnsi="inherit"/>
                <w:sz w:val="17"/>
              </w:rPr>
            </w:pPr>
            <w:r>
              <w:rPr>
                <w:rFonts w:ascii="inherit" w:hAnsi="inherit"/>
                <w:sz w:val="17"/>
              </w:rPr>
              <w:t>195,750</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7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53" w:type="dxa"/>
            <w:tcBorders/>
            <w:shd w:fill="CCEEFF" w:val="clear"/>
            <w:vAlign w:val="center"/>
          </w:tcPr>
          <w:p>
            <w:pPr>
              <w:pStyle w:val="TableContents"/>
              <w:spacing w:before="0" w:after="0"/>
              <w:jc w:val="right"/>
              <w:rPr>
                <w:rFonts w:ascii="inherit" w:hAnsi="inherit"/>
                <w:sz w:val="17"/>
              </w:rPr>
            </w:pPr>
            <w:r>
              <w:rPr>
                <w:rFonts w:ascii="inherit" w:hAnsi="inherit"/>
                <w:sz w:val="17"/>
              </w:rPr>
              <w:t>182,036</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13,714</w:t>
            </w:r>
          </w:p>
        </w:tc>
        <w:tc>
          <w:tcPr>
            <w:tcW w:w="61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from operating leases</w:t>
            </w:r>
          </w:p>
        </w:tc>
        <w:tc>
          <w:tcPr>
            <w:tcW w:w="11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10,913</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12,209</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(1,296</w:t>
            </w:r>
          </w:p>
        </w:tc>
        <w:tc>
          <w:tcPr>
            <w:tcW w:w="6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4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Tenant reimbursement of property taxes</w:t>
            </w:r>
          </w:p>
        </w:tc>
        <w:tc>
          <w:tcPr>
            <w:tcW w:w="1124" w:type="dxa"/>
            <w:gridSpan w:val="2"/>
            <w:tcBorders/>
            <w:shd w:fill="CCEEFF" w:val="clear"/>
            <w:vAlign w:val="center"/>
          </w:tcPr>
          <w:p>
            <w:pPr>
              <w:pStyle w:val="TableContents"/>
              <w:spacing w:before="0" w:after="0"/>
              <w:jc w:val="right"/>
              <w:rPr/>
            </w:pPr>
            <w:r>
              <w:rPr/>
              <w:t>—</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17,243</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(17,243</w:t>
            </w:r>
          </w:p>
        </w:tc>
        <w:tc>
          <w:tcPr>
            <w:tcW w:w="61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4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Golf operations</w:t>
            </w:r>
          </w:p>
        </w:tc>
        <w:tc>
          <w:tcPr>
            <w:tcW w:w="11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7,339</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2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6,788</w:t>
            </w:r>
          </w:p>
        </w:tc>
        <w:tc>
          <w:tcPr>
            <w:tcW w:w="1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551</w:t>
            </w:r>
          </w:p>
        </w:tc>
        <w:tc>
          <w:tcPr>
            <w:tcW w:w="615" w:type="dxa"/>
            <w:tcBorders>
              <w:bottom w:val="single" w:sz="2" w:space="0" w:color="000000"/>
            </w:tcBorders>
            <w:shd w:fill="auto" w:val="clear"/>
            <w:tcMar>
              <w:bottom w:w="28" w:type="dxa"/>
            </w:tcMar>
            <w:vAlign w:val="center"/>
          </w:tcPr>
          <w:p>
            <w:pPr>
              <w:pStyle w:val="TableContents"/>
              <w:spacing w:before="0" w:after="0"/>
              <w:ind w:left="0" w:right="0" w:firstLine="600"/>
              <w:jc w:val="left"/>
              <w:rPr>
                <w:rFonts w:ascii="inherit" w:hAnsi="inherit"/>
                <w:sz w:val="17"/>
              </w:rPr>
            </w:pPr>
            <w:r>
              <w:rPr>
                <w:rFonts w:ascii="inherit" w:hAnsi="inherit"/>
                <w:sz w:val="17"/>
              </w:rPr>
            </w:r>
          </w:p>
        </w:tc>
      </w:tr>
      <w:tr>
        <w:trPr/>
        <w:tc>
          <w:tcPr>
            <w:tcW w:w="4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124"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214,002</w:t>
            </w:r>
          </w:p>
        </w:tc>
        <w:tc>
          <w:tcPr>
            <w:tcW w:w="15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2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218,276</w:t>
            </w:r>
          </w:p>
        </w:tc>
        <w:tc>
          <w:tcPr>
            <w:tcW w:w="1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(4,274</w:t>
            </w:r>
          </w:p>
        </w:tc>
        <w:tc>
          <w:tcPr>
            <w:tcW w:w="61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805" w:type="dxa"/>
            <w:tcBorders/>
            <w:shd w:fill="auto" w:val="clear"/>
            <w:vAlign w:val="center"/>
          </w:tcPr>
          <w:p>
            <w:pPr>
              <w:pStyle w:val="TableContents"/>
              <w:spacing w:before="0" w:after="0"/>
              <w:ind w:left="0" w:right="0" w:firstLine="30"/>
              <w:rPr/>
            </w:pPr>
            <w:r>
              <w:rPr/>
              <w:t> </w:t>
            </w:r>
          </w:p>
        </w:tc>
        <w:tc>
          <w:tcPr>
            <w:tcW w:w="1274" w:type="dxa"/>
            <w:gridSpan w:val="3"/>
            <w:tcBorders/>
            <w:shd w:fill="auto" w:val="cle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ind w:left="0" w:right="0" w:firstLine="30"/>
              <w:rPr/>
            </w:pPr>
            <w:r>
              <w:rPr/>
              <w:t> </w:t>
            </w:r>
          </w:p>
        </w:tc>
        <w:tc>
          <w:tcPr>
            <w:tcW w:w="127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30" w:type="dxa"/>
            <w:gridSpan w:val="3"/>
            <w:tcBorders/>
            <w:shd w:fill="auto" w:val="clear"/>
            <w:vAlign w:val="center"/>
          </w:tcPr>
          <w:p>
            <w:pPr>
              <w:pStyle w:val="TableContents"/>
              <w:spacing w:before="0" w:after="0"/>
              <w:ind w:left="0" w:right="0" w:firstLine="30"/>
              <w:rPr/>
            </w:pPr>
            <w:r>
              <w:rPr/>
              <w:t> </w:t>
            </w:r>
          </w:p>
        </w:tc>
      </w:tr>
      <w:tr>
        <w:trPr/>
        <w:tc>
          <w:tcPr>
            <w:tcW w:w="4805" w:type="dxa"/>
            <w:tcBorders/>
            <w:shd w:fill="CCEEFF" w:val="clear"/>
            <w:vAlign w:val="center"/>
          </w:tcPr>
          <w:p>
            <w:pPr>
              <w:pStyle w:val="TableContents"/>
              <w:spacing w:before="0" w:after="0"/>
              <w:ind w:left="0" w:right="0" w:firstLine="30"/>
              <w:jc w:val="left"/>
              <w:rPr>
                <w:rFonts w:ascii="inherit" w:hAnsi="inherit"/>
                <w:b/>
                <w:i/>
                <w:sz w:val="17"/>
              </w:rPr>
            </w:pPr>
            <w:r>
              <w:rPr>
                <w:rFonts w:ascii="inherit" w:hAnsi="inherit"/>
                <w:b/>
                <w:i/>
                <w:sz w:val="17"/>
              </w:rPr>
              <w:t>Operating expenses</w:t>
            </w:r>
          </w:p>
        </w:tc>
        <w:tc>
          <w:tcPr>
            <w:tcW w:w="1274"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274"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30" w:type="dxa"/>
            <w:gridSpan w:val="3"/>
            <w:tcBorders/>
            <w:shd w:fill="CCEEFF" w:val="clear"/>
            <w:vAlign w:val="center"/>
          </w:tcPr>
          <w:p>
            <w:pPr>
              <w:pStyle w:val="TableContents"/>
              <w:spacing w:before="0" w:after="0"/>
              <w:ind w:left="0" w:right="0" w:firstLine="300"/>
              <w:rPr/>
            </w:pPr>
            <w:r>
              <w:rPr/>
              <w:t> </w:t>
            </w:r>
          </w:p>
        </w:tc>
      </w:tr>
      <w:tr>
        <w:trPr/>
        <w:tc>
          <w:tcPr>
            <w:tcW w:w="4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General and administrative</w:t>
            </w:r>
          </w:p>
        </w:tc>
        <w:tc>
          <w:tcPr>
            <w:tcW w:w="11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6,225</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7,308</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(1,083</w:t>
            </w:r>
          </w:p>
        </w:tc>
        <w:tc>
          <w:tcPr>
            <w:tcW w:w="6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4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1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930</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906</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w:t>
            </w:r>
          </w:p>
        </w:tc>
        <w:tc>
          <w:tcPr>
            <w:tcW w:w="61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Property taxes</w:t>
            </w:r>
          </w:p>
        </w:tc>
        <w:tc>
          <w:tcPr>
            <w:tcW w:w="1124" w:type="dxa"/>
            <w:gridSpan w:val="2"/>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17,243</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(17,243</w:t>
            </w:r>
          </w:p>
        </w:tc>
        <w:tc>
          <w:tcPr>
            <w:tcW w:w="6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4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Golf operations</w:t>
            </w:r>
          </w:p>
        </w:tc>
        <w:tc>
          <w:tcPr>
            <w:tcW w:w="11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4,092</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4,095</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w:t>
            </w:r>
          </w:p>
        </w:tc>
        <w:tc>
          <w:tcPr>
            <w:tcW w:w="61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4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Transaction and acquisition expenses</w:t>
            </w:r>
          </w:p>
        </w:tc>
        <w:tc>
          <w:tcPr>
            <w:tcW w:w="11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889</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889</w:t>
            </w:r>
          </w:p>
        </w:tc>
        <w:tc>
          <w:tcPr>
            <w:tcW w:w="615" w:type="dxa"/>
            <w:tcBorders>
              <w:bottom w:val="single" w:sz="2" w:space="0" w:color="000000"/>
            </w:tcBorders>
            <w:shd w:fill="auto" w:val="clear"/>
            <w:tcMar>
              <w:bottom w:w="28" w:type="dxa"/>
            </w:tcMar>
            <w:vAlign w:val="center"/>
          </w:tcPr>
          <w:p>
            <w:pPr>
              <w:pStyle w:val="TableContents"/>
              <w:spacing w:before="0" w:after="0"/>
              <w:ind w:left="0" w:right="0" w:firstLine="600"/>
              <w:jc w:val="left"/>
              <w:rPr>
                <w:rFonts w:ascii="inherit" w:hAnsi="inherit"/>
                <w:sz w:val="17"/>
              </w:rPr>
            </w:pPr>
            <w:r>
              <w:rPr>
                <w:rFonts w:ascii="inherit" w:hAnsi="inherit"/>
                <w:sz w:val="17"/>
              </w:rPr>
            </w:r>
          </w:p>
        </w:tc>
      </w:tr>
      <w:tr>
        <w:trPr/>
        <w:tc>
          <w:tcPr>
            <w:tcW w:w="4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operating expenses</w:t>
            </w:r>
          </w:p>
        </w:tc>
        <w:tc>
          <w:tcPr>
            <w:tcW w:w="1124"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12,136</w:t>
            </w:r>
          </w:p>
        </w:tc>
        <w:tc>
          <w:tcPr>
            <w:tcW w:w="15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24"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29,552</w:t>
            </w:r>
          </w:p>
        </w:tc>
        <w:tc>
          <w:tcPr>
            <w:tcW w:w="15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(17,416</w:t>
            </w:r>
          </w:p>
        </w:tc>
        <w:tc>
          <w:tcPr>
            <w:tcW w:w="61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income</w:t>
            </w:r>
          </w:p>
        </w:tc>
        <w:tc>
          <w:tcPr>
            <w:tcW w:w="1124"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201,866</w:t>
            </w:r>
          </w:p>
        </w:tc>
        <w:tc>
          <w:tcPr>
            <w:tcW w:w="15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24"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188,724</w:t>
            </w:r>
          </w:p>
        </w:tc>
        <w:tc>
          <w:tcPr>
            <w:tcW w:w="15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13,142</w:t>
            </w:r>
          </w:p>
        </w:tc>
        <w:tc>
          <w:tcPr>
            <w:tcW w:w="6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05" w:type="dxa"/>
            <w:tcBorders/>
            <w:shd w:fill="CCEEFF" w:val="clear"/>
            <w:vAlign w:val="center"/>
          </w:tcPr>
          <w:p>
            <w:pPr>
              <w:pStyle w:val="TableContents"/>
              <w:spacing w:before="0" w:after="0"/>
              <w:ind w:left="0" w:right="0" w:firstLine="30"/>
              <w:rPr/>
            </w:pPr>
            <w:r>
              <w:rPr/>
              <w:t> </w:t>
            </w:r>
          </w:p>
        </w:tc>
        <w:tc>
          <w:tcPr>
            <w:tcW w:w="1274"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274"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30" w:type="dxa"/>
            <w:gridSpan w:val="3"/>
            <w:tcBorders/>
            <w:shd w:fill="CCEEFF" w:val="clear"/>
            <w:vAlign w:val="center"/>
          </w:tcPr>
          <w:p>
            <w:pPr>
              <w:pStyle w:val="TableContents"/>
              <w:spacing w:before="0" w:after="0"/>
              <w:ind w:left="0" w:right="0" w:firstLine="300"/>
              <w:rPr/>
            </w:pPr>
            <w:r>
              <w:rPr/>
              <w:t> </w:t>
            </w:r>
          </w:p>
        </w:tc>
      </w:tr>
      <w:tr>
        <w:trPr/>
        <w:tc>
          <w:tcPr>
            <w:tcW w:w="4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11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(53,586</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(52,875</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(711</w:t>
            </w:r>
          </w:p>
        </w:tc>
        <w:tc>
          <w:tcPr>
            <w:tcW w:w="6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4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w:t>
            </w:r>
          </w:p>
        </w:tc>
        <w:tc>
          <w:tcPr>
            <w:tcW w:w="11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5,167</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1,678</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3,489</w:t>
            </w:r>
          </w:p>
        </w:tc>
        <w:tc>
          <w:tcPr>
            <w:tcW w:w="61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from extinguishment of debt</w:t>
            </w:r>
          </w:p>
        </w:tc>
        <w:tc>
          <w:tcPr>
            <w:tcW w:w="112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2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(23,040</w:t>
            </w:r>
          </w:p>
        </w:tc>
        <w:tc>
          <w:tcPr>
            <w:tcW w:w="15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23,040</w:t>
            </w:r>
          </w:p>
        </w:tc>
        <w:tc>
          <w:tcPr>
            <w:tcW w:w="61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before income taxes</w:t>
            </w:r>
          </w:p>
        </w:tc>
        <w:tc>
          <w:tcPr>
            <w:tcW w:w="11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153,447</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114,487</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38,960</w:t>
            </w:r>
          </w:p>
        </w:tc>
        <w:tc>
          <w:tcPr>
            <w:tcW w:w="61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 benefit</w:t>
            </w:r>
          </w:p>
        </w:tc>
        <w:tc>
          <w:tcPr>
            <w:tcW w:w="112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(521</w:t>
            </w:r>
          </w:p>
        </w:tc>
        <w:tc>
          <w:tcPr>
            <w:tcW w:w="15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2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(384</w:t>
            </w:r>
          </w:p>
        </w:tc>
        <w:tc>
          <w:tcPr>
            <w:tcW w:w="15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(137</w:t>
            </w:r>
          </w:p>
        </w:tc>
        <w:tc>
          <w:tcPr>
            <w:tcW w:w="61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1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152,926</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114,103</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38,823</w:t>
            </w:r>
          </w:p>
        </w:tc>
        <w:tc>
          <w:tcPr>
            <w:tcW w:w="61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Less: Net income attributable to non-controlling interests</w:t>
            </w:r>
          </w:p>
        </w:tc>
        <w:tc>
          <w:tcPr>
            <w:tcW w:w="11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(2,077</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(1,981</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(96</w:t>
            </w:r>
          </w:p>
        </w:tc>
        <w:tc>
          <w:tcPr>
            <w:tcW w:w="61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Net income attributable to common stockholders </w:t>
            </w:r>
          </w:p>
        </w:tc>
        <w:tc>
          <w:tcPr>
            <w:tcW w:w="17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150,849</w:t>
            </w:r>
          </w:p>
        </w:tc>
        <w:tc>
          <w:tcPr>
            <w:tcW w:w="15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7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112,122</w:t>
            </w:r>
          </w:p>
        </w:tc>
        <w:tc>
          <w:tcPr>
            <w:tcW w:w="15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38,727</w:t>
            </w:r>
          </w:p>
        </w:tc>
        <w:tc>
          <w:tcPr>
            <w:tcW w:w="61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31</w:t>
      </w:r>
      <w:r>
        <w:br w:type="page"/>
      </w:r>
    </w:p>
    <w:p>
      <w:pPr>
        <w:pStyle w:val="TextBody"/>
        <w:spacing w:lineRule="auto" w:line="288" w:before="0" w:after="0"/>
        <w:jc w:val="both"/>
        <w:rPr/>
      </w:pPr>
      <w:hyperlink w:anchor="s7181E430E8A9506B896277AC8CF177C4">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b/>
          <w:sz w:val="18"/>
        </w:rPr>
      </w:pPr>
      <w:r>
        <w:rPr>
          <w:rFonts w:ascii="inherit" w:hAnsi="inherit"/>
          <w:b/>
          <w:sz w:val="18"/>
        </w:rPr>
        <w:t xml:space="preserve">Revenue </w:t>
      </w:r>
    </w:p>
    <w:p>
      <w:pPr>
        <w:pStyle w:val="TextBody"/>
        <w:spacing w:lineRule="auto" w:line="288" w:before="0" w:after="0"/>
        <w:jc w:val="both"/>
        <w:rPr>
          <w:sz w:val="17"/>
        </w:rPr>
      </w:pPr>
      <w:r>
        <w:rPr>
          <w:rFonts w:ascii="inherit" w:hAnsi="inherit"/>
          <w:sz w:val="17"/>
        </w:rPr>
        <w:t>For the three months ended March 31, 2019 and 2018, our revenue was $214.0 million</w:t>
      </w:r>
      <w:r>
        <w:rPr>
          <w:sz w:val="17"/>
        </w:rPr>
        <w:t xml:space="preserve"> </w:t>
      </w:r>
      <w:r>
        <w:rPr>
          <w:rFonts w:ascii="inherit" w:hAnsi="inherit"/>
          <w:sz w:val="17"/>
        </w:rPr>
        <w:t>and $218.3 million, respectively, and was comprised of the following items:</w:t>
      </w:r>
    </w:p>
    <w:tbl>
      <w:tblPr>
        <w:tblW w:w="7100" w:type="dxa"/>
        <w:jc w:val="center"/>
        <w:tblInd w:w="0" w:type="dxa"/>
        <w:tblCellMar>
          <w:top w:w="0" w:type="dxa"/>
          <w:left w:w="0" w:type="dxa"/>
          <w:bottom w:w="0" w:type="dxa"/>
          <w:right w:w="0" w:type="dxa"/>
        </w:tblCellMar>
      </w:tblPr>
      <w:tblGrid>
        <w:gridCol w:w="3500"/>
        <w:gridCol w:w="186"/>
        <w:gridCol w:w="1038"/>
        <w:gridCol w:w="44"/>
        <w:gridCol w:w="134"/>
        <w:gridCol w:w="186"/>
        <w:gridCol w:w="1038"/>
        <w:gridCol w:w="44"/>
        <w:gridCol w:w="90"/>
        <w:gridCol w:w="125"/>
        <w:gridCol w:w="590"/>
        <w:gridCol w:w="125"/>
      </w:tblGrid>
      <w:tr>
        <w:trPr/>
        <w:tc>
          <w:tcPr>
            <w:tcW w:w="7100" w:type="dxa"/>
            <w:gridSpan w:val="12"/>
            <w:tcBorders/>
            <w:shd w:fill="auto" w:val="clear"/>
            <w:vAlign w:val="center"/>
          </w:tcPr>
          <w:p>
            <w:pPr>
              <w:pStyle w:val="TableContents"/>
              <w:spacing w:before="0" w:after="283"/>
              <w:rPr>
                <w:sz w:val="4"/>
                <w:szCs w:val="4"/>
              </w:rPr>
            </w:pPr>
            <w:r>
              <w:rPr>
                <w:sz w:val="4"/>
                <w:szCs w:val="4"/>
              </w:rPr>
            </w:r>
          </w:p>
        </w:tc>
      </w:tr>
      <w:tr>
        <w:trPr/>
        <w:tc>
          <w:tcPr>
            <w:tcW w:w="3500"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4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4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00" w:type="dxa"/>
            <w:tcBorders/>
            <w:shd w:fill="auto" w:val="clear"/>
            <w:vAlign w:val="center"/>
          </w:tcPr>
          <w:p>
            <w:pPr>
              <w:pStyle w:val="TableContents"/>
              <w:spacing w:before="0" w:after="0"/>
              <w:ind w:left="0" w:right="0" w:firstLine="30"/>
              <w:rPr/>
            </w:pPr>
            <w:r>
              <w:rPr/>
              <w:t> </w:t>
            </w:r>
          </w:p>
        </w:tc>
        <w:tc>
          <w:tcPr>
            <w:tcW w:w="267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Three Months Ended March 31,</w:t>
            </w:r>
          </w:p>
        </w:tc>
        <w:tc>
          <w:tcPr>
            <w:tcW w:w="90" w:type="dxa"/>
            <w:tcBorders/>
            <w:shd w:fill="auto" w:val="clear"/>
            <w:vAlign w:val="center"/>
          </w:tcPr>
          <w:p>
            <w:pPr>
              <w:pStyle w:val="TableContents"/>
              <w:spacing w:before="0" w:after="0"/>
              <w:ind w:left="0" w:right="0" w:firstLine="30"/>
              <w:rPr/>
            </w:pPr>
            <w:r>
              <w:rPr/>
              <w:t> </w:t>
            </w:r>
          </w:p>
        </w:tc>
        <w:tc>
          <w:tcPr>
            <w:tcW w:w="840" w:type="dxa"/>
            <w:gridSpan w:val="3"/>
            <w:tcBorders/>
            <w:shd w:fill="auto" w:val="clear"/>
            <w:vAlign w:val="center"/>
          </w:tcPr>
          <w:p>
            <w:pPr>
              <w:pStyle w:val="TableContents"/>
              <w:spacing w:before="0" w:after="0"/>
              <w:ind w:left="0" w:right="0" w:firstLine="30"/>
              <w:rPr/>
            </w:pPr>
            <w:r>
              <w:rPr/>
              <w:t> </w:t>
            </w:r>
          </w:p>
        </w:tc>
      </w:tr>
      <w:tr>
        <w:trPr/>
        <w:tc>
          <w:tcPr>
            <w:tcW w:w="3500" w:type="dxa"/>
            <w:tcBorders/>
            <w:shd w:fill="auto" w:val="clear"/>
            <w:vAlign w:val="center"/>
          </w:tcPr>
          <w:p>
            <w:pPr>
              <w:pStyle w:val="TableContents"/>
              <w:spacing w:before="0" w:after="0"/>
              <w:ind w:left="0" w:right="0" w:firstLine="30"/>
              <w:jc w:val="left"/>
              <w:rPr>
                <w:rFonts w:ascii="inherit" w:hAnsi="inherit"/>
                <w:b/>
                <w:i/>
                <w:sz w:val="13"/>
                <w:u w:val="single"/>
              </w:rPr>
            </w:pPr>
            <w:r>
              <w:rPr>
                <w:rFonts w:ascii="inherit" w:hAnsi="inherit"/>
                <w:b/>
                <w:i/>
                <w:sz w:val="13"/>
                <w:u w:val="single"/>
              </w:rPr>
              <w:t>(In thousands)</w:t>
            </w:r>
          </w:p>
        </w:tc>
        <w:tc>
          <w:tcPr>
            <w:tcW w:w="1268"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2019</w:t>
            </w:r>
          </w:p>
        </w:tc>
        <w:tc>
          <w:tcPr>
            <w:tcW w:w="134" w:type="dxa"/>
            <w:tcBorders/>
            <w:shd w:fill="auto" w:val="clear"/>
            <w:vAlign w:val="center"/>
          </w:tcPr>
          <w:p>
            <w:pPr>
              <w:pStyle w:val="TableContents"/>
              <w:spacing w:before="0" w:after="0"/>
              <w:ind w:left="0" w:right="0" w:firstLine="30"/>
              <w:rPr/>
            </w:pPr>
            <w:r>
              <w:rPr/>
              <w:t> </w:t>
            </w:r>
          </w:p>
        </w:tc>
        <w:tc>
          <w:tcPr>
            <w:tcW w:w="1268"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2018</w:t>
            </w:r>
          </w:p>
        </w:tc>
        <w:tc>
          <w:tcPr>
            <w:tcW w:w="90" w:type="dxa"/>
            <w:tcBorders/>
            <w:shd w:fill="auto" w:val="clear"/>
            <w:vAlign w:val="center"/>
          </w:tcPr>
          <w:p>
            <w:pPr>
              <w:pStyle w:val="TableContents"/>
              <w:spacing w:before="0" w:after="0"/>
              <w:ind w:left="0" w:right="0" w:firstLine="30"/>
              <w:rPr/>
            </w:pPr>
            <w:r>
              <w:rPr/>
              <w:t> </w:t>
            </w:r>
          </w:p>
        </w:tc>
        <w:tc>
          <w:tcPr>
            <w:tcW w:w="84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Variance</w:t>
            </w:r>
          </w:p>
        </w:tc>
      </w:tr>
      <w:tr>
        <w:trPr/>
        <w:tc>
          <w:tcPr>
            <w:tcW w:w="35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Leasing revenue</w:t>
            </w:r>
          </w:p>
        </w:tc>
        <w:tc>
          <w:tcPr>
            <w:tcW w:w="186"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038"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206,663</w:t>
            </w:r>
          </w:p>
        </w:tc>
        <w:tc>
          <w:tcPr>
            <w:tcW w:w="4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86"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038"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194,245</w:t>
            </w:r>
          </w:p>
        </w:tc>
        <w:tc>
          <w:tcPr>
            <w:tcW w:w="4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12,418</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Tenant reimbursement of property taxes</w:t>
            </w:r>
          </w:p>
        </w:tc>
        <w:tc>
          <w:tcPr>
            <w:tcW w:w="1224" w:type="dxa"/>
            <w:gridSpan w:val="2"/>
            <w:tcBorders/>
            <w:shd w:fill="auto" w:val="clear"/>
            <w:vAlign w:val="center"/>
          </w:tcPr>
          <w:p>
            <w:pPr>
              <w:pStyle w:val="TableContents"/>
              <w:spacing w:before="0" w:after="0"/>
              <w:jc w:val="right"/>
              <w:rPr/>
            </w:pPr>
            <w:r>
              <w:rPr/>
              <w:t>—</w:t>
            </w:r>
          </w:p>
        </w:tc>
        <w:tc>
          <w:tcPr>
            <w:tcW w:w="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17,243</w:t>
            </w:r>
          </w:p>
        </w:tc>
        <w:tc>
          <w:tcPr>
            <w:tcW w:w="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(17,243</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5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Golf course business revenue</w:t>
            </w:r>
          </w:p>
        </w:tc>
        <w:tc>
          <w:tcPr>
            <w:tcW w:w="12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7,339</w:t>
            </w:r>
          </w:p>
        </w:tc>
        <w:tc>
          <w:tcPr>
            <w:tcW w:w="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6,788</w:t>
            </w:r>
          </w:p>
        </w:tc>
        <w:tc>
          <w:tcPr>
            <w:tcW w:w="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551</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pPr>
            <w:r>
              <w:rPr/>
              <w:t>     </w:t>
            </w:r>
            <w:r>
              <w:rPr>
                <w:rFonts w:ascii="inherit" w:hAnsi="inherit"/>
                <w:sz w:val="17"/>
              </w:rPr>
              <w:t>Total revenue</w:t>
            </w:r>
          </w:p>
        </w:tc>
        <w:tc>
          <w:tcPr>
            <w:tcW w:w="18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214,002</w:t>
            </w:r>
          </w:p>
        </w:tc>
        <w:tc>
          <w:tcPr>
            <w:tcW w:w="4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8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218,276</w:t>
            </w:r>
          </w:p>
        </w:tc>
        <w:tc>
          <w:tcPr>
            <w:tcW w:w="4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(4,274</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jc w:val="both"/>
        <w:rPr>
          <w:rFonts w:ascii="inherit" w:hAnsi="inherit"/>
          <w:b/>
          <w:i/>
          <w:sz w:val="17"/>
        </w:rPr>
      </w:pPr>
      <w:r>
        <w:rPr>
          <w:rFonts w:ascii="inherit" w:hAnsi="inherit"/>
          <w:b/>
          <w:i/>
          <w:sz w:val="17"/>
        </w:rPr>
        <w:t>Leasing Revenue</w:t>
      </w:r>
    </w:p>
    <w:p>
      <w:pPr>
        <w:pStyle w:val="TextBody"/>
        <w:spacing w:lineRule="auto" w:line="288" w:before="0" w:after="0"/>
        <w:jc w:val="both"/>
        <w:rPr>
          <w:rFonts w:ascii="inherit" w:hAnsi="inherit"/>
          <w:sz w:val="17"/>
        </w:rPr>
      </w:pPr>
      <w:r>
        <w:rPr>
          <w:rFonts w:ascii="inherit" w:hAnsi="inherit"/>
          <w:sz w:val="17"/>
        </w:rPr>
        <w:t>The following table details the components of our income from direct financing, sales-type and operating leases:</w:t>
      </w:r>
    </w:p>
    <w:tbl>
      <w:tblPr>
        <w:tblW w:w="8691" w:type="dxa"/>
        <w:jc w:val="center"/>
        <w:tblInd w:w="0" w:type="dxa"/>
        <w:tblCellMar>
          <w:top w:w="0" w:type="dxa"/>
          <w:left w:w="0" w:type="dxa"/>
          <w:bottom w:w="0" w:type="dxa"/>
          <w:right w:w="0" w:type="dxa"/>
        </w:tblCellMar>
      </w:tblPr>
      <w:tblGrid>
        <w:gridCol w:w="4820"/>
        <w:gridCol w:w="171"/>
        <w:gridCol w:w="953"/>
        <w:gridCol w:w="150"/>
        <w:gridCol w:w="123"/>
        <w:gridCol w:w="171"/>
        <w:gridCol w:w="953"/>
        <w:gridCol w:w="150"/>
        <w:gridCol w:w="90"/>
        <w:gridCol w:w="125"/>
        <w:gridCol w:w="590"/>
        <w:gridCol w:w="395"/>
      </w:tblGrid>
      <w:tr>
        <w:trPr/>
        <w:tc>
          <w:tcPr>
            <w:tcW w:w="8691" w:type="dxa"/>
            <w:gridSpan w:val="12"/>
            <w:tcBorders/>
            <w:shd w:fill="auto" w:val="clear"/>
            <w:vAlign w:val="center"/>
          </w:tcPr>
          <w:p>
            <w:pPr>
              <w:pStyle w:val="TableContents"/>
              <w:spacing w:before="0" w:after="283"/>
              <w:rPr>
                <w:sz w:val="4"/>
                <w:szCs w:val="4"/>
              </w:rPr>
            </w:pPr>
            <w:r>
              <w:rPr>
                <w:sz w:val="4"/>
                <w:szCs w:val="4"/>
              </w:rPr>
            </w:r>
          </w:p>
        </w:tc>
      </w:tr>
      <w:tr>
        <w:trPr/>
        <w:tc>
          <w:tcPr>
            <w:tcW w:w="482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820" w:type="dxa"/>
            <w:tcBorders/>
            <w:shd w:fill="auto" w:val="clear"/>
            <w:vAlign w:val="center"/>
          </w:tcPr>
          <w:p>
            <w:pPr>
              <w:pStyle w:val="TableContents"/>
              <w:spacing w:before="0" w:after="0"/>
              <w:ind w:left="0" w:right="0" w:firstLine="30"/>
              <w:rPr/>
            </w:pPr>
            <w:r>
              <w:rPr/>
              <w:t> </w:t>
            </w:r>
          </w:p>
        </w:tc>
        <w:tc>
          <w:tcPr>
            <w:tcW w:w="267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Three Months Ended March 31,</w:t>
            </w:r>
          </w:p>
        </w:tc>
        <w:tc>
          <w:tcPr>
            <w:tcW w:w="90" w:type="dxa"/>
            <w:tcBorders/>
            <w:shd w:fill="auto" w:val="clear"/>
            <w:vAlign w:val="center"/>
          </w:tcPr>
          <w:p>
            <w:pPr>
              <w:pStyle w:val="TableContents"/>
              <w:spacing w:before="0" w:after="0"/>
              <w:ind w:left="0" w:right="0" w:firstLine="30"/>
              <w:rPr/>
            </w:pPr>
            <w:r>
              <w:rPr/>
              <w:t> </w:t>
            </w:r>
          </w:p>
        </w:tc>
        <w:tc>
          <w:tcPr>
            <w:tcW w:w="1110" w:type="dxa"/>
            <w:gridSpan w:val="3"/>
            <w:tcBorders/>
            <w:shd w:fill="auto" w:val="clear"/>
            <w:vAlign w:val="center"/>
          </w:tcPr>
          <w:p>
            <w:pPr>
              <w:pStyle w:val="TableContents"/>
              <w:spacing w:before="0" w:after="0"/>
              <w:ind w:left="0" w:right="0" w:firstLine="30"/>
              <w:rPr/>
            </w:pPr>
            <w:r>
              <w:rPr/>
              <w:t> </w:t>
            </w:r>
          </w:p>
        </w:tc>
      </w:tr>
      <w:tr>
        <w:trPr/>
        <w:tc>
          <w:tcPr>
            <w:tcW w:w="4820" w:type="dxa"/>
            <w:tcBorders/>
            <w:shd w:fill="auto" w:val="clear"/>
            <w:vAlign w:val="center"/>
          </w:tcPr>
          <w:p>
            <w:pPr>
              <w:pStyle w:val="TableContents"/>
              <w:spacing w:before="0" w:after="0"/>
              <w:ind w:left="0" w:right="0" w:firstLine="30"/>
              <w:jc w:val="left"/>
              <w:rPr>
                <w:rFonts w:ascii="inherit" w:hAnsi="inherit"/>
                <w:b/>
                <w:i/>
                <w:sz w:val="13"/>
                <w:u w:val="single"/>
              </w:rPr>
            </w:pPr>
            <w:r>
              <w:rPr>
                <w:rFonts w:ascii="inherit" w:hAnsi="inherit"/>
                <w:b/>
                <w:i/>
                <w:sz w:val="13"/>
                <w:u w:val="single"/>
              </w:rPr>
              <w:t>(In thousands)</w:t>
            </w:r>
          </w:p>
        </w:tc>
        <w:tc>
          <w:tcPr>
            <w:tcW w:w="127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2019</w:t>
            </w:r>
          </w:p>
        </w:tc>
        <w:tc>
          <w:tcPr>
            <w:tcW w:w="123" w:type="dxa"/>
            <w:tcBorders/>
            <w:shd w:fill="auto" w:val="clear"/>
            <w:vAlign w:val="center"/>
          </w:tcPr>
          <w:p>
            <w:pPr>
              <w:pStyle w:val="TableContents"/>
              <w:spacing w:before="0" w:after="0"/>
              <w:ind w:left="0" w:right="0" w:firstLine="30"/>
              <w:rPr/>
            </w:pPr>
            <w:r>
              <w:rPr/>
              <w:t> </w:t>
            </w:r>
          </w:p>
        </w:tc>
        <w:tc>
          <w:tcPr>
            <w:tcW w:w="127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2018</w:t>
            </w:r>
          </w:p>
        </w:tc>
        <w:tc>
          <w:tcPr>
            <w:tcW w:w="90" w:type="dxa"/>
            <w:tcBorders/>
            <w:shd w:fill="auto" w:val="clear"/>
            <w:vAlign w:val="center"/>
          </w:tcPr>
          <w:p>
            <w:pPr>
              <w:pStyle w:val="TableContents"/>
              <w:spacing w:before="0" w:after="0"/>
              <w:ind w:left="0" w:right="0" w:firstLine="30"/>
              <w:rPr/>
            </w:pPr>
            <w:r>
              <w:rPr/>
              <w:t> </w:t>
            </w:r>
          </w:p>
        </w:tc>
        <w:tc>
          <w:tcPr>
            <w:tcW w:w="111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Variance</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direct financing and sales-type leases</w:t>
            </w:r>
          </w:p>
        </w:tc>
        <w:tc>
          <w:tcPr>
            <w:tcW w:w="171"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953"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195,750</w:t>
            </w:r>
          </w:p>
        </w:tc>
        <w:tc>
          <w:tcPr>
            <w:tcW w:w="15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71"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953"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182,036</w:t>
            </w:r>
          </w:p>
        </w:tc>
        <w:tc>
          <w:tcPr>
            <w:tcW w:w="15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13,714</w:t>
            </w:r>
          </w:p>
        </w:tc>
        <w:tc>
          <w:tcPr>
            <w:tcW w:w="39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20"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Income from operating leases </w:t>
            </w:r>
            <w:r>
              <w:rPr>
                <w:rFonts w:ascii="inherit" w:hAnsi="inherit"/>
                <w:i/>
                <w:sz w:val="12"/>
              </w:rPr>
              <w:t>(1)</w:t>
            </w:r>
          </w:p>
        </w:tc>
        <w:tc>
          <w:tcPr>
            <w:tcW w:w="112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10,913</w:t>
            </w:r>
          </w:p>
        </w:tc>
        <w:tc>
          <w:tcPr>
            <w:tcW w:w="1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2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12,209</w:t>
            </w:r>
          </w:p>
        </w:tc>
        <w:tc>
          <w:tcPr>
            <w:tcW w:w="1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(1,296</w:t>
            </w:r>
          </w:p>
        </w:tc>
        <w:tc>
          <w:tcPr>
            <w:tcW w:w="395" w:type="dxa"/>
            <w:tcBorders>
              <w:bottom w:val="single" w:sz="2" w:space="0" w:color="000000"/>
            </w:tcBorders>
            <w:shd w:fill="auto" w:val="clear"/>
            <w:tcMar>
              <w:bottom w:w="30" w:type="dxa"/>
            </w:tcM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Leasing revenue</w:t>
            </w:r>
          </w:p>
        </w:tc>
        <w:tc>
          <w:tcPr>
            <w:tcW w:w="11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206,663</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194,245</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12,418</w:t>
            </w:r>
          </w:p>
        </w:tc>
        <w:tc>
          <w:tcPr>
            <w:tcW w:w="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20"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Less: Direct financing and sales-type lease adjustment </w:t>
            </w:r>
            <w:r>
              <w:rPr>
                <w:rFonts w:ascii="inherit" w:hAnsi="inherit"/>
                <w:i/>
                <w:sz w:val="12"/>
              </w:rPr>
              <w:t>(2)</w:t>
            </w:r>
          </w:p>
        </w:tc>
        <w:tc>
          <w:tcPr>
            <w:tcW w:w="11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(2,512</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(12,914</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10,402</w:t>
            </w:r>
          </w:p>
        </w:tc>
        <w:tc>
          <w:tcPr>
            <w:tcW w:w="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20" w:type="dxa"/>
            <w:tcBorders/>
            <w:shd w:fill="CCEEFF" w:val="clear"/>
            <w:vAlign w:val="center"/>
          </w:tcPr>
          <w:p>
            <w:pPr>
              <w:pStyle w:val="TableContents"/>
              <w:spacing w:before="0" w:after="0"/>
              <w:ind w:left="0" w:right="0" w:firstLine="30"/>
              <w:jc w:val="left"/>
              <w:rPr/>
            </w:pPr>
            <w:r>
              <w:rPr/>
              <w:t>     </w:t>
            </w:r>
            <w:r>
              <w:rPr>
                <w:rFonts w:ascii="inherit" w:hAnsi="inherit"/>
                <w:sz w:val="17"/>
              </w:rPr>
              <w:t>Total contractual leasing revenue</w:t>
            </w:r>
          </w:p>
        </w:tc>
        <w:tc>
          <w:tcPr>
            <w:tcW w:w="17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204,151</w:t>
            </w:r>
          </w:p>
        </w:tc>
        <w:tc>
          <w:tcPr>
            <w:tcW w:w="15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7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181,331</w:t>
            </w:r>
          </w:p>
        </w:tc>
        <w:tc>
          <w:tcPr>
            <w:tcW w:w="15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22,820</w:t>
            </w:r>
          </w:p>
        </w:tc>
        <w:tc>
          <w:tcPr>
            <w:tcW w:w="39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____________________</w:t>
      </w:r>
    </w:p>
    <w:p>
      <w:pPr>
        <w:pStyle w:val="TextBody"/>
        <w:spacing w:lineRule="auto" w:line="288" w:before="0" w:after="0"/>
        <w:jc w:val="both"/>
        <w:rPr>
          <w:rFonts w:ascii="inherit" w:hAnsi="inherit"/>
          <w:i/>
          <w:sz w:val="13"/>
        </w:rPr>
      </w:pPr>
      <w:r>
        <w:rPr>
          <w:rFonts w:ascii="inherit" w:hAnsi="inherit"/>
          <w:i/>
          <w:sz w:val="13"/>
        </w:rPr>
        <w:t>(1) Represents portion of land separately classified and accounted for under the operating lease model associated with our investment in Caesars Palace Las Vegas and certain operating land parcels contained in the Non-CPLV Lease Agreement.</w:t>
      </w:r>
    </w:p>
    <w:p>
      <w:pPr>
        <w:pStyle w:val="TextBody"/>
        <w:spacing w:lineRule="auto" w:line="288" w:before="0" w:after="0"/>
        <w:jc w:val="both"/>
        <w:rPr>
          <w:rFonts w:ascii="inherit" w:hAnsi="inherit"/>
          <w:i/>
          <w:sz w:val="13"/>
        </w:rPr>
      </w:pPr>
      <w:r>
        <w:rPr>
          <w:rFonts w:ascii="inherit" w:hAnsi="inherit"/>
          <w:i/>
          <w:sz w:val="13"/>
        </w:rPr>
        <w:t xml:space="preserve">(2) Amounts represent the non-cash adjustment to income from direct financing and sales-type leases in order to recognize income on an effective interest basis at a constant rate of return over the term of the leases. </w:t>
      </w:r>
    </w:p>
    <w:p>
      <w:pPr>
        <w:pStyle w:val="TextBody"/>
        <w:spacing w:lineRule="auto" w:line="288" w:before="0" w:after="0"/>
        <w:jc w:val="both"/>
        <w:rPr>
          <w:sz w:val="17"/>
        </w:rPr>
      </w:pPr>
      <w:r>
        <w:rPr>
          <w:rFonts w:ascii="inherit" w:hAnsi="inherit"/>
          <w:sz w:val="17"/>
        </w:rPr>
        <w:t>Leasing revenue is generated from rent from our Lease Agreements. Total leasing revenue and total contractual leasing revenue increased $12.4 million</w:t>
      </w:r>
      <w:r>
        <w:rPr>
          <w:sz w:val="17"/>
        </w:rPr>
        <w:t xml:space="preserve"> </w:t>
      </w:r>
      <w:r>
        <w:rPr>
          <w:rFonts w:ascii="inherit" w:hAnsi="inherit"/>
          <w:sz w:val="17"/>
        </w:rPr>
        <w:t>and $22.8 million, respectively, during the three months ended March 31, 2019</w:t>
      </w:r>
      <w:r>
        <w:rPr>
          <w:sz w:val="17"/>
        </w:rPr>
        <w:t xml:space="preserve"> </w:t>
      </w:r>
      <w:r>
        <w:rPr>
          <w:rFonts w:ascii="inherit" w:hAnsi="inherit"/>
          <w:sz w:val="17"/>
        </w:rPr>
        <w:t>compared to the three months ended March 31, 2018. The increase was primarily driven by the addition of Octavius Tower, Harrah’s Philadelphia and Margaritaville Resort Casino to our real estate portfolio in July 2018, December 2018 and January 2019, respectively.</w:t>
      </w:r>
    </w:p>
    <w:p>
      <w:pPr>
        <w:pStyle w:val="TextBody"/>
        <w:spacing w:lineRule="auto" w:line="288" w:before="0" w:after="0"/>
        <w:jc w:val="both"/>
        <w:rPr>
          <w:rFonts w:ascii="inherit" w:hAnsi="inherit"/>
          <w:b/>
          <w:i/>
          <w:sz w:val="17"/>
        </w:rPr>
      </w:pPr>
      <w:r>
        <w:rPr>
          <w:rFonts w:ascii="inherit" w:hAnsi="inherit"/>
          <w:b/>
          <w:i/>
          <w:sz w:val="17"/>
        </w:rPr>
        <w:t>Tenant reimbursement of property taxes</w:t>
      </w:r>
    </w:p>
    <w:p>
      <w:pPr>
        <w:pStyle w:val="TextBody"/>
        <w:spacing w:lineRule="auto" w:line="288" w:before="0" w:after="0"/>
        <w:jc w:val="both"/>
        <w:rPr>
          <w:sz w:val="17"/>
        </w:rPr>
      </w:pPr>
      <w:r>
        <w:rPr>
          <w:rFonts w:ascii="inherit" w:hAnsi="inherit"/>
          <w:sz w:val="17"/>
        </w:rPr>
        <w:t xml:space="preserve">During the </w:t>
      </w:r>
      <w:r>
        <w:rPr>
          <w:rFonts w:ascii="Times New Roman" w:hAnsi="Times New Roman"/>
          <w:color w:val="000000"/>
          <w:sz w:val="17"/>
        </w:rPr>
        <w:t>three months ended March 31, 2018</w:t>
      </w:r>
      <w:r>
        <w:rPr>
          <w:rFonts w:ascii="inherit" w:hAnsi="inherit"/>
          <w:sz w:val="17"/>
        </w:rPr>
        <w:t xml:space="preserve">, we recorded </w:t>
      </w:r>
      <w:r>
        <w:rPr>
          <w:rFonts w:ascii="Times New Roman" w:hAnsi="Times New Roman"/>
          <w:color w:val="000000"/>
          <w:sz w:val="17"/>
        </w:rPr>
        <w:t>$17.2 million</w:t>
      </w:r>
      <w:r>
        <w:rPr>
          <w:sz w:val="17"/>
        </w:rPr>
        <w:t xml:space="preserve"> </w:t>
      </w:r>
      <w:r>
        <w:rPr>
          <w:rFonts w:ascii="inherit" w:hAnsi="inherit"/>
          <w:sz w:val="17"/>
        </w:rPr>
        <w:t>of income from tenant reimbursement of property taxes. Upon the adoption of ASC 842 on January 1, 2019, we ceased recording tenant reimbursement of property taxes as these taxes are paid directly by our tenants to the applicable government entity.</w:t>
      </w:r>
    </w:p>
    <w:p>
      <w:pPr>
        <w:pStyle w:val="TextBody"/>
        <w:spacing w:lineRule="auto" w:line="288" w:before="0" w:after="0"/>
        <w:jc w:val="both"/>
        <w:rPr>
          <w:rFonts w:ascii="inherit" w:hAnsi="inherit"/>
          <w:b/>
          <w:i/>
          <w:sz w:val="17"/>
        </w:rPr>
      </w:pPr>
      <w:r>
        <w:rPr>
          <w:rFonts w:ascii="inherit" w:hAnsi="inherit"/>
          <w:b/>
          <w:i/>
          <w:sz w:val="17"/>
        </w:rPr>
        <w:t>Golf Course Business Revenue</w:t>
      </w:r>
    </w:p>
    <w:p>
      <w:pPr>
        <w:pStyle w:val="TextBody"/>
        <w:spacing w:lineRule="auto" w:line="288" w:before="0" w:after="0"/>
        <w:jc w:val="both"/>
        <w:rPr>
          <w:sz w:val="17"/>
        </w:rPr>
      </w:pPr>
      <w:r>
        <w:rPr>
          <w:rFonts w:ascii="inherit" w:hAnsi="inherit"/>
          <w:sz w:val="17"/>
        </w:rPr>
        <w:t>Revenues from golf operations increased $0.6 million</w:t>
      </w:r>
      <w:r>
        <w:rPr>
          <w:sz w:val="17"/>
        </w:rPr>
        <w:t xml:space="preserve"> </w:t>
      </w:r>
      <w:r>
        <w:rPr>
          <w:rFonts w:ascii="inherit" w:hAnsi="inherit"/>
          <w:sz w:val="17"/>
        </w:rPr>
        <w:t>during the three months ended March 31, 2019</w:t>
      </w:r>
      <w:r>
        <w:rPr>
          <w:sz w:val="17"/>
        </w:rPr>
        <w:t xml:space="preserve"> </w:t>
      </w:r>
      <w:r>
        <w:rPr>
          <w:rFonts w:ascii="inherit" w:hAnsi="inherit"/>
          <w:sz w:val="17"/>
        </w:rPr>
        <w:t>compared to the three months ended March 31, 2018. The increase was primarily driven by an increase in the number of rounds played at our golf courses as well as by an increase in the contractual fees paid to us by Caesars for the use of our golf courses, pursuant to a golf course use agreement.</w:t>
      </w:r>
    </w:p>
    <w:p>
      <w:pPr>
        <w:pStyle w:val="TextBody"/>
        <w:spacing w:lineRule="auto" w:line="288" w:before="0" w:after="0"/>
        <w:jc w:val="both"/>
        <w:rPr>
          <w:rFonts w:ascii="inherit" w:hAnsi="inherit"/>
          <w:b/>
          <w:sz w:val="18"/>
        </w:rPr>
      </w:pPr>
      <w:r>
        <w:rPr>
          <w:rFonts w:ascii="inherit" w:hAnsi="inherit"/>
          <w:b/>
          <w:sz w:val="18"/>
        </w:rPr>
        <w:t>Operating Expenses</w:t>
      </w:r>
    </w:p>
    <w:p>
      <w:pPr>
        <w:pStyle w:val="TextBody"/>
        <w:spacing w:lineRule="auto" w:line="288" w:before="0" w:after="0"/>
        <w:jc w:val="both"/>
        <w:rPr>
          <w:rFonts w:ascii="inherit" w:hAnsi="inherit"/>
          <w:b/>
          <w:i/>
          <w:sz w:val="17"/>
        </w:rPr>
      </w:pPr>
      <w:r>
        <w:rPr>
          <w:rFonts w:ascii="inherit" w:hAnsi="inherit"/>
          <w:b/>
          <w:i/>
          <w:sz w:val="17"/>
        </w:rPr>
        <w:t>General and Administrative Expenses</w:t>
      </w:r>
    </w:p>
    <w:p>
      <w:pPr>
        <w:pStyle w:val="TextBody"/>
        <w:spacing w:lineRule="auto" w:line="288" w:before="0" w:after="0"/>
        <w:jc w:val="both"/>
        <w:rPr>
          <w:sz w:val="17"/>
        </w:rPr>
      </w:pPr>
      <w:r>
        <w:rPr>
          <w:rFonts w:ascii="inherit" w:hAnsi="inherit"/>
          <w:sz w:val="17"/>
        </w:rPr>
        <w:t>General and administrative expenses decreased $1.1 million</w:t>
      </w:r>
      <w:r>
        <w:rPr>
          <w:sz w:val="17"/>
        </w:rPr>
        <w:t xml:space="preserve"> </w:t>
      </w:r>
      <w:r>
        <w:rPr>
          <w:rFonts w:ascii="inherit" w:hAnsi="inherit"/>
          <w:sz w:val="17"/>
        </w:rPr>
        <w:t>during the three months ended March 31, 2019</w:t>
      </w:r>
      <w:r>
        <w:rPr>
          <w:sz w:val="17"/>
        </w:rPr>
        <w:t xml:space="preserve"> </w:t>
      </w:r>
      <w:r>
        <w:rPr>
          <w:rFonts w:ascii="inherit" w:hAnsi="inherit"/>
          <w:sz w:val="17"/>
        </w:rPr>
        <w:t>compared to the three months ended March 31, 2018. The decrease is primarily driven by certain non-recurring costs incurred during the three months ended March 31, 2018 as a result of being a newly publicly-traded company primarily related to our initial public offering and the transition and relocation of our corporate headquarters from Las Vegas, NV to New York, NY.</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32</w:t>
      </w:r>
      <w:r>
        <w:br w:type="page"/>
      </w:r>
    </w:p>
    <w:p>
      <w:pPr>
        <w:pStyle w:val="TextBody"/>
        <w:spacing w:lineRule="auto" w:line="288" w:before="0" w:after="0"/>
        <w:jc w:val="both"/>
        <w:rPr/>
      </w:pPr>
      <w:hyperlink w:anchor="s7181E430E8A9506B896277AC8CF177C4">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b/>
          <w:i/>
          <w:sz w:val="17"/>
        </w:rPr>
      </w:pPr>
      <w:r>
        <w:rPr>
          <w:rFonts w:ascii="inherit" w:hAnsi="inherit"/>
          <w:b/>
          <w:i/>
          <w:sz w:val="17"/>
        </w:rPr>
        <w:t>Property Taxes</w:t>
      </w:r>
    </w:p>
    <w:p>
      <w:pPr>
        <w:pStyle w:val="TextBody"/>
        <w:spacing w:lineRule="auto" w:line="288" w:before="0" w:after="0"/>
        <w:jc w:val="both"/>
        <w:rPr>
          <w:sz w:val="17"/>
        </w:rPr>
      </w:pPr>
      <w:r>
        <w:rPr>
          <w:rFonts w:ascii="inherit" w:hAnsi="inherit"/>
          <w:sz w:val="17"/>
        </w:rPr>
        <w:t xml:space="preserve">During the </w:t>
      </w:r>
      <w:r>
        <w:rPr>
          <w:rFonts w:ascii="Times New Roman" w:hAnsi="Times New Roman"/>
          <w:color w:val="000000"/>
          <w:sz w:val="17"/>
        </w:rPr>
        <w:t>three months ended March 31, 2018</w:t>
      </w:r>
      <w:r>
        <w:rPr>
          <w:rFonts w:ascii="inherit" w:hAnsi="inherit"/>
          <w:sz w:val="17"/>
        </w:rPr>
        <w:t xml:space="preserve">, we recorded </w:t>
      </w:r>
      <w:r>
        <w:rPr>
          <w:rFonts w:ascii="Times New Roman" w:hAnsi="Times New Roman"/>
          <w:color w:val="000000"/>
          <w:sz w:val="17"/>
        </w:rPr>
        <w:t>$17.2 million</w:t>
      </w:r>
      <w:r>
        <w:rPr>
          <w:sz w:val="17"/>
        </w:rPr>
        <w:t xml:space="preserve"> </w:t>
      </w:r>
      <w:r>
        <w:rPr>
          <w:rFonts w:ascii="inherit" w:hAnsi="inherit"/>
          <w:sz w:val="17"/>
        </w:rPr>
        <w:t>of property tax expense. Upon the adoption of ASC 842 on January 1, 2019, we ceased recording property tax expense as these taxes are paid directly by our tenants to the applicable government entity.</w:t>
      </w:r>
    </w:p>
    <w:p>
      <w:pPr>
        <w:pStyle w:val="TextBody"/>
        <w:spacing w:lineRule="auto" w:line="288" w:before="0" w:after="0"/>
        <w:jc w:val="both"/>
        <w:rPr>
          <w:rFonts w:ascii="inherit" w:hAnsi="inherit"/>
          <w:b/>
          <w:i/>
          <w:sz w:val="17"/>
        </w:rPr>
      </w:pPr>
      <w:r>
        <w:rPr>
          <w:rFonts w:ascii="inherit" w:hAnsi="inherit"/>
          <w:b/>
          <w:i/>
          <w:sz w:val="17"/>
        </w:rPr>
        <w:t>Golf Course Business Expenses</w:t>
      </w:r>
    </w:p>
    <w:p>
      <w:pPr>
        <w:pStyle w:val="TextBody"/>
        <w:spacing w:lineRule="auto" w:line="288" w:before="0" w:after="0"/>
        <w:jc w:val="both"/>
        <w:rPr>
          <w:sz w:val="17"/>
        </w:rPr>
      </w:pPr>
      <w:r>
        <w:rPr>
          <w:rFonts w:ascii="inherit" w:hAnsi="inherit"/>
          <w:sz w:val="17"/>
        </w:rPr>
        <w:t>Expenses from golf operations remained relatively flat during the three months ended March 31, 2019</w:t>
      </w:r>
      <w:r>
        <w:rPr>
          <w:sz w:val="17"/>
        </w:rPr>
        <w:t xml:space="preserve"> </w:t>
      </w:r>
      <w:r>
        <w:rPr>
          <w:rFonts w:ascii="inherit" w:hAnsi="inherit"/>
          <w:sz w:val="17"/>
        </w:rPr>
        <w:t xml:space="preserve">compared to the three months ended March 31, 2018. </w:t>
      </w:r>
    </w:p>
    <w:p>
      <w:pPr>
        <w:pStyle w:val="TextBody"/>
        <w:spacing w:lineRule="auto" w:line="288" w:before="0" w:after="0"/>
        <w:jc w:val="both"/>
        <w:rPr>
          <w:rFonts w:ascii="inherit" w:hAnsi="inherit"/>
          <w:b/>
          <w:i/>
          <w:sz w:val="17"/>
        </w:rPr>
      </w:pPr>
      <w:r>
        <w:rPr>
          <w:rFonts w:ascii="inherit" w:hAnsi="inherit"/>
          <w:b/>
          <w:i/>
          <w:sz w:val="17"/>
        </w:rPr>
        <w:t>Transaction and Acquisition Costs</w:t>
      </w:r>
    </w:p>
    <w:p>
      <w:pPr>
        <w:pStyle w:val="TextBody"/>
        <w:spacing w:lineRule="auto" w:line="288" w:before="0" w:after="0"/>
        <w:jc w:val="both"/>
        <w:rPr>
          <w:sz w:val="17"/>
        </w:rPr>
      </w:pPr>
      <w:r>
        <w:rPr>
          <w:rFonts w:ascii="inherit" w:hAnsi="inherit"/>
          <w:sz w:val="17"/>
        </w:rPr>
        <w:t>Transaction and acquisition costs increased $0.9 million</w:t>
      </w:r>
      <w:r>
        <w:rPr>
          <w:sz w:val="17"/>
        </w:rPr>
        <w:t xml:space="preserve"> </w:t>
      </w:r>
      <w:r>
        <w:rPr>
          <w:rFonts w:ascii="inherit" w:hAnsi="inherit"/>
          <w:sz w:val="17"/>
        </w:rPr>
        <w:t>during the three months ended March 31, 2019</w:t>
      </w:r>
      <w:r>
        <w:rPr>
          <w:sz w:val="17"/>
        </w:rPr>
        <w:t xml:space="preserve"> </w:t>
      </w:r>
      <w:r>
        <w:rPr>
          <w:rFonts w:ascii="inherit" w:hAnsi="inherit"/>
          <w:sz w:val="17"/>
        </w:rPr>
        <w:t>compared to the three months ended March 31, 2018. The increase was primarily due to the adoption of ASC 842, which requires us to expense certain legal and third-party costs associated with our leases that were previously capitalized.</w:t>
      </w:r>
    </w:p>
    <w:p>
      <w:pPr>
        <w:pStyle w:val="TextBody"/>
        <w:spacing w:lineRule="auto" w:line="288" w:before="0" w:after="0"/>
        <w:jc w:val="both"/>
        <w:rPr>
          <w:rFonts w:ascii="inherit" w:hAnsi="inherit"/>
          <w:b/>
          <w:i/>
          <w:sz w:val="17"/>
        </w:rPr>
      </w:pPr>
      <w:r>
        <w:rPr>
          <w:rFonts w:ascii="inherit" w:hAnsi="inherit"/>
          <w:b/>
          <w:i/>
          <w:sz w:val="17"/>
        </w:rPr>
        <w:t>Interest Expense</w:t>
      </w:r>
    </w:p>
    <w:p>
      <w:pPr>
        <w:pStyle w:val="TextBody"/>
        <w:spacing w:lineRule="auto" w:line="288" w:before="0" w:after="0"/>
        <w:jc w:val="both"/>
        <w:rPr>
          <w:sz w:val="17"/>
        </w:rPr>
      </w:pPr>
      <w:r>
        <w:rPr>
          <w:rFonts w:ascii="inherit" w:hAnsi="inherit"/>
          <w:sz w:val="17"/>
        </w:rPr>
        <w:t>Interest expense decreased $0.7 million</w:t>
      </w:r>
      <w:r>
        <w:rPr>
          <w:sz w:val="17"/>
        </w:rPr>
        <w:t xml:space="preserve"> </w:t>
      </w:r>
      <w:r>
        <w:rPr>
          <w:rFonts w:ascii="inherit" w:hAnsi="inherit"/>
          <w:sz w:val="17"/>
        </w:rPr>
        <w:t>during the three months ended March 31, 2019</w:t>
      </w:r>
      <w:r>
        <w:rPr>
          <w:sz w:val="17"/>
        </w:rPr>
        <w:t xml:space="preserve"> </w:t>
      </w:r>
      <w:r>
        <w:rPr>
          <w:rFonts w:ascii="inherit" w:hAnsi="inherit"/>
          <w:sz w:val="17"/>
        </w:rPr>
        <w:t>compared to the three months ended March 31, 2018. The decrease is primarily driven by the repayment of amounts outstanding under our Revolving Credit Facility and the partial paydown of the Term Loan B Facility and Second Lien Notes in February of 2018, all of which were partially offset by an increase in interest expense resulting from our interest rate swaps.</w:t>
      </w:r>
    </w:p>
    <w:p>
      <w:pPr>
        <w:pStyle w:val="TextBody"/>
        <w:spacing w:lineRule="auto" w:line="288" w:before="0" w:after="0"/>
        <w:jc w:val="both"/>
        <w:rPr>
          <w:rFonts w:ascii="inherit" w:hAnsi="inherit"/>
          <w:b/>
          <w:i/>
          <w:sz w:val="17"/>
        </w:rPr>
      </w:pPr>
      <w:r>
        <w:rPr>
          <w:rFonts w:ascii="inherit" w:hAnsi="inherit"/>
          <w:b/>
          <w:i/>
          <w:sz w:val="17"/>
        </w:rPr>
        <w:t>Interest Income</w:t>
      </w:r>
    </w:p>
    <w:p>
      <w:pPr>
        <w:pStyle w:val="TextBody"/>
        <w:spacing w:lineRule="auto" w:line="288" w:before="0" w:after="0"/>
        <w:jc w:val="both"/>
        <w:rPr>
          <w:sz w:val="17"/>
        </w:rPr>
      </w:pPr>
      <w:r>
        <w:rPr>
          <w:rFonts w:ascii="inherit" w:hAnsi="inherit"/>
          <w:sz w:val="17"/>
        </w:rPr>
        <w:t>Interest income increased $3.5 million</w:t>
      </w:r>
      <w:r>
        <w:rPr>
          <w:sz w:val="17"/>
        </w:rPr>
        <w:t xml:space="preserve"> </w:t>
      </w:r>
      <w:r>
        <w:rPr>
          <w:rFonts w:ascii="inherit" w:hAnsi="inherit"/>
          <w:sz w:val="17"/>
        </w:rPr>
        <w:t>during the three months ended March 31, 2019</w:t>
      </w:r>
      <w:r>
        <w:rPr>
          <w:sz w:val="17"/>
        </w:rPr>
        <w:t xml:space="preserve"> </w:t>
      </w:r>
      <w:r>
        <w:rPr>
          <w:rFonts w:ascii="inherit" w:hAnsi="inherit"/>
          <w:sz w:val="17"/>
        </w:rPr>
        <w:t>compared to the three months ended March 31, 2018. The increase is primarily driven by increased cash on hand from our primary follow-on equity offering on November 15, 2018.</w:t>
      </w:r>
    </w:p>
    <w:p>
      <w:pPr>
        <w:pStyle w:val="TextBody"/>
        <w:spacing w:lineRule="auto" w:line="288" w:before="0" w:after="0"/>
        <w:jc w:val="both"/>
        <w:rPr>
          <w:rFonts w:ascii="inherit" w:hAnsi="inherit"/>
          <w:b/>
          <w:i/>
          <w:sz w:val="17"/>
        </w:rPr>
      </w:pPr>
      <w:r>
        <w:rPr>
          <w:rFonts w:ascii="inherit" w:hAnsi="inherit"/>
          <w:b/>
          <w:i/>
          <w:sz w:val="17"/>
        </w:rPr>
        <w:t>Loss on Extinguishment of Debt</w:t>
      </w:r>
    </w:p>
    <w:p>
      <w:pPr>
        <w:pStyle w:val="TextBody"/>
        <w:spacing w:lineRule="auto" w:line="288" w:before="0" w:after="0"/>
        <w:jc w:val="both"/>
        <w:rPr>
          <w:rFonts w:ascii="inherit" w:hAnsi="inherit"/>
          <w:sz w:val="17"/>
        </w:rPr>
      </w:pPr>
      <w:r>
        <w:rPr>
          <w:rFonts w:ascii="inherit" w:hAnsi="inherit"/>
          <w:sz w:val="17"/>
        </w:rPr>
        <w:t>During the three months ended March 31, 2018, we recognized a loss on extinguishment of debt of a $23.0 million resulting from the redemption of $268.4 million in aggregate principal of our Second Lien Notes in February 2018 at a redemption price of 108%. We had no such related extinguishment of debt during the three months ended March 31, 2019.</w:t>
      </w:r>
    </w:p>
    <w:p>
      <w:pPr>
        <w:pStyle w:val="TextBody"/>
        <w:spacing w:lineRule="auto" w:line="288" w:before="0" w:after="0"/>
        <w:jc w:val="both"/>
        <w:rPr>
          <w:rFonts w:ascii="inherit" w:hAnsi="inherit"/>
          <w:b/>
          <w:sz w:val="18"/>
        </w:rPr>
      </w:pPr>
      <w:r>
        <w:rPr>
          <w:rFonts w:ascii="inherit" w:hAnsi="inherit"/>
          <w:b/>
          <w:sz w:val="18"/>
        </w:rPr>
        <w:t>RECONCILIATION OF NON-GAAP MEASURES</w:t>
      </w:r>
    </w:p>
    <w:p>
      <w:pPr>
        <w:pStyle w:val="TextBody"/>
        <w:spacing w:lineRule="auto" w:line="288" w:before="0" w:after="0"/>
        <w:jc w:val="both"/>
        <w:rPr>
          <w:rFonts w:ascii="inherit" w:hAnsi="inherit"/>
          <w:sz w:val="17"/>
        </w:rPr>
      </w:pPr>
      <w:r>
        <w:rPr>
          <w:rFonts w:ascii="inherit" w:hAnsi="inherit"/>
          <w:sz w:val="17"/>
        </w:rPr>
        <w:t>We present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our business.</w:t>
      </w:r>
    </w:p>
    <w:p>
      <w:pPr>
        <w:pStyle w:val="TextBody"/>
        <w:spacing w:lineRule="auto" w:line="288" w:before="0" w:after="0"/>
        <w:jc w:val="both"/>
        <w:rPr>
          <w:rFonts w:ascii="inherit" w:hAnsi="inherit"/>
          <w:sz w:val="17"/>
        </w:rPr>
      </w:pPr>
      <w:r>
        <w:rPr>
          <w:rFonts w:ascii="inherit" w:hAnsi="inherit"/>
          <w:sz w:val="17"/>
        </w:rPr>
        <w:t xml:space="preserve">FFO is a non-GAAP financial measure that is considered a supplemental measure for the real estate industry and a supplement to GAAP measures. Consistent with the definition used by The National Association of Real Estate Investment Trusts (“NAREIT”), we define FFO as net income (or loss) (computed in accordance with GAAP) excluding gains (or losses) from sales of property plus real estate depreciation. </w:t>
      </w:r>
    </w:p>
    <w:p>
      <w:pPr>
        <w:pStyle w:val="TextBody"/>
        <w:spacing w:lineRule="auto" w:line="288" w:before="0" w:after="0"/>
        <w:jc w:val="both"/>
        <w:rPr>
          <w:rFonts w:ascii="inherit" w:hAnsi="inherit"/>
          <w:sz w:val="17"/>
        </w:rPr>
      </w:pPr>
      <w:r>
        <w:rPr>
          <w:rFonts w:ascii="inherit" w:hAnsi="inherit"/>
          <w:sz w:val="17"/>
        </w:rPr>
        <w:t xml:space="preserve">AFFO is a non-GAAP financial measure that we use as a supplemental operating measure to evaluate our performance. We calculate AFFO by adding or subtracting from FFO direct financing and sales-type lease adjustments, transaction costs incurred in connection with the acquisition of real estate investments, non-cash stock-based compensation expense,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and gains (or losses) on debt extinguishment. </w:t>
      </w:r>
    </w:p>
    <w:p>
      <w:pPr>
        <w:pStyle w:val="TextBody"/>
        <w:spacing w:lineRule="auto" w:line="288" w:before="0" w:after="0"/>
        <w:jc w:val="both"/>
        <w:rPr>
          <w:rFonts w:ascii="inherit" w:hAnsi="inherit"/>
          <w:sz w:val="17"/>
        </w:rPr>
      </w:pPr>
      <w:r>
        <w:rPr>
          <w:rFonts w:ascii="inherit" w:hAnsi="inherit"/>
          <w:sz w:val="17"/>
        </w:rPr>
        <w:t>We calculate Adjusted EBITDA by adding or subtracting from AFFO interest expense, net and income tax expense.</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 xml:space="preserve">These non-GAAP financial measures: (i) do not represent cash flow from operations as defined by GAAP; (ii) should not be considered as an alternative to net income as a measure of operating performance or to cash flows from operating, investing and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33</w:t>
      </w:r>
      <w:r>
        <w:br w:type="page"/>
      </w:r>
    </w:p>
    <w:p>
      <w:pPr>
        <w:pStyle w:val="TextBody"/>
        <w:spacing w:lineRule="auto" w:line="288" w:before="0" w:after="0"/>
        <w:jc w:val="both"/>
        <w:rPr/>
      </w:pPr>
      <w:hyperlink w:anchor="s7181E430E8A9506B896277AC8CF177C4">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financing activities; and (iii) are not alternatives to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pStyle w:val="TextBody"/>
        <w:spacing w:lineRule="auto" w:line="288" w:before="0" w:after="0"/>
        <w:jc w:val="both"/>
        <w:rPr>
          <w:rFonts w:ascii="inherit" w:hAnsi="inherit"/>
          <w:b/>
          <w:i/>
          <w:sz w:val="17"/>
        </w:rPr>
      </w:pPr>
      <w:r>
        <w:rPr>
          <w:rFonts w:ascii="inherit" w:hAnsi="inherit"/>
          <w:b/>
          <w:i/>
          <w:sz w:val="17"/>
        </w:rPr>
        <w:t>Reconciliation of Net Income to FFO, FFO per Share, AFFO, AFFO per Share and Adjusted EBITDA</w:t>
      </w:r>
    </w:p>
    <w:tbl>
      <w:tblPr>
        <w:tblW w:w="10025" w:type="dxa"/>
        <w:jc w:val="left"/>
        <w:tblInd w:w="0" w:type="dxa"/>
        <w:tblCellMar>
          <w:top w:w="0" w:type="dxa"/>
          <w:left w:w="0" w:type="dxa"/>
          <w:bottom w:w="0" w:type="dxa"/>
          <w:right w:w="0" w:type="dxa"/>
        </w:tblCellMar>
      </w:tblPr>
      <w:tblGrid>
        <w:gridCol w:w="7340"/>
        <w:gridCol w:w="170"/>
        <w:gridCol w:w="975"/>
        <w:gridCol w:w="134"/>
        <w:gridCol w:w="109"/>
        <w:gridCol w:w="170"/>
        <w:gridCol w:w="975"/>
        <w:gridCol w:w="152"/>
      </w:tblGrid>
      <w:tr>
        <w:trPr/>
        <w:tc>
          <w:tcPr>
            <w:tcW w:w="10025" w:type="dxa"/>
            <w:gridSpan w:val="8"/>
            <w:tcBorders/>
            <w:shd w:fill="auto" w:val="clear"/>
            <w:vAlign w:val="center"/>
          </w:tcPr>
          <w:p>
            <w:pPr>
              <w:pStyle w:val="TableContents"/>
              <w:spacing w:before="0" w:after="283"/>
              <w:rPr>
                <w:sz w:val="4"/>
                <w:szCs w:val="4"/>
              </w:rPr>
            </w:pPr>
            <w:r>
              <w:rPr>
                <w:sz w:val="4"/>
                <w:szCs w:val="4"/>
              </w:rPr>
            </w:r>
          </w:p>
        </w:tc>
      </w:tr>
      <w:tr>
        <w:trPr/>
        <w:tc>
          <w:tcPr>
            <w:tcW w:w="734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340" w:type="dxa"/>
            <w:tcBorders/>
            <w:shd w:fill="auto" w:val="clear"/>
            <w:vAlign w:val="center"/>
          </w:tcPr>
          <w:p>
            <w:pPr>
              <w:pStyle w:val="TableContents"/>
              <w:spacing w:before="0" w:after="0"/>
              <w:ind w:left="0" w:right="0" w:firstLine="30"/>
              <w:rPr/>
            </w:pPr>
            <w:r>
              <w:rPr/>
              <w:t> </w:t>
            </w:r>
          </w:p>
        </w:tc>
        <w:tc>
          <w:tcPr>
            <w:tcW w:w="268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Three Months Ended March 31,</w:t>
            </w:r>
          </w:p>
        </w:tc>
      </w:tr>
      <w:tr>
        <w:trPr/>
        <w:tc>
          <w:tcPr>
            <w:tcW w:w="7340" w:type="dxa"/>
            <w:tcBorders/>
            <w:shd w:fill="auto" w:val="clear"/>
            <w:vAlign w:val="center"/>
          </w:tcPr>
          <w:p>
            <w:pPr>
              <w:pStyle w:val="TableContents"/>
              <w:spacing w:before="0" w:after="0"/>
              <w:ind w:left="0" w:right="0" w:firstLine="30"/>
              <w:rPr>
                <w:rFonts w:ascii="inherit" w:hAnsi="inherit"/>
                <w:b/>
                <w:i/>
                <w:sz w:val="13"/>
                <w:u w:val="single"/>
              </w:rPr>
            </w:pPr>
            <w:r>
              <w:rPr>
                <w:rFonts w:ascii="inherit" w:hAnsi="inherit"/>
                <w:b/>
                <w:i/>
                <w:sz w:val="13"/>
                <w:u w:val="single"/>
              </w:rPr>
              <w:t>(In thousands, except share data and per share data)</w:t>
            </w:r>
          </w:p>
        </w:tc>
        <w:tc>
          <w:tcPr>
            <w:tcW w:w="127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2019</w:t>
            </w:r>
          </w:p>
        </w:tc>
        <w:tc>
          <w:tcPr>
            <w:tcW w:w="109" w:type="dxa"/>
            <w:tcBorders/>
            <w:shd w:fill="auto" w:val="clear"/>
            <w:vAlign w:val="center"/>
          </w:tcPr>
          <w:p>
            <w:pPr>
              <w:pStyle w:val="TableContents"/>
              <w:spacing w:before="0" w:after="0"/>
              <w:ind w:left="0" w:right="0" w:firstLine="30"/>
              <w:rPr/>
            </w:pPr>
            <w:r>
              <w:rPr/>
              <w:t> </w:t>
            </w:r>
          </w:p>
        </w:tc>
        <w:tc>
          <w:tcPr>
            <w:tcW w:w="129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2018</w:t>
            </w:r>
          </w:p>
        </w:tc>
      </w:tr>
      <w:tr>
        <w:trPr/>
        <w:tc>
          <w:tcPr>
            <w:tcW w:w="73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common stockholders</w:t>
            </w:r>
          </w:p>
        </w:tc>
        <w:tc>
          <w:tcPr>
            <w:tcW w:w="170"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97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150,849</w:t>
            </w:r>
          </w:p>
        </w:tc>
        <w:tc>
          <w:tcPr>
            <w:tcW w:w="13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70"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97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112,122</w:t>
            </w:r>
          </w:p>
        </w:tc>
        <w:tc>
          <w:tcPr>
            <w:tcW w:w="15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Real estate depreciation</w:t>
            </w:r>
          </w:p>
        </w:tc>
        <w:tc>
          <w:tcPr>
            <w:tcW w:w="114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auto" w:val="clear"/>
            <w:vAlign w:val="center"/>
          </w:tcPr>
          <w:p>
            <w:pPr>
              <w:pStyle w:val="TableContents"/>
              <w:spacing w:before="0" w:after="0"/>
              <w:ind w:left="0" w:right="0" w:firstLine="30"/>
              <w:rPr/>
            </w:pPr>
            <w:r>
              <w:rPr/>
              <w:t> </w:t>
            </w:r>
          </w:p>
        </w:tc>
        <w:tc>
          <w:tcPr>
            <w:tcW w:w="114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40"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FFO</w:t>
            </w:r>
          </w:p>
        </w:tc>
        <w:tc>
          <w:tcPr>
            <w:tcW w:w="1145"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150,849</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145"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112,122</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 financing and sales-type lease adjustments attributable to common stockholders</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(2,446</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9"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(12,914</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73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Transaction and acquisition expenses</w:t>
            </w:r>
          </w:p>
        </w:tc>
        <w:tc>
          <w:tcPr>
            <w:tcW w:w="11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889</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145" w:type="dxa"/>
            <w:gridSpan w:val="2"/>
            <w:tcBorders/>
            <w:shd w:fill="CCEEFF" w:val="clear"/>
            <w:vAlign w:val="center"/>
          </w:tcPr>
          <w:p>
            <w:pPr>
              <w:pStyle w:val="TableContents"/>
              <w:spacing w:before="0" w:after="0"/>
              <w:jc w:val="right"/>
              <w:rPr/>
            </w:pPr>
            <w:r>
              <w:rPr/>
              <w:t>—</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on extinguishment of debt</w:t>
            </w:r>
          </w:p>
        </w:tc>
        <w:tc>
          <w:tcPr>
            <w:tcW w:w="1145" w:type="dxa"/>
            <w:gridSpan w:val="2"/>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23,040</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Non-cash stock-based compensation</w:t>
            </w:r>
          </w:p>
        </w:tc>
        <w:tc>
          <w:tcPr>
            <w:tcW w:w="11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1,051</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1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391</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Amortization of debt issuance costs and original issue discount</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1,465</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1,494</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depreciation</w:t>
            </w:r>
          </w:p>
        </w:tc>
        <w:tc>
          <w:tcPr>
            <w:tcW w:w="11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927</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1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906</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Capital expenditures</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(1,191</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9"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(345</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7340"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AFFO</w:t>
            </w:r>
          </w:p>
        </w:tc>
        <w:tc>
          <w:tcPr>
            <w:tcW w:w="114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b/>
                <w:sz w:val="17"/>
              </w:rPr>
            </w:pPr>
            <w:r>
              <w:rPr>
                <w:rFonts w:ascii="inherit" w:hAnsi="inherit"/>
                <w:b/>
                <w:sz w:val="17"/>
              </w:rPr>
              <w:t>151,544</w:t>
            </w:r>
          </w:p>
        </w:tc>
        <w:tc>
          <w:tcPr>
            <w:tcW w:w="13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14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b/>
                <w:sz w:val="17"/>
              </w:rPr>
            </w:pPr>
            <w:r>
              <w:rPr>
                <w:rFonts w:ascii="inherit" w:hAnsi="inherit"/>
                <w:b/>
                <w:sz w:val="17"/>
              </w:rPr>
              <w:t>124,694</w:t>
            </w:r>
          </w:p>
        </w:tc>
        <w:tc>
          <w:tcPr>
            <w:tcW w:w="15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46,954</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49,703</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11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521</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1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384</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4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Adjusted EBITDA</w:t>
            </w:r>
          </w:p>
        </w:tc>
        <w:tc>
          <w:tcPr>
            <w:tcW w:w="17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97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199,019</w:t>
            </w:r>
          </w:p>
        </w:tc>
        <w:tc>
          <w:tcPr>
            <w:tcW w:w="13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auto" w:val="clear"/>
            <w:vAlign w:val="center"/>
          </w:tcPr>
          <w:p>
            <w:pPr>
              <w:pStyle w:val="TableContents"/>
              <w:spacing w:before="0" w:after="0"/>
              <w:ind w:left="0" w:right="0" w:firstLine="30"/>
              <w:rPr/>
            </w:pPr>
            <w:r>
              <w:rPr/>
              <w:t> </w:t>
            </w:r>
          </w:p>
        </w:tc>
        <w:tc>
          <w:tcPr>
            <w:tcW w:w="17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97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174,781</w:t>
            </w:r>
          </w:p>
        </w:tc>
        <w:tc>
          <w:tcPr>
            <w:tcW w:w="15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40" w:type="dxa"/>
            <w:tcBorders/>
            <w:shd w:fill="CCEEFF" w:val="clear"/>
            <w:vAlign w:val="center"/>
          </w:tcPr>
          <w:p>
            <w:pPr>
              <w:pStyle w:val="TableContents"/>
              <w:spacing w:before="0" w:after="0"/>
              <w:ind w:left="0" w:right="0" w:firstLine="30"/>
              <w:rPr/>
            </w:pPr>
            <w:r>
              <w:rPr/>
              <w:t> </w:t>
            </w:r>
          </w:p>
        </w:tc>
        <w:tc>
          <w:tcPr>
            <w:tcW w:w="1279" w:type="dxa"/>
            <w:gridSpan w:val="3"/>
            <w:tcBorders/>
            <w:shd w:fill="CCEEFF" w:val="clear"/>
            <w:vAlign w:val="center"/>
          </w:tcPr>
          <w:p>
            <w:pPr>
              <w:pStyle w:val="TableContents"/>
              <w:spacing w:before="0" w:after="0"/>
              <w:ind w:left="0" w:right="0" w:firstLine="30"/>
              <w:rPr/>
            </w:pPr>
            <w:r>
              <w:rPr/>
              <w:t> </w:t>
            </w:r>
          </w:p>
        </w:tc>
        <w:tc>
          <w:tcPr>
            <w:tcW w:w="109" w:type="dxa"/>
            <w:tcBorders/>
            <w:shd w:fill="CCEEFF" w:val="clear"/>
            <w:vAlign w:val="center"/>
          </w:tcPr>
          <w:p>
            <w:pPr>
              <w:pStyle w:val="TableContents"/>
              <w:spacing w:before="0" w:after="0"/>
              <w:ind w:left="0" w:right="0" w:firstLine="30"/>
              <w:rPr/>
            </w:pPr>
            <w:r>
              <w:rPr/>
              <w:t> </w:t>
            </w:r>
          </w:p>
        </w:tc>
        <w:tc>
          <w:tcPr>
            <w:tcW w:w="1297" w:type="dxa"/>
            <w:gridSpan w:val="3"/>
            <w:tcBorders/>
            <w:shd w:fill="CCEEFF" w:val="clear"/>
            <w:vAlign w:val="center"/>
          </w:tcPr>
          <w:p>
            <w:pPr>
              <w:pStyle w:val="TableContents"/>
              <w:spacing w:before="0" w:after="0"/>
              <w:ind w:left="0" w:right="0" w:firstLine="30"/>
              <w:rPr/>
            </w:pPr>
            <w:r>
              <w:rPr/>
              <w:t> </w:t>
            </w:r>
          </w:p>
        </w:tc>
      </w:tr>
      <w:tr>
        <w:trPr/>
        <w:tc>
          <w:tcPr>
            <w:tcW w:w="734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Net income per common share</w:t>
            </w:r>
          </w:p>
        </w:tc>
        <w:tc>
          <w:tcPr>
            <w:tcW w:w="1279" w:type="dxa"/>
            <w:gridSpan w:val="3"/>
            <w:tcBorders/>
            <w:shd w:fill="auto" w:val="clear"/>
            <w:vAlign w:val="center"/>
          </w:tcPr>
          <w:p>
            <w:pPr>
              <w:pStyle w:val="TableContents"/>
              <w:spacing w:before="0" w:after="0"/>
              <w:ind w:left="0" w:right="0" w:firstLine="30"/>
              <w:rPr/>
            </w:pPr>
            <w:r>
              <w:rPr/>
              <w:t> </w:t>
            </w:r>
          </w:p>
        </w:tc>
        <w:tc>
          <w:tcPr>
            <w:tcW w:w="109" w:type="dxa"/>
            <w:tcBorders/>
            <w:shd w:fill="auto" w:val="clear"/>
            <w:vAlign w:val="center"/>
          </w:tcPr>
          <w:p>
            <w:pPr>
              <w:pStyle w:val="TableContents"/>
              <w:spacing w:before="0" w:after="0"/>
              <w:ind w:left="0" w:right="0" w:firstLine="30"/>
              <w:rPr/>
            </w:pPr>
            <w:r>
              <w:rPr/>
              <w:t> </w:t>
            </w:r>
          </w:p>
        </w:tc>
        <w:tc>
          <w:tcPr>
            <w:tcW w:w="1297" w:type="dxa"/>
            <w:gridSpan w:val="3"/>
            <w:tcBorders/>
            <w:shd w:fill="auto" w:val="clear"/>
            <w:vAlign w:val="center"/>
          </w:tcPr>
          <w:p>
            <w:pPr>
              <w:pStyle w:val="TableContents"/>
              <w:spacing w:before="0" w:after="0"/>
              <w:ind w:left="0" w:right="0" w:firstLine="30"/>
              <w:rPr/>
            </w:pPr>
            <w:r>
              <w:rPr/>
              <w:t> </w:t>
            </w:r>
          </w:p>
        </w:tc>
      </w:tr>
      <w:tr>
        <w:trPr/>
        <w:tc>
          <w:tcPr>
            <w:tcW w:w="7340" w:type="dxa"/>
            <w:tcBorders/>
            <w:shd w:fill="CCEEFF" w:val="clear"/>
            <w:vAlign w:val="center"/>
          </w:tcPr>
          <w:p>
            <w:pPr>
              <w:pStyle w:val="TableContents"/>
              <w:spacing w:before="0" w:after="0"/>
              <w:ind w:left="0" w:right="0" w:firstLine="30"/>
              <w:jc w:val="left"/>
              <w:rPr/>
            </w:pPr>
            <w:r>
              <w:rPr/>
              <w:t>     </w:t>
            </w:r>
            <w:r>
              <w:rPr>
                <w:rFonts w:ascii="inherit" w:hAnsi="inherit"/>
                <w:sz w:val="17"/>
              </w:rPr>
              <w:t>Basic and diluted</w:t>
            </w:r>
          </w:p>
        </w:tc>
        <w:tc>
          <w:tcPr>
            <w:tcW w:w="17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75" w:type="dxa"/>
            <w:tcBorders/>
            <w:shd w:fill="CCEEFF" w:val="clear"/>
            <w:vAlign w:val="center"/>
          </w:tcPr>
          <w:p>
            <w:pPr>
              <w:pStyle w:val="TableContents"/>
              <w:spacing w:before="0" w:after="0"/>
              <w:jc w:val="right"/>
              <w:rPr>
                <w:rFonts w:ascii="inherit" w:hAnsi="inherit"/>
                <w:sz w:val="17"/>
              </w:rPr>
            </w:pPr>
            <w:r>
              <w:rPr>
                <w:rFonts w:ascii="inherit" w:hAnsi="inherit"/>
                <w:sz w:val="17"/>
              </w:rPr>
              <w:t>0.37</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7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75" w:type="dxa"/>
            <w:tcBorders/>
            <w:shd w:fill="CCEEFF" w:val="clear"/>
            <w:vAlign w:val="center"/>
          </w:tcPr>
          <w:p>
            <w:pPr>
              <w:pStyle w:val="TableContents"/>
              <w:spacing w:before="0" w:after="0"/>
              <w:jc w:val="right"/>
              <w:rPr>
                <w:rFonts w:ascii="inherit" w:hAnsi="inherit"/>
                <w:sz w:val="17"/>
              </w:rPr>
            </w:pPr>
            <w:r>
              <w:rPr>
                <w:rFonts w:ascii="inherit" w:hAnsi="inherit"/>
                <w:sz w:val="17"/>
              </w:rPr>
              <w:t>0.33</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4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FFO per common share</w:t>
            </w:r>
          </w:p>
        </w:tc>
        <w:tc>
          <w:tcPr>
            <w:tcW w:w="1279" w:type="dxa"/>
            <w:gridSpan w:val="3"/>
            <w:tcBorders/>
            <w:shd w:fill="auto" w:val="clear"/>
            <w:vAlign w:val="center"/>
          </w:tcPr>
          <w:p>
            <w:pPr>
              <w:pStyle w:val="TableContents"/>
              <w:spacing w:before="0" w:after="0"/>
              <w:ind w:left="0" w:right="0" w:firstLine="30"/>
              <w:rPr/>
            </w:pPr>
            <w:r>
              <w:rPr/>
              <w:t> </w:t>
            </w:r>
          </w:p>
        </w:tc>
        <w:tc>
          <w:tcPr>
            <w:tcW w:w="109" w:type="dxa"/>
            <w:tcBorders/>
            <w:shd w:fill="auto" w:val="clear"/>
            <w:vAlign w:val="center"/>
          </w:tcPr>
          <w:p>
            <w:pPr>
              <w:pStyle w:val="TableContents"/>
              <w:spacing w:before="0" w:after="0"/>
              <w:ind w:left="0" w:right="0" w:firstLine="30"/>
              <w:rPr/>
            </w:pPr>
            <w:r>
              <w:rPr/>
              <w:t> </w:t>
            </w:r>
          </w:p>
        </w:tc>
        <w:tc>
          <w:tcPr>
            <w:tcW w:w="1297" w:type="dxa"/>
            <w:gridSpan w:val="3"/>
            <w:tcBorders/>
            <w:shd w:fill="auto" w:val="clear"/>
            <w:vAlign w:val="center"/>
          </w:tcPr>
          <w:p>
            <w:pPr>
              <w:pStyle w:val="TableContents"/>
              <w:spacing w:before="0" w:after="0"/>
              <w:ind w:left="0" w:right="0" w:firstLine="30"/>
              <w:rPr/>
            </w:pPr>
            <w:r>
              <w:rPr/>
              <w:t> </w:t>
            </w:r>
          </w:p>
        </w:tc>
      </w:tr>
      <w:tr>
        <w:trPr/>
        <w:tc>
          <w:tcPr>
            <w:tcW w:w="7340" w:type="dxa"/>
            <w:tcBorders/>
            <w:shd w:fill="CCEEFF" w:val="clear"/>
            <w:vAlign w:val="center"/>
          </w:tcPr>
          <w:p>
            <w:pPr>
              <w:pStyle w:val="TableContents"/>
              <w:spacing w:before="0" w:after="0"/>
              <w:ind w:left="0" w:right="0" w:firstLine="30"/>
              <w:jc w:val="left"/>
              <w:rPr/>
            </w:pPr>
            <w:r>
              <w:rPr/>
              <w:t>     </w:t>
            </w:r>
            <w:r>
              <w:rPr>
                <w:rFonts w:ascii="inherit" w:hAnsi="inherit"/>
                <w:sz w:val="17"/>
              </w:rPr>
              <w:t>Basic and diluted</w:t>
            </w:r>
          </w:p>
        </w:tc>
        <w:tc>
          <w:tcPr>
            <w:tcW w:w="17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75" w:type="dxa"/>
            <w:tcBorders/>
            <w:shd w:fill="CCEEFF" w:val="clear"/>
            <w:vAlign w:val="center"/>
          </w:tcPr>
          <w:p>
            <w:pPr>
              <w:pStyle w:val="TableContents"/>
              <w:spacing w:before="0" w:after="0"/>
              <w:jc w:val="right"/>
              <w:rPr>
                <w:rFonts w:ascii="inherit" w:hAnsi="inherit"/>
                <w:sz w:val="17"/>
              </w:rPr>
            </w:pPr>
            <w:r>
              <w:rPr>
                <w:rFonts w:ascii="inherit" w:hAnsi="inherit"/>
                <w:sz w:val="17"/>
              </w:rPr>
              <w:t>0.37</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7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75" w:type="dxa"/>
            <w:tcBorders/>
            <w:shd w:fill="CCEEFF" w:val="clear"/>
            <w:vAlign w:val="center"/>
          </w:tcPr>
          <w:p>
            <w:pPr>
              <w:pStyle w:val="TableContents"/>
              <w:spacing w:before="0" w:after="0"/>
              <w:jc w:val="right"/>
              <w:rPr>
                <w:rFonts w:ascii="inherit" w:hAnsi="inherit"/>
                <w:sz w:val="17"/>
              </w:rPr>
            </w:pPr>
            <w:r>
              <w:rPr>
                <w:rFonts w:ascii="inherit" w:hAnsi="inherit"/>
                <w:sz w:val="17"/>
              </w:rPr>
              <w:t>0.33</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4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AFFO per common share</w:t>
            </w:r>
          </w:p>
        </w:tc>
        <w:tc>
          <w:tcPr>
            <w:tcW w:w="1279" w:type="dxa"/>
            <w:gridSpan w:val="3"/>
            <w:tcBorders/>
            <w:shd w:fill="auto" w:val="clear"/>
            <w:vAlign w:val="center"/>
          </w:tcPr>
          <w:p>
            <w:pPr>
              <w:pStyle w:val="TableContents"/>
              <w:spacing w:before="0" w:after="0"/>
              <w:ind w:left="0" w:right="0" w:firstLine="30"/>
              <w:rPr/>
            </w:pPr>
            <w:r>
              <w:rPr/>
              <w:t> </w:t>
            </w:r>
          </w:p>
        </w:tc>
        <w:tc>
          <w:tcPr>
            <w:tcW w:w="109" w:type="dxa"/>
            <w:tcBorders/>
            <w:shd w:fill="auto" w:val="clear"/>
            <w:vAlign w:val="center"/>
          </w:tcPr>
          <w:p>
            <w:pPr>
              <w:pStyle w:val="TableContents"/>
              <w:spacing w:before="0" w:after="0"/>
              <w:ind w:left="0" w:right="0" w:firstLine="30"/>
              <w:rPr/>
            </w:pPr>
            <w:r>
              <w:rPr/>
              <w:t> </w:t>
            </w:r>
          </w:p>
        </w:tc>
        <w:tc>
          <w:tcPr>
            <w:tcW w:w="1297" w:type="dxa"/>
            <w:gridSpan w:val="3"/>
            <w:tcBorders/>
            <w:shd w:fill="auto" w:val="clear"/>
            <w:vAlign w:val="center"/>
          </w:tcPr>
          <w:p>
            <w:pPr>
              <w:pStyle w:val="TableContents"/>
              <w:spacing w:before="0" w:after="0"/>
              <w:ind w:left="0" w:right="0" w:firstLine="30"/>
              <w:rPr/>
            </w:pPr>
            <w:r>
              <w:rPr/>
              <w:t> </w:t>
            </w:r>
          </w:p>
        </w:tc>
      </w:tr>
      <w:tr>
        <w:trPr/>
        <w:tc>
          <w:tcPr>
            <w:tcW w:w="7340" w:type="dxa"/>
            <w:tcBorders/>
            <w:shd w:fill="CCEEFF" w:val="clear"/>
            <w:vAlign w:val="center"/>
          </w:tcPr>
          <w:p>
            <w:pPr>
              <w:pStyle w:val="TableContents"/>
              <w:spacing w:before="0" w:after="0"/>
              <w:ind w:left="0" w:right="0" w:firstLine="30"/>
              <w:jc w:val="left"/>
              <w:rPr/>
            </w:pPr>
            <w:r>
              <w:rPr/>
              <w:t>     </w:t>
            </w:r>
            <w:r>
              <w:rPr>
                <w:rFonts w:ascii="inherit" w:hAnsi="inherit"/>
                <w:sz w:val="17"/>
              </w:rPr>
              <w:t>Basic and diluted</w:t>
            </w:r>
          </w:p>
        </w:tc>
        <w:tc>
          <w:tcPr>
            <w:tcW w:w="17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75" w:type="dxa"/>
            <w:tcBorders/>
            <w:shd w:fill="CCEEFF" w:val="clear"/>
            <w:vAlign w:val="center"/>
          </w:tcPr>
          <w:p>
            <w:pPr>
              <w:pStyle w:val="TableContents"/>
              <w:spacing w:before="0" w:after="0"/>
              <w:jc w:val="right"/>
              <w:rPr>
                <w:rFonts w:ascii="inherit" w:hAnsi="inherit"/>
                <w:sz w:val="17"/>
              </w:rPr>
            </w:pPr>
            <w:r>
              <w:rPr>
                <w:rFonts w:ascii="inherit" w:hAnsi="inherit"/>
                <w:sz w:val="17"/>
              </w:rPr>
              <w:t>0.37</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7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75" w:type="dxa"/>
            <w:tcBorders/>
            <w:shd w:fill="CCEEFF" w:val="clear"/>
            <w:vAlign w:val="center"/>
          </w:tcPr>
          <w:p>
            <w:pPr>
              <w:pStyle w:val="TableContents"/>
              <w:spacing w:before="0" w:after="0"/>
              <w:jc w:val="right"/>
              <w:rPr>
                <w:rFonts w:ascii="inherit" w:hAnsi="inherit"/>
                <w:sz w:val="17"/>
              </w:rPr>
            </w:pPr>
            <w:r>
              <w:rPr>
                <w:rFonts w:ascii="inherit" w:hAnsi="inherit"/>
                <w:sz w:val="17"/>
              </w:rPr>
              <w:t>0.36</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4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Weighted average number of common shares outstanding</w:t>
            </w:r>
          </w:p>
        </w:tc>
        <w:tc>
          <w:tcPr>
            <w:tcW w:w="1279" w:type="dxa"/>
            <w:gridSpan w:val="3"/>
            <w:tcBorders/>
            <w:shd w:fill="auto" w:val="clear"/>
            <w:vAlign w:val="center"/>
          </w:tcPr>
          <w:p>
            <w:pPr>
              <w:pStyle w:val="TableContents"/>
              <w:spacing w:before="0" w:after="0"/>
              <w:ind w:left="0" w:right="0" w:firstLine="30"/>
              <w:rPr/>
            </w:pPr>
            <w:r>
              <w:rPr/>
              <w:t> </w:t>
            </w:r>
          </w:p>
        </w:tc>
        <w:tc>
          <w:tcPr>
            <w:tcW w:w="109" w:type="dxa"/>
            <w:tcBorders/>
            <w:shd w:fill="auto" w:val="clear"/>
            <w:vAlign w:val="center"/>
          </w:tcPr>
          <w:p>
            <w:pPr>
              <w:pStyle w:val="TableContents"/>
              <w:spacing w:before="0" w:after="0"/>
              <w:ind w:left="0" w:right="0" w:firstLine="30"/>
              <w:rPr/>
            </w:pPr>
            <w:r>
              <w:rPr/>
              <w:t> </w:t>
            </w:r>
          </w:p>
        </w:tc>
        <w:tc>
          <w:tcPr>
            <w:tcW w:w="1297" w:type="dxa"/>
            <w:gridSpan w:val="3"/>
            <w:tcBorders/>
            <w:shd w:fill="auto" w:val="clear"/>
            <w:vAlign w:val="center"/>
          </w:tcPr>
          <w:p>
            <w:pPr>
              <w:pStyle w:val="TableContents"/>
              <w:spacing w:before="0" w:after="0"/>
              <w:ind w:left="0" w:right="0" w:firstLine="30"/>
              <w:rPr/>
            </w:pPr>
            <w:r>
              <w:rPr/>
              <w:t> </w:t>
            </w:r>
          </w:p>
        </w:tc>
      </w:tr>
      <w:tr>
        <w:trPr/>
        <w:tc>
          <w:tcPr>
            <w:tcW w:w="7340" w:type="dxa"/>
            <w:tcBorders/>
            <w:shd w:fill="CCEEFF" w:val="clear"/>
            <w:vAlign w:val="center"/>
          </w:tcPr>
          <w:p>
            <w:pPr>
              <w:pStyle w:val="TableContents"/>
              <w:spacing w:before="0" w:after="0"/>
              <w:ind w:left="0" w:right="0" w:firstLine="30"/>
              <w:jc w:val="left"/>
              <w:rPr/>
            </w:pPr>
            <w:r>
              <w:rPr/>
              <w:t>     </w:t>
            </w:r>
            <w:r>
              <w:rPr>
                <w:rFonts w:ascii="inherit" w:hAnsi="inherit"/>
                <w:sz w:val="17"/>
              </w:rPr>
              <w:t>Basic</w:t>
            </w:r>
          </w:p>
        </w:tc>
        <w:tc>
          <w:tcPr>
            <w:tcW w:w="11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405,733,656</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1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342,900,842</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40" w:type="dxa"/>
            <w:tcBorders/>
            <w:shd w:fill="auto" w:val="clear"/>
            <w:vAlign w:val="center"/>
          </w:tcPr>
          <w:p>
            <w:pPr>
              <w:pStyle w:val="TableContents"/>
              <w:spacing w:before="0" w:after="0"/>
              <w:ind w:left="0" w:right="0" w:firstLine="30"/>
              <w:jc w:val="left"/>
              <w:rPr/>
            </w:pPr>
            <w:r>
              <w:rPr/>
              <w:t>     </w:t>
            </w:r>
            <w:r>
              <w:rPr>
                <w:rFonts w:ascii="inherit" w:hAnsi="inherit"/>
                <w:sz w:val="17"/>
              </w:rPr>
              <w:t>Diluted</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406,035,025</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343,056,532</w:t>
            </w:r>
          </w:p>
        </w:tc>
        <w:tc>
          <w:tcPr>
            <w:tcW w:w="152"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34</w:t>
      </w:r>
      <w:r>
        <w:br w:type="page"/>
      </w:r>
    </w:p>
    <w:p>
      <w:pPr>
        <w:pStyle w:val="TextBody"/>
        <w:spacing w:lineRule="auto" w:line="288" w:before="0" w:after="0"/>
        <w:jc w:val="both"/>
        <w:rPr/>
      </w:pPr>
      <w:hyperlink w:anchor="s7181E430E8A9506B896277AC8CF177C4">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left"/>
        <w:rPr>
          <w:rFonts w:ascii="inherit" w:hAnsi="inherit"/>
          <w:b/>
          <w:sz w:val="18"/>
        </w:rPr>
      </w:pPr>
      <w:r>
        <w:rPr>
          <w:rFonts w:ascii="inherit" w:hAnsi="inherit"/>
          <w:b/>
          <w:sz w:val="18"/>
        </w:rPr>
        <w:t>LIQUIDITY AND CAPITAL RESOURCES</w:t>
      </w:r>
    </w:p>
    <w:p>
      <w:pPr>
        <w:pStyle w:val="TextBody"/>
        <w:spacing w:lineRule="auto" w:line="288" w:before="0" w:after="0"/>
        <w:jc w:val="both"/>
        <w:rPr>
          <w:rFonts w:ascii="inherit" w:hAnsi="inherit"/>
          <w:b/>
          <w:sz w:val="17"/>
        </w:rPr>
      </w:pPr>
      <w:r>
        <w:rPr>
          <w:rFonts w:ascii="inherit" w:hAnsi="inherit"/>
          <w:b/>
          <w:sz w:val="17"/>
        </w:rPr>
        <w:t>Overview</w:t>
      </w:r>
    </w:p>
    <w:p>
      <w:pPr>
        <w:pStyle w:val="TextBody"/>
        <w:spacing w:lineRule="auto" w:line="288" w:before="0" w:after="0"/>
        <w:jc w:val="both"/>
        <w:rPr>
          <w:rFonts w:ascii="inherit" w:hAnsi="inherit"/>
          <w:sz w:val="17"/>
        </w:rPr>
      </w:pPr>
      <w:r>
        <w:rPr>
          <w:rFonts w:ascii="inherit" w:hAnsi="inherit"/>
          <w:sz w:val="17"/>
        </w:rPr>
        <w:t>As of March 31, 2019, our available cash balances, restricted cash balances, short-term investments and capacity under our Revolving Credit Facility were as follows:</w:t>
      </w:r>
    </w:p>
    <w:tbl>
      <w:tblPr>
        <w:tblW w:w="4598" w:type="dxa"/>
        <w:jc w:val="center"/>
        <w:tblInd w:w="0" w:type="dxa"/>
        <w:tblCellMar>
          <w:top w:w="0" w:type="dxa"/>
          <w:left w:w="0" w:type="dxa"/>
          <w:bottom w:w="0" w:type="dxa"/>
          <w:right w:w="0" w:type="dxa"/>
        </w:tblCellMar>
      </w:tblPr>
      <w:tblGrid>
        <w:gridCol w:w="3410"/>
        <w:gridCol w:w="146"/>
        <w:gridCol w:w="990"/>
        <w:gridCol w:w="52"/>
      </w:tblGrid>
      <w:tr>
        <w:trPr/>
        <w:tc>
          <w:tcPr>
            <w:tcW w:w="4598" w:type="dxa"/>
            <w:gridSpan w:val="4"/>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5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410" w:type="dxa"/>
            <w:tcBorders/>
            <w:shd w:fill="auto" w:val="clear"/>
            <w:vAlign w:val="center"/>
          </w:tcPr>
          <w:p>
            <w:pPr>
              <w:pStyle w:val="TableContents"/>
              <w:spacing w:before="0" w:after="0"/>
              <w:ind w:left="0" w:right="0" w:firstLine="30"/>
              <w:jc w:val="left"/>
              <w:rPr>
                <w:rFonts w:ascii="inherit" w:hAnsi="inherit"/>
                <w:b/>
                <w:i/>
                <w:sz w:val="15"/>
                <w:u w:val="single"/>
              </w:rPr>
            </w:pPr>
            <w:r>
              <w:rPr>
                <w:rFonts w:ascii="inherit" w:hAnsi="inherit"/>
                <w:b/>
                <w:i/>
                <w:sz w:val="15"/>
                <w:u w:val="single"/>
              </w:rPr>
              <w:t>(In thousands)</w:t>
            </w:r>
          </w:p>
        </w:tc>
        <w:tc>
          <w:tcPr>
            <w:tcW w:w="118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4"/>
              </w:rPr>
            </w:pPr>
            <w:r>
              <w:rPr>
                <w:rFonts w:ascii="inherit" w:hAnsi="inherit"/>
                <w:b/>
                <w:sz w:val="14"/>
              </w:rPr>
              <w:t>March 31, 2019</w:t>
            </w:r>
          </w:p>
        </w:tc>
      </w:tr>
      <w:tr>
        <w:trPr/>
        <w:tc>
          <w:tcPr>
            <w:tcW w:w="34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46"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99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598,276</w:t>
            </w:r>
          </w:p>
        </w:tc>
        <w:tc>
          <w:tcPr>
            <w:tcW w:w="5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Restricted cash</w:t>
            </w:r>
          </w:p>
        </w:tc>
        <w:tc>
          <w:tcPr>
            <w:tcW w:w="11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24,366</w:t>
            </w:r>
          </w:p>
        </w:tc>
        <w:tc>
          <w:tcPr>
            <w:tcW w:w="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Short-term investments</w:t>
            </w:r>
          </w:p>
        </w:tc>
        <w:tc>
          <w:tcPr>
            <w:tcW w:w="11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356,878</w:t>
            </w:r>
          </w:p>
        </w:tc>
        <w:tc>
          <w:tcPr>
            <w:tcW w:w="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Capacity under Revolving Credit Facility</w:t>
            </w:r>
          </w:p>
        </w:tc>
        <w:tc>
          <w:tcPr>
            <w:tcW w:w="11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400,000</w:t>
            </w:r>
          </w:p>
        </w:tc>
        <w:tc>
          <w:tcPr>
            <w:tcW w:w="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4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1,379,520</w:t>
            </w:r>
          </w:p>
        </w:tc>
        <w:tc>
          <w:tcPr>
            <w:tcW w:w="5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both"/>
        <w:rPr>
          <w:rFonts w:ascii="inherit" w:hAnsi="inherit"/>
          <w:sz w:val="17"/>
        </w:rPr>
      </w:pPr>
      <w:r>
        <w:rPr>
          <w:rFonts w:ascii="inherit" w:hAnsi="inherit"/>
          <w:sz w:val="17"/>
        </w:rPr>
        <w:t xml:space="preserve">Our short-term obligations consist primarily of regular interest payments on our debt obligations, dividends to our common stockholders, normal recurring operating expenses, recurring expenditures for corporate and administrative needs, certain lease and other contractual commitments related to our golf operations and certain non-recurring expenditures. For a list of our material contractual commitments refer to Note 11 - Commitments and Contingent Liabilities, in the Notes to our Financial Statements. </w:t>
      </w:r>
    </w:p>
    <w:p>
      <w:pPr>
        <w:pStyle w:val="TextBody"/>
        <w:spacing w:lineRule="auto" w:line="288" w:before="0" w:after="0"/>
        <w:jc w:val="both"/>
        <w:rPr>
          <w:rFonts w:ascii="inherit" w:hAnsi="inherit"/>
          <w:sz w:val="17"/>
        </w:rPr>
      </w:pPr>
      <w:r>
        <w:rPr>
          <w:rFonts w:ascii="inherit" w:hAnsi="inherit"/>
          <w:sz w:val="17"/>
        </w:rPr>
        <w:t xml:space="preserve">Our long-term obligations consist primarily of principal payments on our outstanding debt obligations. We currently have $4.1 billion of debt obligations outstanding, none of which are maturing in the next twelve months. For a summary of principal debt balances and their maturity dates and principal terms refer to Note 8 - Debt, in the Notes to our Consolidated Financial Statements. We anticipate closing the Greektown Acquisition in the second quarter of 2019 and the JACK Cincinnati Acquisition in late-2019, and we expect to fund these purchases with a mix of cash on hand (from proceeds that we raised in our November 2018 equity offering and through our ATM Agreement) and debt, through additional long-term debt financing and/or under our Revolving Credit Facility. We anticipate funding future transactions with a mix of debt, equity and available cash. </w:t>
      </w:r>
    </w:p>
    <w:p>
      <w:pPr>
        <w:pStyle w:val="TextBody"/>
        <w:spacing w:lineRule="auto" w:line="288" w:before="0" w:after="0"/>
        <w:jc w:val="both"/>
        <w:rPr>
          <w:rFonts w:ascii="inherit" w:hAnsi="inherit"/>
          <w:sz w:val="17"/>
        </w:rPr>
      </w:pPr>
      <w:r>
        <w:rPr>
          <w:rFonts w:ascii="inherit" w:hAnsi="inherit"/>
          <w:sz w:val="17"/>
        </w:rPr>
        <w:t xml:space="preserve">We believe that we have sufficient liquidity to meet our liquidity and capital resource requirements primarily through currently available cash and cash equivalents, restricted cash, short term investments, cash received under our Lease Agreements, borrowings from banks, including undrawn capacity under our Revolving Credit Facility, and proceeds from the issuance of debt and equity securities (including issuances under our ATM Agreement). All of the Lease Agreements call for an initial term of fifteen years with four, five-year tenant renewal options and are designed to provide us with a reliable and predictable revenue stream. However, our cash flows from operations and our ability to access capital resources could be adversely affected due to uncertain economic factors and volatility in the financial and credit markets. In particular, we can provide no assurances that our tenants will not default on their leases or fail to make full rental payments if their businesses become challenged due to, among other things, adverse economic conditions. </w:t>
      </w:r>
    </w:p>
    <w:p>
      <w:pPr>
        <w:pStyle w:val="TextBody"/>
        <w:spacing w:lineRule="auto" w:line="288" w:before="0" w:after="0"/>
        <w:jc w:val="both"/>
        <w:rPr>
          <w:rFonts w:ascii="inherit" w:hAnsi="inherit"/>
          <w:sz w:val="17"/>
        </w:rPr>
      </w:pPr>
      <w:r>
        <w:rPr>
          <w:rFonts w:ascii="inherit" w:hAnsi="inherit"/>
          <w:sz w:val="17"/>
        </w:rPr>
        <w:t>Our ability to raise funds through the issuance of debt and equity securities and access to other third-party sources of capital in the future will be dependent on, among other things, general economic conditions, general market conditions for REITs, market perceptions and the trading price of our stock. We will continue to analyze which sources of capital are most advantageous to us at any particular point in time, but the capital markets may not be consistently available on terms we deem attractive, or at all.</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35</w:t>
      </w:r>
      <w:r>
        <w:br w:type="page"/>
      </w:r>
    </w:p>
    <w:p>
      <w:pPr>
        <w:pStyle w:val="TextBody"/>
        <w:spacing w:lineRule="auto" w:line="288" w:before="0" w:after="0"/>
        <w:jc w:val="both"/>
        <w:rPr/>
      </w:pPr>
      <w:hyperlink w:anchor="s7181E430E8A9506B896277AC8CF177C4">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b/>
          <w:sz w:val="18"/>
        </w:rPr>
      </w:pPr>
      <w:r>
        <w:rPr>
          <w:rFonts w:ascii="inherit" w:hAnsi="inherit"/>
          <w:b/>
          <w:sz w:val="18"/>
        </w:rPr>
        <w:t>Cash Flow Analysis</w:t>
      </w:r>
    </w:p>
    <w:p>
      <w:pPr>
        <w:pStyle w:val="TextBody"/>
        <w:spacing w:lineRule="auto" w:line="288" w:before="0" w:after="0"/>
        <w:jc w:val="both"/>
        <w:rPr>
          <w:rFonts w:ascii="inherit" w:hAnsi="inherit"/>
          <w:sz w:val="17"/>
        </w:rPr>
      </w:pPr>
      <w:r>
        <w:rPr>
          <w:rFonts w:ascii="inherit" w:hAnsi="inherit"/>
          <w:sz w:val="17"/>
        </w:rPr>
        <w:t>The table below summarizes our cash flows for the three months ended March 31, 2019 and 2018:</w:t>
      </w:r>
    </w:p>
    <w:tbl>
      <w:tblPr>
        <w:tblW w:w="9291" w:type="dxa"/>
        <w:jc w:val="left"/>
        <w:tblInd w:w="0" w:type="dxa"/>
        <w:tblCellMar>
          <w:top w:w="0" w:type="dxa"/>
          <w:left w:w="0" w:type="dxa"/>
          <w:bottom w:w="0" w:type="dxa"/>
          <w:right w:w="0" w:type="dxa"/>
        </w:tblCellMar>
      </w:tblPr>
      <w:tblGrid>
        <w:gridCol w:w="105"/>
        <w:gridCol w:w="5330"/>
        <w:gridCol w:w="90"/>
        <w:gridCol w:w="171"/>
        <w:gridCol w:w="953"/>
        <w:gridCol w:w="150"/>
        <w:gridCol w:w="123"/>
        <w:gridCol w:w="171"/>
        <w:gridCol w:w="953"/>
        <w:gridCol w:w="150"/>
        <w:gridCol w:w="90"/>
        <w:gridCol w:w="125"/>
        <w:gridCol w:w="755"/>
        <w:gridCol w:w="125"/>
      </w:tblGrid>
      <w:tr>
        <w:trPr/>
        <w:tc>
          <w:tcPr>
            <w:tcW w:w="9291" w:type="dxa"/>
            <w:gridSpan w:val="14"/>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53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53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67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Three Months Ended March 31,</w:t>
            </w:r>
          </w:p>
        </w:tc>
        <w:tc>
          <w:tcPr>
            <w:tcW w:w="90" w:type="dxa"/>
            <w:tcBorders/>
            <w:shd w:fill="auto" w:val="clear"/>
            <w:vAlign w:val="center"/>
          </w:tcPr>
          <w:p>
            <w:pPr>
              <w:pStyle w:val="TableContents"/>
              <w:spacing w:before="0" w:after="0"/>
              <w:ind w:left="0" w:right="0" w:firstLine="30"/>
              <w:rPr/>
            </w:pPr>
            <w:r>
              <w:rPr/>
              <w:t> </w:t>
            </w:r>
          </w:p>
        </w:tc>
        <w:tc>
          <w:tcPr>
            <w:tcW w:w="1005" w:type="dxa"/>
            <w:gridSpan w:val="3"/>
            <w:tcBorders/>
            <w:shd w:fill="auto" w:val="clear"/>
            <w:vAlign w:val="center"/>
          </w:tcPr>
          <w:p>
            <w:pPr>
              <w:pStyle w:val="TableContents"/>
              <w:spacing w:before="0" w:after="0"/>
              <w:ind w:left="0" w:right="0" w:firstLine="30"/>
              <w:rPr/>
            </w:pPr>
            <w:r>
              <w:rPr/>
              <w:t> </w:t>
            </w:r>
          </w:p>
        </w:tc>
      </w:tr>
      <w:tr>
        <w:trPr/>
        <w:tc>
          <w:tcPr>
            <w:tcW w:w="5435" w:type="dxa"/>
            <w:gridSpan w:val="2"/>
            <w:tcBorders/>
            <w:shd w:fill="auto" w:val="clear"/>
            <w:vAlign w:val="center"/>
          </w:tcPr>
          <w:p>
            <w:pPr>
              <w:pStyle w:val="TableContents"/>
              <w:spacing w:before="0" w:after="0"/>
              <w:ind w:left="0" w:right="0" w:firstLine="30"/>
              <w:jc w:val="left"/>
              <w:rPr>
                <w:rFonts w:ascii="inherit" w:hAnsi="inherit"/>
                <w:b/>
                <w:i/>
                <w:sz w:val="13"/>
                <w:u w:val="single"/>
              </w:rPr>
            </w:pPr>
            <w:r>
              <w:rPr>
                <w:rFonts w:ascii="inherit" w:hAnsi="inherit"/>
                <w:b/>
                <w:i/>
                <w:sz w:val="13"/>
                <w:u w:val="single"/>
              </w:rPr>
              <w:t>(In thousands)</w:t>
            </w:r>
          </w:p>
        </w:tc>
        <w:tc>
          <w:tcPr>
            <w:tcW w:w="90" w:type="dxa"/>
            <w:tcBorders/>
            <w:shd w:fill="auto" w:val="clear"/>
            <w:vAlign w:val="center"/>
          </w:tcPr>
          <w:p>
            <w:pPr>
              <w:pStyle w:val="TableContents"/>
              <w:spacing w:before="0" w:after="0"/>
              <w:ind w:left="0" w:right="0" w:firstLine="30"/>
              <w:rPr/>
            </w:pPr>
            <w:r>
              <w:rPr/>
              <w:t> </w:t>
            </w:r>
          </w:p>
        </w:tc>
        <w:tc>
          <w:tcPr>
            <w:tcW w:w="127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2019</w:t>
            </w:r>
          </w:p>
        </w:tc>
        <w:tc>
          <w:tcPr>
            <w:tcW w:w="123" w:type="dxa"/>
            <w:tcBorders/>
            <w:shd w:fill="auto" w:val="clear"/>
            <w:vAlign w:val="center"/>
          </w:tcPr>
          <w:p>
            <w:pPr>
              <w:pStyle w:val="TableContents"/>
              <w:spacing w:before="0" w:after="0"/>
              <w:ind w:left="0" w:right="0" w:firstLine="30"/>
              <w:rPr/>
            </w:pPr>
            <w:r>
              <w:rPr/>
              <w:t> </w:t>
            </w:r>
          </w:p>
        </w:tc>
        <w:tc>
          <w:tcPr>
            <w:tcW w:w="127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2018</w:t>
            </w:r>
          </w:p>
        </w:tc>
        <w:tc>
          <w:tcPr>
            <w:tcW w:w="90" w:type="dxa"/>
            <w:tcBorders/>
            <w:shd w:fill="auto" w:val="clear"/>
            <w:vAlign w:val="center"/>
          </w:tcPr>
          <w:p>
            <w:pPr>
              <w:pStyle w:val="TableContents"/>
              <w:spacing w:before="0" w:after="0"/>
              <w:ind w:left="0" w:right="0" w:firstLine="30"/>
              <w:rPr/>
            </w:pPr>
            <w:r>
              <w:rPr/>
              <w:t> </w:t>
            </w:r>
          </w:p>
        </w:tc>
        <w:tc>
          <w:tcPr>
            <w:tcW w:w="100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Variance</w:t>
            </w:r>
          </w:p>
        </w:tc>
      </w:tr>
      <w:tr>
        <w:trPr/>
        <w:tc>
          <w:tcPr>
            <w:tcW w:w="5435" w:type="dxa"/>
            <w:gridSpan w:val="2"/>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cash equivalents and restricted cash</w:t>
            </w:r>
          </w:p>
        </w:tc>
        <w:tc>
          <w:tcPr>
            <w:tcW w:w="90" w:type="dxa"/>
            <w:tcBorders/>
            <w:shd w:fill="CCEEFF" w:val="clear"/>
            <w:vAlign w:val="center"/>
          </w:tcPr>
          <w:p>
            <w:pPr>
              <w:pStyle w:val="TableContents"/>
              <w:spacing w:before="0" w:after="0"/>
              <w:ind w:left="0" w:right="0" w:firstLine="30"/>
              <w:rPr/>
            </w:pPr>
            <w:r>
              <w:rPr/>
              <w:t> </w:t>
            </w:r>
          </w:p>
        </w:tc>
        <w:tc>
          <w:tcPr>
            <w:tcW w:w="1274"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274"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05" w:type="dxa"/>
            <w:gridSpan w:val="3"/>
            <w:tcBorders/>
            <w:shd w:fill="CCEEFF" w:val="clear"/>
            <w:vAlign w:val="center"/>
          </w:tcPr>
          <w:p>
            <w:pPr>
              <w:pStyle w:val="TableContents"/>
              <w:spacing w:before="0" w:after="0"/>
              <w:ind w:left="0" w:right="0" w:firstLine="30"/>
              <w:rPr/>
            </w:pPr>
            <w:r>
              <w:rPr/>
              <w:t> </w:t>
            </w:r>
          </w:p>
        </w:tc>
      </w:tr>
      <w:tr>
        <w:trPr/>
        <w:tc>
          <w:tcPr>
            <w:tcW w:w="105" w:type="dxa"/>
            <w:tcBorders/>
            <w:shd w:fill="auto" w:val="clear"/>
            <w:vAlign w:val="center"/>
          </w:tcPr>
          <w:p>
            <w:pPr>
              <w:pStyle w:val="TableContents"/>
              <w:spacing w:before="0" w:after="0"/>
              <w:ind w:left="0" w:right="0" w:firstLine="30"/>
              <w:rPr/>
            </w:pPr>
            <w:r>
              <w:rPr/>
              <w:t> </w:t>
            </w:r>
          </w:p>
        </w:tc>
        <w:tc>
          <w:tcPr>
            <w:tcW w:w="53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Provided by operating activities</w:t>
            </w:r>
          </w:p>
        </w:tc>
        <w:tc>
          <w:tcPr>
            <w:tcW w:w="90" w:type="dxa"/>
            <w:tcBorders/>
            <w:shd w:fill="auto" w:val="clear"/>
            <w:vAlign w:val="center"/>
          </w:tcPr>
          <w:p>
            <w:pPr>
              <w:pStyle w:val="TableContents"/>
              <w:spacing w:before="0" w:after="0"/>
              <w:ind w:left="0" w:right="0" w:firstLine="30"/>
              <w:rPr/>
            </w:pPr>
            <w:r>
              <w:rPr/>
              <w:t> </w:t>
            </w:r>
          </w:p>
        </w:tc>
        <w:tc>
          <w:tcPr>
            <w:tcW w:w="17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53" w:type="dxa"/>
            <w:tcBorders/>
            <w:shd w:fill="auto" w:val="clear"/>
            <w:vAlign w:val="center"/>
          </w:tcPr>
          <w:p>
            <w:pPr>
              <w:pStyle w:val="TableContents"/>
              <w:spacing w:before="0" w:after="0"/>
              <w:jc w:val="right"/>
              <w:rPr>
                <w:rFonts w:ascii="inherit" w:hAnsi="inherit"/>
                <w:sz w:val="17"/>
              </w:rPr>
            </w:pPr>
            <w:r>
              <w:rPr>
                <w:rFonts w:ascii="inherit" w:hAnsi="inherit"/>
                <w:sz w:val="17"/>
              </w:rPr>
              <w:t>115,642</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7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53" w:type="dxa"/>
            <w:tcBorders/>
            <w:shd w:fill="auto" w:val="clear"/>
            <w:vAlign w:val="center"/>
          </w:tcPr>
          <w:p>
            <w:pPr>
              <w:pStyle w:val="TableContents"/>
              <w:spacing w:before="0" w:after="0"/>
              <w:jc w:val="right"/>
              <w:rPr>
                <w:rFonts w:ascii="inherit" w:hAnsi="inherit"/>
                <w:sz w:val="17"/>
              </w:rPr>
            </w:pPr>
            <w:r>
              <w:rPr>
                <w:rFonts w:ascii="inherit" w:hAnsi="inherit"/>
                <w:sz w:val="17"/>
              </w:rPr>
              <w:t>122,483</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55" w:type="dxa"/>
            <w:tcBorders/>
            <w:shd w:fill="auto" w:val="clear"/>
            <w:vAlign w:val="center"/>
          </w:tcPr>
          <w:p>
            <w:pPr>
              <w:pStyle w:val="TableContents"/>
              <w:spacing w:before="0" w:after="0"/>
              <w:jc w:val="right"/>
              <w:rPr>
                <w:rFonts w:ascii="inherit" w:hAnsi="inherit"/>
                <w:sz w:val="17"/>
              </w:rPr>
            </w:pPr>
            <w:r>
              <w:rPr>
                <w:rFonts w:ascii="inherit" w:hAnsi="inherit"/>
                <w:sz w:val="17"/>
              </w:rPr>
              <w:t>(6,841</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105" w:type="dxa"/>
            <w:tcBorders/>
            <w:shd w:fill="CCEEFF" w:val="clear"/>
            <w:vAlign w:val="center"/>
          </w:tcPr>
          <w:p>
            <w:pPr>
              <w:pStyle w:val="TableContents"/>
              <w:spacing w:before="0" w:after="0"/>
              <w:ind w:left="0" w:right="0" w:firstLine="30"/>
              <w:rPr/>
            </w:pPr>
            <w:r>
              <w:rPr/>
              <w:t> </w:t>
            </w:r>
          </w:p>
        </w:tc>
        <w:tc>
          <w:tcPr>
            <w:tcW w:w="53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Used in investing activities</w:t>
            </w:r>
          </w:p>
        </w:tc>
        <w:tc>
          <w:tcPr>
            <w:tcW w:w="90"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(101,160</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(345</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(100,815</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105" w:type="dxa"/>
            <w:tcBorders/>
            <w:shd w:fill="auto" w:val="clear"/>
            <w:vAlign w:val="center"/>
          </w:tcPr>
          <w:p>
            <w:pPr>
              <w:pStyle w:val="TableContents"/>
              <w:spacing w:before="0" w:after="0"/>
              <w:ind w:left="0" w:right="0" w:firstLine="30"/>
              <w:rPr/>
            </w:pPr>
            <w:r>
              <w:rPr/>
              <w:t> </w:t>
            </w:r>
          </w:p>
        </w:tc>
        <w:tc>
          <w:tcPr>
            <w:tcW w:w="53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Provided by financing activities</w:t>
            </w:r>
          </w:p>
        </w:tc>
        <w:tc>
          <w:tcPr>
            <w:tcW w:w="90" w:type="dxa"/>
            <w:tcBorders/>
            <w:shd w:fill="auto" w:val="clear"/>
            <w:vAlign w:val="center"/>
          </w:tcPr>
          <w:p>
            <w:pPr>
              <w:pStyle w:val="TableContents"/>
              <w:spacing w:before="0" w:after="0"/>
              <w:ind w:left="0" w:right="0" w:firstLine="30"/>
              <w:rPr/>
            </w:pPr>
            <w:r>
              <w:rPr/>
              <w:t> </w:t>
            </w:r>
          </w:p>
        </w:tc>
        <w:tc>
          <w:tcPr>
            <w:tcW w:w="112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9,713</w:t>
            </w:r>
          </w:p>
        </w:tc>
        <w:tc>
          <w:tcPr>
            <w:tcW w:w="1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2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612,479</w:t>
            </w:r>
          </w:p>
        </w:tc>
        <w:tc>
          <w:tcPr>
            <w:tcW w:w="1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8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(602,766</w:t>
            </w:r>
          </w:p>
        </w:tc>
        <w:tc>
          <w:tcPr>
            <w:tcW w:w="12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105" w:type="dxa"/>
            <w:tcBorders/>
            <w:shd w:fill="CCEEFF" w:val="clear"/>
            <w:vAlign w:val="center"/>
          </w:tcPr>
          <w:p>
            <w:pPr>
              <w:pStyle w:val="TableContents"/>
              <w:spacing w:before="0" w:after="0"/>
              <w:ind w:left="0" w:right="0" w:firstLine="30"/>
              <w:rPr/>
            </w:pPr>
            <w:r>
              <w:rPr/>
              <w:t> </w:t>
            </w:r>
          </w:p>
        </w:tc>
        <w:tc>
          <w:tcPr>
            <w:tcW w:w="53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increase in cash, cash equivalents and restricted cash</w:t>
            </w:r>
          </w:p>
        </w:tc>
        <w:tc>
          <w:tcPr>
            <w:tcW w:w="90"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24,195</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734,617</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(710,422</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105" w:type="dxa"/>
            <w:tcBorders/>
            <w:shd w:fill="auto" w:val="clear"/>
            <w:vAlign w:val="center"/>
          </w:tcPr>
          <w:p>
            <w:pPr>
              <w:pStyle w:val="TableContents"/>
              <w:spacing w:before="0" w:after="0"/>
              <w:ind w:left="0" w:right="0" w:firstLine="30"/>
              <w:rPr/>
            </w:pPr>
            <w:r>
              <w:rPr/>
              <w:t> </w:t>
            </w:r>
          </w:p>
        </w:tc>
        <w:tc>
          <w:tcPr>
            <w:tcW w:w="53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 cash equivalents and restricted cash, beginning of period</w:t>
            </w:r>
          </w:p>
        </w:tc>
        <w:tc>
          <w:tcPr>
            <w:tcW w:w="90" w:type="dxa"/>
            <w:tcBorders/>
            <w:shd w:fill="auto" w:val="clear"/>
            <w:vAlign w:val="center"/>
          </w:tcPr>
          <w:p>
            <w:pPr>
              <w:pStyle w:val="TableContents"/>
              <w:spacing w:before="0" w:after="0"/>
              <w:ind w:left="0" w:right="0" w:firstLine="30"/>
              <w:rPr/>
            </w:pPr>
            <w:r>
              <w:rPr/>
              <w:t> </w:t>
            </w:r>
          </w:p>
        </w:tc>
        <w:tc>
          <w:tcPr>
            <w:tcW w:w="112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598,447</w:t>
            </w:r>
          </w:p>
        </w:tc>
        <w:tc>
          <w:tcPr>
            <w:tcW w:w="1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2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197,406</w:t>
            </w:r>
          </w:p>
        </w:tc>
        <w:tc>
          <w:tcPr>
            <w:tcW w:w="1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8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401,041</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05" w:type="dxa"/>
            <w:tcBorders/>
            <w:shd w:fill="CCEEFF" w:val="clear"/>
            <w:vAlign w:val="center"/>
          </w:tcPr>
          <w:p>
            <w:pPr>
              <w:pStyle w:val="TableContents"/>
              <w:spacing w:before="0" w:after="0"/>
              <w:ind w:left="0" w:right="0" w:firstLine="30"/>
              <w:rPr/>
            </w:pPr>
            <w:r>
              <w:rPr/>
              <w:t> </w:t>
            </w:r>
          </w:p>
        </w:tc>
        <w:tc>
          <w:tcPr>
            <w:tcW w:w="53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cash equivalents and restricted cash, end of period</w:t>
            </w:r>
          </w:p>
        </w:tc>
        <w:tc>
          <w:tcPr>
            <w:tcW w:w="90" w:type="dxa"/>
            <w:tcBorders/>
            <w:shd w:fill="CCEEFF" w:val="clear"/>
            <w:vAlign w:val="center"/>
          </w:tcPr>
          <w:p>
            <w:pPr>
              <w:pStyle w:val="TableContents"/>
              <w:spacing w:before="0" w:after="0"/>
              <w:ind w:left="0" w:right="0" w:firstLine="30"/>
              <w:rPr/>
            </w:pPr>
            <w:r>
              <w:rPr/>
              <w:t> </w:t>
            </w:r>
          </w:p>
        </w:tc>
        <w:tc>
          <w:tcPr>
            <w:tcW w:w="17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622,642</w:t>
            </w:r>
          </w:p>
        </w:tc>
        <w:tc>
          <w:tcPr>
            <w:tcW w:w="15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7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932,023</w:t>
            </w:r>
          </w:p>
        </w:tc>
        <w:tc>
          <w:tcPr>
            <w:tcW w:w="15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(309,381</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jc w:val="both"/>
        <w:rPr>
          <w:rFonts w:ascii="inherit" w:hAnsi="inherit"/>
          <w:b/>
          <w:i/>
          <w:sz w:val="17"/>
        </w:rPr>
      </w:pPr>
      <w:r>
        <w:rPr>
          <w:rFonts w:ascii="inherit" w:hAnsi="inherit"/>
          <w:b/>
          <w:i/>
          <w:sz w:val="17"/>
        </w:rPr>
        <w:t>Cash Flows from Operating Activities</w:t>
      </w:r>
    </w:p>
    <w:p>
      <w:pPr>
        <w:pStyle w:val="TextBody"/>
        <w:spacing w:lineRule="auto" w:line="288" w:before="0" w:after="0"/>
        <w:jc w:val="both"/>
        <w:rPr>
          <w:sz w:val="17"/>
        </w:rPr>
      </w:pPr>
      <w:r>
        <w:rPr>
          <w:rFonts w:ascii="inherit" w:hAnsi="inherit"/>
          <w:sz w:val="17"/>
        </w:rPr>
        <w:t>Net cash provided by operating activities decreased $6.8 million</w:t>
      </w:r>
      <w:r>
        <w:rPr>
          <w:sz w:val="17"/>
        </w:rPr>
        <w:t xml:space="preserve"> </w:t>
      </w:r>
      <w:r>
        <w:rPr>
          <w:rFonts w:ascii="inherit" w:hAnsi="inherit"/>
          <w:sz w:val="17"/>
        </w:rPr>
        <w:t>for the three months ended March 31, 2019</w:t>
      </w:r>
      <w:r>
        <w:rPr>
          <w:sz w:val="17"/>
        </w:rPr>
        <w:t xml:space="preserve"> </w:t>
      </w:r>
      <w:r>
        <w:rPr>
          <w:rFonts w:ascii="inherit" w:hAnsi="inherit"/>
          <w:sz w:val="17"/>
        </w:rPr>
        <w:t xml:space="preserve">compared with the three months ended March 31, 2018. The decrease is primarily driven by the prepayment of certain rent in December 2018 related to January 2019, partially offset by increased leasing revenues and the timing in payment of our interest and other accruals as compared to the same period in 2018. </w:t>
      </w:r>
    </w:p>
    <w:p>
      <w:pPr>
        <w:pStyle w:val="TextBody"/>
        <w:spacing w:lineRule="auto" w:line="288" w:before="0" w:after="0"/>
        <w:jc w:val="both"/>
        <w:rPr>
          <w:rFonts w:ascii="inherit" w:hAnsi="inherit"/>
          <w:b/>
          <w:i/>
          <w:sz w:val="17"/>
        </w:rPr>
      </w:pPr>
      <w:r>
        <w:rPr>
          <w:rFonts w:ascii="inherit" w:hAnsi="inherit"/>
          <w:b/>
          <w:i/>
          <w:sz w:val="17"/>
        </w:rPr>
        <w:t>Cash Flows from Investing Activities</w:t>
      </w:r>
    </w:p>
    <w:p>
      <w:pPr>
        <w:pStyle w:val="TextBody"/>
        <w:spacing w:lineRule="auto" w:line="288" w:before="0" w:after="0"/>
        <w:jc w:val="both"/>
        <w:rPr>
          <w:sz w:val="17"/>
        </w:rPr>
      </w:pPr>
      <w:r>
        <w:rPr>
          <w:rFonts w:ascii="inherit" w:hAnsi="inherit"/>
          <w:sz w:val="17"/>
        </w:rPr>
        <w:t>Net cash used in investing activities increased $100.8 million</w:t>
      </w:r>
      <w:r>
        <w:rPr>
          <w:sz w:val="17"/>
        </w:rPr>
        <w:t xml:space="preserve"> </w:t>
      </w:r>
      <w:r>
        <w:rPr>
          <w:rFonts w:ascii="inherit" w:hAnsi="inherit"/>
          <w:sz w:val="17"/>
        </w:rPr>
        <w:t>for the three months ended March 31, 2019</w:t>
      </w:r>
      <w:r>
        <w:rPr>
          <w:sz w:val="17"/>
        </w:rPr>
        <w:t xml:space="preserve"> </w:t>
      </w:r>
      <w:r>
        <w:rPr>
          <w:rFonts w:ascii="inherit" w:hAnsi="inherit"/>
          <w:sz w:val="17"/>
        </w:rPr>
        <w:t>compared with the three months ended March 31, 2018. The increase is primarily driven by the purchase of Margaritaville Resort Casino on January 2, 2019 for $264.5 million, including acquisition costs, which was partially offset by net maturities of short-term investments of $163.0 million during the three months ended March 31, 2019. There was no corresponding or similar activity during the three months ended March 31, 2018.</w:t>
      </w:r>
    </w:p>
    <w:p>
      <w:pPr>
        <w:pStyle w:val="TextBody"/>
        <w:spacing w:lineRule="auto" w:line="288" w:before="0" w:after="0"/>
        <w:jc w:val="both"/>
        <w:rPr>
          <w:rFonts w:ascii="inherit" w:hAnsi="inherit"/>
          <w:b/>
          <w:i/>
          <w:sz w:val="17"/>
        </w:rPr>
      </w:pPr>
      <w:r>
        <w:rPr>
          <w:rFonts w:ascii="inherit" w:hAnsi="inherit"/>
          <w:b/>
          <w:i/>
          <w:sz w:val="17"/>
        </w:rPr>
        <w:t>Cash Flows from Financing Activities</w:t>
      </w:r>
    </w:p>
    <w:p>
      <w:pPr>
        <w:pStyle w:val="TextBody"/>
        <w:spacing w:lineRule="auto" w:line="288" w:before="0" w:after="0"/>
        <w:jc w:val="both"/>
        <w:rPr>
          <w:sz w:val="17"/>
        </w:rPr>
      </w:pPr>
      <w:r>
        <w:rPr>
          <w:rFonts w:ascii="inherit" w:hAnsi="inherit"/>
          <w:sz w:val="17"/>
        </w:rPr>
        <w:t>Net cash provided by financing activities decreased $602.8 million</w:t>
      </w:r>
      <w:r>
        <w:rPr>
          <w:sz w:val="17"/>
        </w:rPr>
        <w:t xml:space="preserve"> </w:t>
      </w:r>
      <w:r>
        <w:rPr>
          <w:rFonts w:ascii="inherit" w:hAnsi="inherit"/>
          <w:sz w:val="17"/>
        </w:rPr>
        <w:t>for the three months ended March 31, 2019</w:t>
      </w:r>
      <w:r>
        <w:rPr>
          <w:sz w:val="17"/>
        </w:rPr>
        <w:t xml:space="preserve"> </w:t>
      </w:r>
      <w:r>
        <w:rPr>
          <w:rFonts w:ascii="inherit" w:hAnsi="inherit"/>
          <w:sz w:val="17"/>
        </w:rPr>
        <w:t>compared with the three months ended March 31, 2018.</w:t>
      </w:r>
    </w:p>
    <w:p>
      <w:pPr>
        <w:pStyle w:val="TextBody"/>
        <w:spacing w:lineRule="auto" w:line="288" w:before="0" w:after="0"/>
        <w:jc w:val="both"/>
        <w:rPr>
          <w:sz w:val="17"/>
        </w:rPr>
      </w:pPr>
      <w:r>
        <w:rPr>
          <w:rFonts w:ascii="inherit" w:hAnsi="inherit"/>
          <w:sz w:val="17"/>
        </w:rPr>
        <w:t>During the three months ended March 31, 2019</w:t>
      </w:r>
      <w:r>
        <w:rPr>
          <w:sz w:val="17"/>
        </w:rPr>
        <w:t xml:space="preserve"> </w:t>
      </w:r>
      <w:r>
        <w:rPr>
          <w:rFonts w:ascii="inherit" w:hAnsi="inherit"/>
          <w:sz w:val="17"/>
        </w:rPr>
        <w:t xml:space="preserve">the primary sources and uses of cash from financing activities included: </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sz w:val="17"/>
              </w:rPr>
            </w:pPr>
            <w:r>
              <w:rPr>
                <w:rFonts w:ascii="inherit" w:hAnsi="inherit"/>
                <w:sz w:val="17"/>
              </w:rPr>
              <w:t>Net proceeds from the offering of an aggregate of $128.1 million</w:t>
            </w:r>
            <w:r>
              <w:rPr>
                <w:sz w:val="17"/>
              </w:rPr>
              <w:t xml:space="preserve"> </w:t>
            </w:r>
            <w:r>
              <w:rPr>
                <w:rFonts w:ascii="inherit" w:hAnsi="inherit"/>
                <w:sz w:val="17"/>
              </w:rPr>
              <w:t>of our common stock pursuant to our at-the-market offering program;</w:t>
            </w:r>
          </w:p>
        </w:tc>
      </w:tr>
    </w:tbl>
    <w:tbl>
      <w:tblPr>
        <w:tblW w:w="5500" w:type="dxa"/>
        <w:jc w:val="left"/>
        <w:tblInd w:w="0" w:type="dxa"/>
        <w:tblCellMar>
          <w:top w:w="0" w:type="dxa"/>
          <w:left w:w="0" w:type="dxa"/>
          <w:bottom w:w="0" w:type="dxa"/>
          <w:right w:w="0" w:type="dxa"/>
        </w:tblCellMar>
      </w:tblPr>
      <w:tblGrid>
        <w:gridCol w:w="485"/>
        <w:gridCol w:w="5015"/>
      </w:tblGrid>
      <w:tr>
        <w:trPr/>
        <w:tc>
          <w:tcPr>
            <w:tcW w:w="485" w:type="dxa"/>
            <w:tcBorders/>
            <w:shd w:fill="auto" w:val="clear"/>
            <w:vAlign w:val="center"/>
          </w:tcPr>
          <w:p>
            <w:pPr>
              <w:pStyle w:val="TableContents"/>
              <w:spacing w:before="0" w:after="283"/>
              <w:rPr>
                <w:sz w:val="4"/>
                <w:szCs w:val="4"/>
              </w:rPr>
            </w:pPr>
            <w:r>
              <w:rPr>
                <w:sz w:val="4"/>
                <w:szCs w:val="4"/>
              </w:rPr>
            </w:r>
          </w:p>
        </w:tc>
        <w:tc>
          <w:tcPr>
            <w:tcW w:w="501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015" w:type="dxa"/>
            <w:tcBorders/>
            <w:shd w:fill="auto" w:val="clear"/>
            <w:vAlign w:val="center"/>
          </w:tcPr>
          <w:p>
            <w:pPr>
              <w:pStyle w:val="TableContents"/>
              <w:spacing w:lineRule="auto" w:line="288" w:before="0" w:after="0"/>
              <w:jc w:val="both"/>
              <w:rPr>
                <w:sz w:val="17"/>
              </w:rPr>
            </w:pPr>
            <w:r>
              <w:rPr>
                <w:rFonts w:ascii="inherit" w:hAnsi="inherit"/>
                <w:sz w:val="17"/>
              </w:rPr>
              <w:t>Distributions of $2.0 million</w:t>
            </w:r>
            <w:r>
              <w:rPr>
                <w:sz w:val="17"/>
              </w:rPr>
              <w:t xml:space="preserve"> </w:t>
            </w:r>
            <w:r>
              <w:rPr>
                <w:rFonts w:ascii="inherit" w:hAnsi="inherit"/>
                <w:sz w:val="17"/>
              </w:rPr>
              <w:t>to non-controlling interests; and</w:t>
            </w:r>
          </w:p>
        </w:tc>
      </w:tr>
    </w:tbl>
    <w:tbl>
      <w:tblPr>
        <w:tblW w:w="3610" w:type="dxa"/>
        <w:jc w:val="left"/>
        <w:tblInd w:w="0" w:type="dxa"/>
        <w:tblCellMar>
          <w:top w:w="0" w:type="dxa"/>
          <w:left w:w="0" w:type="dxa"/>
          <w:bottom w:w="0" w:type="dxa"/>
          <w:right w:w="0" w:type="dxa"/>
        </w:tblCellMar>
      </w:tblPr>
      <w:tblGrid>
        <w:gridCol w:w="485"/>
        <w:gridCol w:w="3125"/>
      </w:tblGrid>
      <w:tr>
        <w:trPr/>
        <w:tc>
          <w:tcPr>
            <w:tcW w:w="485" w:type="dxa"/>
            <w:tcBorders/>
            <w:shd w:fill="auto" w:val="clear"/>
            <w:vAlign w:val="center"/>
          </w:tcPr>
          <w:p>
            <w:pPr>
              <w:pStyle w:val="TableContents"/>
              <w:spacing w:before="0" w:after="283"/>
              <w:rPr>
                <w:sz w:val="4"/>
                <w:szCs w:val="4"/>
              </w:rPr>
            </w:pPr>
            <w:r>
              <w:rPr>
                <w:sz w:val="4"/>
                <w:szCs w:val="4"/>
              </w:rPr>
            </w:r>
          </w:p>
        </w:tc>
        <w:tc>
          <w:tcPr>
            <w:tcW w:w="312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12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Dividend payments of $116.3 million.</w:t>
            </w:r>
          </w:p>
        </w:tc>
      </w:tr>
    </w:tbl>
    <w:p>
      <w:pPr>
        <w:pStyle w:val="TextBody"/>
        <w:spacing w:lineRule="auto" w:line="288" w:before="0" w:after="0"/>
        <w:jc w:val="both"/>
        <w:rPr>
          <w:sz w:val="17"/>
        </w:rPr>
      </w:pPr>
      <w:r>
        <w:rPr>
          <w:rFonts w:ascii="inherit" w:hAnsi="inherit"/>
          <w:sz w:val="17"/>
        </w:rPr>
        <w:t>During the three months ended March 31, 2018</w:t>
      </w:r>
      <w:r>
        <w:rPr>
          <w:sz w:val="17"/>
        </w:rPr>
        <w:t xml:space="preserve"> </w:t>
      </w:r>
      <w:r>
        <w:rPr>
          <w:rFonts w:ascii="inherit" w:hAnsi="inherit"/>
          <w:sz w:val="17"/>
        </w:rPr>
        <w:t xml:space="preserve">the primary sources and uses of cash from financing activities included: </w:t>
      </w:r>
    </w:p>
    <w:tbl>
      <w:tblPr>
        <w:tblW w:w="7585" w:type="dxa"/>
        <w:jc w:val="left"/>
        <w:tblInd w:w="0" w:type="dxa"/>
        <w:tblCellMar>
          <w:top w:w="0" w:type="dxa"/>
          <w:left w:w="0" w:type="dxa"/>
          <w:bottom w:w="0" w:type="dxa"/>
          <w:right w:w="0" w:type="dxa"/>
        </w:tblCellMar>
      </w:tblPr>
      <w:tblGrid>
        <w:gridCol w:w="485"/>
        <w:gridCol w:w="7100"/>
      </w:tblGrid>
      <w:tr>
        <w:trPr/>
        <w:tc>
          <w:tcPr>
            <w:tcW w:w="485" w:type="dxa"/>
            <w:tcBorders/>
            <w:shd w:fill="auto" w:val="clear"/>
            <w:vAlign w:val="center"/>
          </w:tcPr>
          <w:p>
            <w:pPr>
              <w:pStyle w:val="TableContents"/>
              <w:spacing w:before="0" w:after="283"/>
              <w:rPr>
                <w:sz w:val="4"/>
                <w:szCs w:val="4"/>
              </w:rPr>
            </w:pPr>
            <w:r>
              <w:rPr>
                <w:sz w:val="4"/>
                <w:szCs w:val="4"/>
              </w:rPr>
            </w:r>
          </w:p>
        </w:tc>
        <w:tc>
          <w:tcPr>
            <w:tcW w:w="710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7100" w:type="dxa"/>
            <w:tcBorders/>
            <w:shd w:fill="auto" w:val="clear"/>
            <w:vAlign w:val="center"/>
          </w:tcPr>
          <w:p>
            <w:pPr>
              <w:pStyle w:val="TableContents"/>
              <w:spacing w:lineRule="auto" w:line="288" w:before="0" w:after="0"/>
              <w:jc w:val="both"/>
              <w:rPr>
                <w:sz w:val="17"/>
              </w:rPr>
            </w:pPr>
            <w:r>
              <w:rPr>
                <w:rFonts w:ascii="inherit" w:hAnsi="inherit"/>
                <w:sz w:val="17"/>
              </w:rPr>
              <w:t>Net proceeds from our initial public offering of $1,307.1 million</w:t>
            </w:r>
            <w:r>
              <w:rPr>
                <w:sz w:val="17"/>
              </w:rPr>
              <w:t xml:space="preserve"> </w:t>
            </w:r>
            <w:r>
              <w:rPr>
                <w:rFonts w:ascii="inherit" w:hAnsi="inherit"/>
                <w:sz w:val="17"/>
              </w:rPr>
              <w:t>of our common stock;</w:t>
            </w:r>
          </w:p>
        </w:tc>
      </w:tr>
    </w:tbl>
    <w:tbl>
      <w:tblPr>
        <w:tblW w:w="5680" w:type="dxa"/>
        <w:jc w:val="left"/>
        <w:tblInd w:w="0" w:type="dxa"/>
        <w:tblCellMar>
          <w:top w:w="0" w:type="dxa"/>
          <w:left w:w="0" w:type="dxa"/>
          <w:bottom w:w="0" w:type="dxa"/>
          <w:right w:w="0" w:type="dxa"/>
        </w:tblCellMar>
      </w:tblPr>
      <w:tblGrid>
        <w:gridCol w:w="485"/>
        <w:gridCol w:w="5195"/>
      </w:tblGrid>
      <w:tr>
        <w:trPr/>
        <w:tc>
          <w:tcPr>
            <w:tcW w:w="485" w:type="dxa"/>
            <w:tcBorders/>
            <w:shd w:fill="auto" w:val="clear"/>
            <w:vAlign w:val="center"/>
          </w:tcPr>
          <w:p>
            <w:pPr>
              <w:pStyle w:val="TableContents"/>
              <w:spacing w:before="0" w:after="283"/>
              <w:rPr>
                <w:sz w:val="4"/>
                <w:szCs w:val="4"/>
              </w:rPr>
            </w:pPr>
            <w:r>
              <w:rPr>
                <w:sz w:val="4"/>
                <w:szCs w:val="4"/>
              </w:rPr>
            </w:r>
          </w:p>
        </w:tc>
        <w:tc>
          <w:tcPr>
            <w:tcW w:w="519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195" w:type="dxa"/>
            <w:tcBorders/>
            <w:shd w:fill="auto" w:val="clear"/>
            <w:vAlign w:val="center"/>
          </w:tcPr>
          <w:p>
            <w:pPr>
              <w:pStyle w:val="TableContents"/>
              <w:spacing w:lineRule="auto" w:line="288" w:before="0" w:after="0"/>
              <w:jc w:val="both"/>
              <w:rPr>
                <w:sz w:val="17"/>
              </w:rPr>
            </w:pPr>
            <w:r>
              <w:rPr>
                <w:rFonts w:ascii="inherit" w:hAnsi="inherit"/>
                <w:sz w:val="17"/>
              </w:rPr>
              <w:t>Repayment of $300.0 million</w:t>
            </w:r>
            <w:r>
              <w:rPr>
                <w:sz w:val="17"/>
              </w:rPr>
              <w:t xml:space="preserve"> </w:t>
            </w:r>
            <w:r>
              <w:rPr>
                <w:rFonts w:ascii="inherit" w:hAnsi="inherit"/>
                <w:sz w:val="17"/>
              </w:rPr>
              <w:t xml:space="preserve">on our Revolving Credit Facility; </w:t>
            </w:r>
          </w:p>
        </w:tc>
      </w:tr>
    </w:tbl>
    <w:tbl>
      <w:tblPr>
        <w:tblW w:w="5305" w:type="dxa"/>
        <w:jc w:val="left"/>
        <w:tblInd w:w="0" w:type="dxa"/>
        <w:tblCellMar>
          <w:top w:w="0" w:type="dxa"/>
          <w:left w:w="0" w:type="dxa"/>
          <w:bottom w:w="0" w:type="dxa"/>
          <w:right w:w="0" w:type="dxa"/>
        </w:tblCellMar>
      </w:tblPr>
      <w:tblGrid>
        <w:gridCol w:w="485"/>
        <w:gridCol w:w="4820"/>
      </w:tblGrid>
      <w:tr>
        <w:trPr/>
        <w:tc>
          <w:tcPr>
            <w:tcW w:w="485" w:type="dxa"/>
            <w:tcBorders/>
            <w:shd w:fill="auto" w:val="clear"/>
            <w:vAlign w:val="center"/>
          </w:tcPr>
          <w:p>
            <w:pPr>
              <w:pStyle w:val="TableContents"/>
              <w:spacing w:before="0" w:after="283"/>
              <w:rPr>
                <w:sz w:val="4"/>
                <w:szCs w:val="4"/>
              </w:rPr>
            </w:pPr>
            <w:r>
              <w:rPr>
                <w:sz w:val="4"/>
                <w:szCs w:val="4"/>
              </w:rPr>
            </w:r>
          </w:p>
        </w:tc>
        <w:tc>
          <w:tcPr>
            <w:tcW w:w="48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820" w:type="dxa"/>
            <w:tcBorders/>
            <w:shd w:fill="auto" w:val="clear"/>
            <w:vAlign w:val="center"/>
          </w:tcPr>
          <w:p>
            <w:pPr>
              <w:pStyle w:val="TableContents"/>
              <w:spacing w:lineRule="auto" w:line="288" w:before="0" w:after="0"/>
              <w:jc w:val="both"/>
              <w:rPr>
                <w:sz w:val="17"/>
              </w:rPr>
            </w:pPr>
            <w:r>
              <w:rPr>
                <w:rFonts w:ascii="inherit" w:hAnsi="inherit"/>
                <w:sz w:val="17"/>
              </w:rPr>
              <w:t>Repayment of $100.0 million</w:t>
            </w:r>
            <w:r>
              <w:rPr>
                <w:sz w:val="17"/>
              </w:rPr>
              <w:t xml:space="preserve"> </w:t>
            </w:r>
            <w:r>
              <w:rPr>
                <w:rFonts w:ascii="inherit" w:hAnsi="inherit"/>
                <w:sz w:val="17"/>
              </w:rPr>
              <w:t>on our Term Loan B Facility;</w:t>
            </w:r>
          </w:p>
        </w:tc>
      </w:tr>
    </w:tbl>
    <w:tbl>
      <w:tblPr>
        <w:tblW w:w="8065" w:type="dxa"/>
        <w:jc w:val="left"/>
        <w:tblInd w:w="0" w:type="dxa"/>
        <w:tblCellMar>
          <w:top w:w="0" w:type="dxa"/>
          <w:left w:w="0" w:type="dxa"/>
          <w:bottom w:w="0" w:type="dxa"/>
          <w:right w:w="0" w:type="dxa"/>
        </w:tblCellMar>
      </w:tblPr>
      <w:tblGrid>
        <w:gridCol w:w="485"/>
        <w:gridCol w:w="7580"/>
      </w:tblGrid>
      <w:tr>
        <w:trPr/>
        <w:tc>
          <w:tcPr>
            <w:tcW w:w="485" w:type="dxa"/>
            <w:tcBorders/>
            <w:shd w:fill="auto" w:val="clear"/>
            <w:vAlign w:val="center"/>
          </w:tcPr>
          <w:p>
            <w:pPr>
              <w:pStyle w:val="TableContents"/>
              <w:spacing w:before="0" w:after="283"/>
              <w:rPr>
                <w:sz w:val="4"/>
                <w:szCs w:val="4"/>
              </w:rPr>
            </w:pPr>
            <w:r>
              <w:rPr>
                <w:sz w:val="4"/>
                <w:szCs w:val="4"/>
              </w:rPr>
            </w:r>
          </w:p>
        </w:tc>
        <w:tc>
          <w:tcPr>
            <w:tcW w:w="758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7580" w:type="dxa"/>
            <w:tcBorders/>
            <w:shd w:fill="auto" w:val="clear"/>
            <w:vAlign w:val="center"/>
          </w:tcPr>
          <w:p>
            <w:pPr>
              <w:pStyle w:val="TableContents"/>
              <w:spacing w:lineRule="auto" w:line="288" w:before="0" w:after="0"/>
              <w:jc w:val="both"/>
              <w:rPr>
                <w:sz w:val="17"/>
              </w:rPr>
            </w:pPr>
            <w:r>
              <w:rPr>
                <w:rFonts w:ascii="inherit" w:hAnsi="inherit"/>
                <w:sz w:val="17"/>
              </w:rPr>
              <w:t>Redemption of $290.1 million</w:t>
            </w:r>
            <w:r>
              <w:rPr>
                <w:sz w:val="17"/>
              </w:rPr>
              <w:t xml:space="preserve"> </w:t>
            </w:r>
            <w:r>
              <w:rPr>
                <w:rFonts w:ascii="inherit" w:hAnsi="inherit"/>
                <w:sz w:val="17"/>
              </w:rPr>
              <w:t>in aggregate principal amount of our Second Lien Notes; and</w:t>
            </w:r>
          </w:p>
        </w:tc>
      </w:tr>
    </w:tbl>
    <w:tbl>
      <w:tblPr>
        <w:tblW w:w="5125" w:type="dxa"/>
        <w:jc w:val="left"/>
        <w:tblInd w:w="0" w:type="dxa"/>
        <w:tblCellMar>
          <w:top w:w="0" w:type="dxa"/>
          <w:left w:w="0" w:type="dxa"/>
          <w:bottom w:w="0" w:type="dxa"/>
          <w:right w:w="0" w:type="dxa"/>
        </w:tblCellMar>
      </w:tblPr>
      <w:tblGrid>
        <w:gridCol w:w="485"/>
        <w:gridCol w:w="4640"/>
      </w:tblGrid>
      <w:tr>
        <w:trPr/>
        <w:tc>
          <w:tcPr>
            <w:tcW w:w="485" w:type="dxa"/>
            <w:tcBorders/>
            <w:shd w:fill="auto" w:val="clear"/>
            <w:vAlign w:val="center"/>
          </w:tcPr>
          <w:p>
            <w:pPr>
              <w:pStyle w:val="TableContents"/>
              <w:spacing w:before="0" w:after="283"/>
              <w:rPr>
                <w:sz w:val="4"/>
                <w:szCs w:val="4"/>
              </w:rPr>
            </w:pPr>
            <w:r>
              <w:rPr>
                <w:sz w:val="4"/>
                <w:szCs w:val="4"/>
              </w:rPr>
            </w:r>
          </w:p>
        </w:tc>
        <w:tc>
          <w:tcPr>
            <w:tcW w:w="464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640" w:type="dxa"/>
            <w:tcBorders/>
            <w:shd w:fill="auto" w:val="clear"/>
            <w:vAlign w:val="center"/>
          </w:tcPr>
          <w:p>
            <w:pPr>
              <w:pStyle w:val="TableContents"/>
              <w:spacing w:lineRule="auto" w:line="288" w:before="0" w:after="0"/>
              <w:jc w:val="both"/>
              <w:rPr>
                <w:sz w:val="17"/>
              </w:rPr>
            </w:pPr>
            <w:r>
              <w:rPr>
                <w:rFonts w:ascii="inherit" w:hAnsi="inherit"/>
                <w:sz w:val="17"/>
              </w:rPr>
              <w:t>Distributions of $3.9 million</w:t>
            </w:r>
            <w:r>
              <w:rPr>
                <w:sz w:val="17"/>
              </w:rPr>
              <w:t xml:space="preserve"> </w:t>
            </w:r>
            <w:r>
              <w:rPr>
                <w:rFonts w:ascii="inherit" w:hAnsi="inherit"/>
                <w:sz w:val="17"/>
              </w:rPr>
              <w:t>to non-controlling interests.</w:t>
            </w:r>
          </w:p>
        </w:tc>
      </w:tr>
    </w:tbl>
    <w:p>
      <w:pPr>
        <w:pStyle w:val="TextBody"/>
        <w:spacing w:lineRule="auto" w:line="288" w:before="0" w:after="0"/>
        <w:jc w:val="left"/>
        <w:rPr>
          <w:rFonts w:ascii="inherit" w:hAnsi="inherit"/>
          <w:b/>
          <w:i/>
          <w:sz w:val="17"/>
        </w:rPr>
      </w:pPr>
      <w:r>
        <w:rPr>
          <w:rFonts w:ascii="inherit" w:hAnsi="inherit"/>
          <w:b/>
          <w:i/>
          <w:sz w:val="17"/>
        </w:rPr>
        <w:t>Capital Expenditures</w:t>
      </w:r>
    </w:p>
    <w:p>
      <w:pPr>
        <w:pStyle w:val="TextBody"/>
        <w:spacing w:lineRule="auto" w:line="288" w:before="0" w:after="0"/>
        <w:jc w:val="both"/>
        <w:rPr>
          <w:rFonts w:ascii="inherit" w:hAnsi="inherit"/>
          <w:sz w:val="17"/>
        </w:rPr>
      </w:pPr>
      <w:r>
        <w:rPr>
          <w:rFonts w:ascii="inherit" w:hAnsi="inherit"/>
          <w:sz w:val="17"/>
        </w:rPr>
        <w:t xml:space="preserve">As described in our leases, capital expenditures for properties under our Lease Agreements are the responsibility of Caesars and Penn National, as applicable. Refer to Note 5 - Real Estate Portfolio in our Consolidated Financial Statements for further information of the obligations of our tenants under the Lease Agreements. </w:t>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36</w:t>
      </w:r>
      <w:r>
        <w:br w:type="page"/>
      </w:r>
    </w:p>
    <w:p>
      <w:pPr>
        <w:pStyle w:val="TextBody"/>
        <w:spacing w:lineRule="auto" w:line="288" w:before="0" w:after="0"/>
        <w:jc w:val="both"/>
        <w:rPr/>
      </w:pPr>
      <w:hyperlink w:anchor="s7181E430E8A9506B896277AC8CF177C4">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b/>
          <w:sz w:val="18"/>
        </w:rPr>
      </w:pPr>
      <w:r>
        <w:rPr>
          <w:rFonts w:ascii="inherit" w:hAnsi="inherit"/>
          <w:b/>
          <w:sz w:val="18"/>
        </w:rPr>
        <w:t>Debt</w:t>
      </w:r>
    </w:p>
    <w:p>
      <w:pPr>
        <w:pStyle w:val="TextBody"/>
        <w:spacing w:lineRule="auto" w:line="288" w:before="0" w:after="0"/>
        <w:jc w:val="both"/>
        <w:rPr>
          <w:rFonts w:ascii="inherit" w:hAnsi="inherit"/>
          <w:b/>
          <w:i/>
          <w:sz w:val="17"/>
        </w:rPr>
      </w:pPr>
      <w:r>
        <w:rPr>
          <w:rFonts w:ascii="inherit" w:hAnsi="inherit"/>
          <w:b/>
          <w:i/>
          <w:sz w:val="17"/>
        </w:rPr>
        <w:t>Activity During 2019</w:t>
      </w:r>
    </w:p>
    <w:p>
      <w:pPr>
        <w:pStyle w:val="TextBody"/>
        <w:spacing w:lineRule="auto" w:line="288" w:before="0" w:after="0"/>
        <w:jc w:val="both"/>
        <w:rPr>
          <w:rFonts w:ascii="inherit" w:hAnsi="inherit"/>
          <w:sz w:val="17"/>
        </w:rPr>
      </w:pPr>
      <w:r>
        <w:rPr>
          <w:rFonts w:ascii="inherit" w:hAnsi="inherit"/>
          <w:sz w:val="17"/>
        </w:rPr>
        <w:t>On January 3, 2019, we entered into two additional interest rate swap transactions having an aggregate notional amount of $500.0 million. These interest rate swap transactions each have an effective date of January 22, 2019 and a termination date of January 22, 2021 and are intended to be cash flow hedges that effectively fix, for two years, the LIBOR component of the interest rate on $500.0 million of the outstanding debt under the Term Loan B Facility at a blended rate of 2.38%. Subsequent to the effectiveness and for the duration of the interest rate swap transactions, we are only subject to interest rate risk on $100.0 million of variable rate debt.</w:t>
      </w:r>
    </w:p>
    <w:p>
      <w:pPr>
        <w:pStyle w:val="TextBody"/>
        <w:spacing w:lineRule="auto" w:line="288" w:before="0" w:after="0"/>
        <w:jc w:val="left"/>
        <w:rPr>
          <w:rFonts w:ascii="inherit" w:hAnsi="inherit"/>
          <w:b/>
          <w:i/>
          <w:sz w:val="17"/>
        </w:rPr>
      </w:pPr>
      <w:r>
        <w:rPr>
          <w:rFonts w:ascii="inherit" w:hAnsi="inherit"/>
          <w:b/>
          <w:i/>
          <w:sz w:val="17"/>
        </w:rPr>
        <w:t>Covenants</w:t>
      </w:r>
    </w:p>
    <w:p>
      <w:pPr>
        <w:pStyle w:val="TextBody"/>
        <w:spacing w:lineRule="auto" w:line="288" w:before="0" w:after="0"/>
        <w:jc w:val="both"/>
        <w:rPr>
          <w:rFonts w:ascii="inherit" w:hAnsi="inherit"/>
          <w:sz w:val="17"/>
        </w:rPr>
      </w:pPr>
      <w:r>
        <w:rPr>
          <w:rFonts w:ascii="inherit" w:hAnsi="inherit"/>
          <w:sz w:val="17"/>
        </w:rPr>
        <w:t>Our debt obligations are subject to certain customary financial and protective covenants that restrict our ability to incur additional debt, sell certain asset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 At March 31, 2019, we were in compliance with all debt-related covenants.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sz w:val="18"/>
        </w:rPr>
      </w:pPr>
      <w:r>
        <w:rPr>
          <w:rFonts w:ascii="inherit" w:hAnsi="inherit"/>
          <w:b/>
          <w:sz w:val="18"/>
        </w:rPr>
        <w:t>Distribution Policy</w:t>
      </w:r>
    </w:p>
    <w:p>
      <w:pPr>
        <w:pStyle w:val="TextBody"/>
        <w:spacing w:lineRule="auto" w:line="288" w:before="0" w:after="0"/>
        <w:jc w:val="left"/>
        <w:rPr>
          <w:sz w:val="17"/>
        </w:rPr>
      </w:pPr>
      <w:r>
        <w:rPr>
          <w:rFonts w:ascii="inherit" w:hAnsi="inherit"/>
          <w:sz w:val="17"/>
        </w:rPr>
        <w:t>We intend to make regular quarterly distributions to holders of shares of our common stock. Dividends declared (on a per share basis) during the three months ended March 31, 2019 and 2018</w:t>
      </w:r>
      <w:r>
        <w:rPr>
          <w:sz w:val="17"/>
        </w:rPr>
        <w:t xml:space="preserve"> </w:t>
      </w:r>
      <w:r>
        <w:rPr>
          <w:rFonts w:ascii="inherit" w:hAnsi="inherit"/>
          <w:sz w:val="17"/>
        </w:rPr>
        <w:t>were as follows:</w:t>
      </w:r>
    </w:p>
    <w:tbl>
      <w:tblPr>
        <w:tblW w:w="5310" w:type="dxa"/>
        <w:jc w:val="center"/>
        <w:tblInd w:w="0" w:type="dxa"/>
        <w:tblCellMar>
          <w:top w:w="0" w:type="dxa"/>
          <w:left w:w="0" w:type="dxa"/>
          <w:bottom w:w="0" w:type="dxa"/>
          <w:right w:w="0" w:type="dxa"/>
        </w:tblCellMar>
      </w:tblPr>
      <w:tblGrid>
        <w:gridCol w:w="1550"/>
        <w:gridCol w:w="90"/>
        <w:gridCol w:w="2780"/>
        <w:gridCol w:w="90"/>
        <w:gridCol w:w="131"/>
        <w:gridCol w:w="621"/>
        <w:gridCol w:w="48"/>
      </w:tblGrid>
      <w:tr>
        <w:trPr/>
        <w:tc>
          <w:tcPr>
            <w:tcW w:w="5310" w:type="dxa"/>
            <w:gridSpan w:val="7"/>
            <w:tcBorders/>
            <w:shd w:fill="auto" w:val="clear"/>
            <w:vAlign w:val="center"/>
          </w:tcPr>
          <w:p>
            <w:pPr>
              <w:pStyle w:val="TableContents"/>
              <w:spacing w:before="0" w:after="283"/>
              <w:rPr>
                <w:sz w:val="4"/>
                <w:szCs w:val="4"/>
              </w:rPr>
            </w:pPr>
            <w:r>
              <w:rPr>
                <w:sz w:val="4"/>
                <w:szCs w:val="4"/>
              </w:rPr>
            </w:r>
          </w:p>
        </w:tc>
      </w:tr>
      <w:tr>
        <w:trPr/>
        <w:tc>
          <w:tcPr>
            <w:tcW w:w="155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78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4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31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Three Months Ended March 31, 2019</w:t>
            </w:r>
          </w:p>
        </w:tc>
      </w:tr>
      <w:tr>
        <w:trPr/>
        <w:tc>
          <w:tcPr>
            <w:tcW w:w="155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Declaration Date</w:t>
            </w:r>
          </w:p>
        </w:tc>
        <w:tc>
          <w:tcPr>
            <w:tcW w:w="90" w:type="dxa"/>
            <w:tcBorders/>
            <w:shd w:fill="auto" w:val="clear"/>
            <w:vAlign w:val="center"/>
          </w:tcPr>
          <w:p>
            <w:pPr>
              <w:pStyle w:val="TableContents"/>
              <w:spacing w:before="0" w:after="0"/>
              <w:ind w:left="0" w:right="0" w:firstLine="30"/>
              <w:rPr/>
            </w:pPr>
            <w:r>
              <w:rPr/>
              <w:t> </w:t>
            </w:r>
          </w:p>
        </w:tc>
        <w:tc>
          <w:tcPr>
            <w:tcW w:w="278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Period</w:t>
            </w:r>
          </w:p>
        </w:tc>
        <w:tc>
          <w:tcPr>
            <w:tcW w:w="90" w:type="dxa"/>
            <w:tcBorders/>
            <w:shd w:fill="auto" w:val="clear"/>
            <w:vAlign w:val="center"/>
          </w:tcPr>
          <w:p>
            <w:pPr>
              <w:pStyle w:val="TableContents"/>
              <w:spacing w:before="0" w:after="0"/>
              <w:ind w:left="0" w:right="0" w:firstLine="30"/>
              <w:rPr/>
            </w:pPr>
            <w:r>
              <w:rPr/>
              <w:t> </w:t>
            </w:r>
          </w:p>
        </w:tc>
        <w:tc>
          <w:tcPr>
            <w:tcW w:w="80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Dividend</w:t>
            </w:r>
          </w:p>
        </w:tc>
      </w:tr>
      <w:tr>
        <w:trPr/>
        <w:tc>
          <w:tcPr>
            <w:tcW w:w="1550" w:type="dxa"/>
            <w:tcBorders/>
            <w:shd w:fill="CCEEFF" w:val="clear"/>
            <w:vAlign w:val="center"/>
          </w:tcPr>
          <w:p>
            <w:pPr>
              <w:pStyle w:val="TableContents"/>
              <w:spacing w:lineRule="auto" w:line="288" w:before="0" w:after="0"/>
              <w:ind w:left="0" w:right="0" w:firstLine="30"/>
              <w:jc w:val="center"/>
              <w:rPr>
                <w:sz w:val="17"/>
              </w:rPr>
            </w:pPr>
            <w:r>
              <w:rPr>
                <w:rFonts w:ascii="inherit" w:hAnsi="inherit"/>
                <w:sz w:val="17"/>
              </w:rPr>
              <w:t xml:space="preserve">March 14, 2019 </w:t>
            </w:r>
            <w:r>
              <w:rPr>
                <w:rFonts w:ascii="inherit" w:hAnsi="inherit"/>
                <w:i/>
                <w:sz w:val="12"/>
              </w:rPr>
              <w:t>(1)</w:t>
            </w:r>
          </w:p>
        </w:tc>
        <w:tc>
          <w:tcPr>
            <w:tcW w:w="90" w:type="dxa"/>
            <w:tcBorders/>
            <w:shd w:fill="CCEEFF" w:val="clear"/>
            <w:vAlign w:val="center"/>
          </w:tcPr>
          <w:p>
            <w:pPr>
              <w:pStyle w:val="TableContents"/>
              <w:spacing w:before="0" w:after="0"/>
              <w:ind w:left="0" w:right="0" w:firstLine="30"/>
              <w:rPr/>
            </w:pPr>
            <w:r>
              <w:rPr/>
              <w:t> </w:t>
            </w:r>
          </w:p>
        </w:tc>
        <w:tc>
          <w:tcPr>
            <w:tcW w:w="2780"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January 1, 2019 - March 31, 2019</w:t>
            </w:r>
          </w:p>
        </w:tc>
        <w:tc>
          <w:tcPr>
            <w:tcW w:w="90" w:type="dxa"/>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21" w:type="dxa"/>
            <w:tcBorders/>
            <w:shd w:fill="CCEEFF" w:val="clear"/>
            <w:vAlign w:val="center"/>
          </w:tcPr>
          <w:p>
            <w:pPr>
              <w:pStyle w:val="TableContents"/>
              <w:spacing w:before="0" w:after="0"/>
              <w:jc w:val="right"/>
              <w:rPr>
                <w:rFonts w:ascii="inherit" w:hAnsi="inherit"/>
                <w:sz w:val="17"/>
              </w:rPr>
            </w:pPr>
            <w:r>
              <w:rPr>
                <w:rFonts w:ascii="inherit" w:hAnsi="inherit"/>
                <w:sz w:val="17"/>
              </w:rPr>
              <w:t>0.2875</w:t>
            </w:r>
          </w:p>
        </w:tc>
        <w:tc>
          <w:tcPr>
            <w:tcW w:w="48"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tbl>
      <w:tblPr>
        <w:tblW w:w="5430" w:type="dxa"/>
        <w:jc w:val="center"/>
        <w:tblInd w:w="0" w:type="dxa"/>
        <w:tblCellMar>
          <w:top w:w="0" w:type="dxa"/>
          <w:left w:w="0" w:type="dxa"/>
          <w:bottom w:w="0" w:type="dxa"/>
          <w:right w:w="0" w:type="dxa"/>
        </w:tblCellMar>
      </w:tblPr>
      <w:tblGrid>
        <w:gridCol w:w="1550"/>
        <w:gridCol w:w="90"/>
        <w:gridCol w:w="2900"/>
        <w:gridCol w:w="90"/>
        <w:gridCol w:w="181"/>
        <w:gridCol w:w="552"/>
        <w:gridCol w:w="67"/>
      </w:tblGrid>
      <w:tr>
        <w:trPr/>
        <w:tc>
          <w:tcPr>
            <w:tcW w:w="5430" w:type="dxa"/>
            <w:gridSpan w:val="7"/>
            <w:tcBorders/>
            <w:shd w:fill="auto" w:val="clear"/>
            <w:vAlign w:val="center"/>
          </w:tcPr>
          <w:p>
            <w:pPr>
              <w:pStyle w:val="TableContents"/>
              <w:spacing w:before="0" w:after="283"/>
              <w:rPr>
                <w:sz w:val="4"/>
                <w:szCs w:val="4"/>
              </w:rPr>
            </w:pPr>
            <w:r>
              <w:rPr>
                <w:sz w:val="4"/>
                <w:szCs w:val="4"/>
              </w:rPr>
            </w:r>
          </w:p>
        </w:tc>
      </w:tr>
      <w:tr>
        <w:trPr/>
        <w:tc>
          <w:tcPr>
            <w:tcW w:w="155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43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Three Months Ended March 31, 2018</w:t>
            </w:r>
          </w:p>
        </w:tc>
      </w:tr>
      <w:tr>
        <w:trPr/>
        <w:tc>
          <w:tcPr>
            <w:tcW w:w="155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Declaration Date</w:t>
            </w:r>
          </w:p>
        </w:tc>
        <w:tc>
          <w:tcPr>
            <w:tcW w:w="90" w:type="dxa"/>
            <w:tcBorders/>
            <w:shd w:fill="auto" w:val="clear"/>
            <w:vAlign w:val="center"/>
          </w:tcPr>
          <w:p>
            <w:pPr>
              <w:pStyle w:val="TableContents"/>
              <w:spacing w:before="0" w:after="0"/>
              <w:ind w:left="0" w:right="0" w:firstLine="30"/>
              <w:rPr/>
            </w:pPr>
            <w:r>
              <w:rPr/>
              <w:t> </w:t>
            </w:r>
          </w:p>
        </w:tc>
        <w:tc>
          <w:tcPr>
            <w:tcW w:w="290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Period</w:t>
            </w:r>
          </w:p>
        </w:tc>
        <w:tc>
          <w:tcPr>
            <w:tcW w:w="90" w:type="dxa"/>
            <w:tcBorders/>
            <w:shd w:fill="auto" w:val="clear"/>
            <w:vAlign w:val="center"/>
          </w:tcPr>
          <w:p>
            <w:pPr>
              <w:pStyle w:val="TableContents"/>
              <w:spacing w:before="0" w:after="0"/>
              <w:ind w:left="0" w:right="0" w:firstLine="30"/>
              <w:rPr/>
            </w:pPr>
            <w:r>
              <w:rPr/>
              <w:t> </w:t>
            </w:r>
          </w:p>
        </w:tc>
        <w:tc>
          <w:tcPr>
            <w:tcW w:w="80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Dividend</w:t>
            </w:r>
          </w:p>
        </w:tc>
      </w:tr>
      <w:tr>
        <w:trPr/>
        <w:tc>
          <w:tcPr>
            <w:tcW w:w="1550" w:type="dxa"/>
            <w:tcBorders/>
            <w:shd w:fill="CCEEFF" w:val="clear"/>
            <w:vAlign w:val="center"/>
          </w:tcPr>
          <w:p>
            <w:pPr>
              <w:pStyle w:val="TableContents"/>
              <w:spacing w:lineRule="auto" w:line="288" w:before="0" w:after="0"/>
              <w:ind w:left="0" w:right="0" w:firstLine="30"/>
              <w:jc w:val="center"/>
              <w:rPr>
                <w:sz w:val="17"/>
              </w:rPr>
            </w:pPr>
            <w:r>
              <w:rPr>
                <w:rFonts w:ascii="inherit" w:hAnsi="inherit"/>
                <w:sz w:val="17"/>
              </w:rPr>
              <w:t xml:space="preserve">March 15, 2018 </w:t>
            </w:r>
            <w:r>
              <w:rPr>
                <w:rFonts w:ascii="inherit" w:hAnsi="inherit"/>
                <w:i/>
                <w:sz w:val="12"/>
              </w:rPr>
              <w:t>(2)</w:t>
            </w:r>
          </w:p>
        </w:tc>
        <w:tc>
          <w:tcPr>
            <w:tcW w:w="90" w:type="dxa"/>
            <w:tcBorders/>
            <w:shd w:fill="CCEEFF" w:val="clear"/>
            <w:vAlign w:val="center"/>
          </w:tcPr>
          <w:p>
            <w:pPr>
              <w:pStyle w:val="TableContents"/>
              <w:spacing w:before="0" w:after="0"/>
              <w:ind w:left="0" w:right="0" w:firstLine="30"/>
              <w:rPr/>
            </w:pPr>
            <w:r>
              <w:rPr/>
              <w:t> </w:t>
            </w:r>
          </w:p>
        </w:tc>
        <w:tc>
          <w:tcPr>
            <w:tcW w:w="2900"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February 5, 2018 - March 31, 2018</w:t>
            </w:r>
          </w:p>
        </w:tc>
        <w:tc>
          <w:tcPr>
            <w:tcW w:w="90" w:type="dxa"/>
            <w:tcBorders/>
            <w:shd w:fill="CCEEFF" w:val="clear"/>
            <w:vAlign w:val="center"/>
          </w:tcPr>
          <w:p>
            <w:pPr>
              <w:pStyle w:val="TableContents"/>
              <w:spacing w:before="0" w:after="0"/>
              <w:ind w:left="0" w:right="0" w:firstLine="30"/>
              <w:rPr/>
            </w:pPr>
            <w:r>
              <w:rPr/>
              <w:t> </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52" w:type="dxa"/>
            <w:tcBorders/>
            <w:shd w:fill="CCEEFF" w:val="clear"/>
            <w:vAlign w:val="center"/>
          </w:tcPr>
          <w:p>
            <w:pPr>
              <w:pStyle w:val="TableContents"/>
              <w:spacing w:before="0" w:after="0"/>
              <w:jc w:val="right"/>
              <w:rPr>
                <w:rFonts w:ascii="inherit" w:hAnsi="inherit"/>
                <w:sz w:val="17"/>
              </w:rPr>
            </w:pPr>
            <w:r>
              <w:rPr>
                <w:rFonts w:ascii="inherit" w:hAnsi="inherit"/>
                <w:sz w:val="17"/>
              </w:rPr>
              <w:t>0.16</w:t>
            </w:r>
          </w:p>
        </w:tc>
        <w:tc>
          <w:tcPr>
            <w:tcW w:w="67"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____________________</w:t>
      </w:r>
    </w:p>
    <w:tbl>
      <w:tblPr>
        <w:tblW w:w="8365" w:type="dxa"/>
        <w:jc w:val="left"/>
        <w:tblInd w:w="0" w:type="dxa"/>
        <w:tblCellMar>
          <w:top w:w="0" w:type="dxa"/>
          <w:left w:w="0" w:type="dxa"/>
          <w:bottom w:w="0" w:type="dxa"/>
          <w:right w:w="0" w:type="dxa"/>
        </w:tblCellMar>
      </w:tblPr>
      <w:tblGrid>
        <w:gridCol w:w="245"/>
        <w:gridCol w:w="8120"/>
      </w:tblGrid>
      <w:tr>
        <w:trPr/>
        <w:tc>
          <w:tcPr>
            <w:tcW w:w="245" w:type="dxa"/>
            <w:tcBorders/>
            <w:shd w:fill="auto" w:val="clear"/>
            <w:vAlign w:val="center"/>
          </w:tcPr>
          <w:p>
            <w:pPr>
              <w:pStyle w:val="TableContents"/>
              <w:spacing w:before="0" w:after="283"/>
              <w:rPr>
                <w:sz w:val="4"/>
                <w:szCs w:val="4"/>
              </w:rPr>
            </w:pPr>
            <w:r>
              <w:rPr>
                <w:sz w:val="4"/>
                <w:szCs w:val="4"/>
              </w:rPr>
            </w:r>
          </w:p>
        </w:tc>
        <w:tc>
          <w:tcPr>
            <w:tcW w:w="812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i/>
                <w:sz w:val="13"/>
              </w:rPr>
            </w:pPr>
            <w:r>
              <w:rPr>
                <w:rFonts w:ascii="inherit" w:hAnsi="inherit"/>
                <w:i/>
                <w:sz w:val="13"/>
              </w:rPr>
              <w:t>(1)</w:t>
            </w:r>
          </w:p>
        </w:tc>
        <w:tc>
          <w:tcPr>
            <w:tcW w:w="8120" w:type="dxa"/>
            <w:tcBorders/>
            <w:shd w:fill="auto" w:val="clear"/>
            <w:vAlign w:val="center"/>
          </w:tcPr>
          <w:p>
            <w:pPr>
              <w:pStyle w:val="TableContents"/>
              <w:spacing w:lineRule="auto" w:line="288" w:before="0" w:after="0"/>
              <w:jc w:val="both"/>
              <w:rPr>
                <w:rFonts w:ascii="inherit" w:hAnsi="inherit"/>
                <w:i/>
                <w:sz w:val="13"/>
              </w:rPr>
            </w:pPr>
            <w:r>
              <w:rPr>
                <w:rFonts w:ascii="inherit" w:hAnsi="inherit"/>
                <w:i/>
                <w:sz w:val="13"/>
              </w:rPr>
              <w:t>The dividend was paid on April 11, 2019 to stockholders of record as of the close of business on March 29, 2019.</w:t>
            </w:r>
          </w:p>
        </w:tc>
      </w:tr>
    </w:tbl>
    <w:tbl>
      <w:tblPr>
        <w:tblW w:w="10205" w:type="dxa"/>
        <w:jc w:val="left"/>
        <w:tblInd w:w="0" w:type="dxa"/>
        <w:tblCellMar>
          <w:top w:w="0" w:type="dxa"/>
          <w:left w:w="0" w:type="dxa"/>
          <w:bottom w:w="0" w:type="dxa"/>
          <w:right w:w="0" w:type="dxa"/>
        </w:tblCellMar>
      </w:tblPr>
      <w:tblGrid>
        <w:gridCol w:w="210"/>
        <w:gridCol w:w="9995"/>
      </w:tblGrid>
      <w:tr>
        <w:trPr/>
        <w:tc>
          <w:tcPr>
            <w:tcW w:w="210" w:type="dxa"/>
            <w:tcBorders/>
            <w:shd w:fill="auto" w:val="clear"/>
            <w:vAlign w:val="center"/>
          </w:tcPr>
          <w:p>
            <w:pPr>
              <w:pStyle w:val="TableContents"/>
              <w:spacing w:before="0" w:after="283"/>
              <w:rPr>
                <w:sz w:val="4"/>
                <w:szCs w:val="4"/>
              </w:rPr>
            </w:pPr>
            <w:r>
              <w:rPr>
                <w:sz w:val="4"/>
                <w:szCs w:val="4"/>
              </w:rPr>
            </w:r>
          </w:p>
        </w:tc>
        <w:tc>
          <w:tcPr>
            <w:tcW w:w="9995" w:type="dxa"/>
            <w:tcBorders/>
            <w:shd w:fill="auto" w:val="clear"/>
            <w:vAlign w:val="center"/>
          </w:tcPr>
          <w:p>
            <w:pPr>
              <w:pStyle w:val="TableContents"/>
              <w:spacing w:before="0" w:after="283"/>
              <w:rPr>
                <w:sz w:val="4"/>
                <w:szCs w:val="4"/>
              </w:rPr>
            </w:pPr>
            <w:r>
              <w:rPr>
                <w:sz w:val="4"/>
                <w:szCs w:val="4"/>
              </w:rPr>
            </w:r>
          </w:p>
        </w:tc>
      </w:tr>
      <w:tr>
        <w:trPr/>
        <w:tc>
          <w:tcPr>
            <w:tcW w:w="210" w:type="dxa"/>
            <w:tcBorders/>
            <w:shd w:fill="auto" w:val="clear"/>
            <w:vAlign w:val="center"/>
          </w:tcPr>
          <w:p>
            <w:pPr>
              <w:pStyle w:val="TableContents"/>
              <w:spacing w:lineRule="auto" w:line="288" w:before="0" w:after="0"/>
              <w:ind w:left="0" w:right="0" w:hanging="0"/>
              <w:rPr>
                <w:rFonts w:ascii="inherit" w:hAnsi="inherit"/>
                <w:i/>
                <w:sz w:val="13"/>
              </w:rPr>
            </w:pPr>
            <w:r>
              <w:rPr>
                <w:rFonts w:ascii="inherit" w:hAnsi="inherit"/>
                <w:i/>
                <w:sz w:val="13"/>
              </w:rPr>
              <w:t>(2)</w:t>
            </w:r>
          </w:p>
        </w:tc>
        <w:tc>
          <w:tcPr>
            <w:tcW w:w="9995" w:type="dxa"/>
            <w:tcBorders/>
            <w:shd w:fill="auto" w:val="clear"/>
            <w:vAlign w:val="center"/>
          </w:tcPr>
          <w:p>
            <w:pPr>
              <w:pStyle w:val="TableContents"/>
              <w:spacing w:lineRule="auto" w:line="288" w:before="0" w:after="0"/>
              <w:jc w:val="both"/>
              <w:rPr>
                <w:sz w:val="13"/>
              </w:rPr>
            </w:pPr>
            <w:r>
              <w:rPr>
                <w:rFonts w:ascii="inherit" w:hAnsi="inherit"/>
                <w:i/>
                <w:sz w:val="13"/>
              </w:rPr>
              <w:t>The dividend was pro-rated for the period commencing upon the closing of our initial public offering and ending on March 31, 2018, based on a quarterly distribution rate of $0.2625</w:t>
            </w:r>
            <w:r>
              <w:rPr>
                <w:sz w:val="13"/>
              </w:rPr>
              <w:t xml:space="preserve"> </w:t>
            </w:r>
            <w:r>
              <w:rPr>
                <w:rFonts w:ascii="inherit" w:hAnsi="inherit"/>
                <w:i/>
                <w:sz w:val="13"/>
              </w:rPr>
              <w:t>per share. The dividend was paid on April 13, 2018 to stockholders of record as of the close of business on March 29, 2018.</w:t>
            </w:r>
          </w:p>
        </w:tc>
      </w:tr>
    </w:tbl>
    <w:p>
      <w:pPr>
        <w:pStyle w:val="TextBody"/>
        <w:spacing w:lineRule="auto" w:line="288" w:before="0" w:after="0"/>
        <w:jc w:val="both"/>
        <w:rPr>
          <w:rFonts w:ascii="inherit" w:hAnsi="inherit"/>
          <w:sz w:val="17"/>
        </w:rPr>
      </w:pPr>
      <w:r>
        <w:rPr>
          <w:rFonts w:ascii="inherit" w:hAnsi="inherit"/>
          <w:sz w:val="17"/>
        </w:rPr>
        <w:t>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In addition, a REIT will be required to pay a 4% nondeductible excise tax on the amount, if any, by which the distributions it makes in a calendar year are less than the sum of 85% of its ordinary income, 95% of its capital gain net income and 100% of its undistributed income from prior years.</w:t>
      </w:r>
    </w:p>
    <w:p>
      <w:pPr>
        <w:pStyle w:val="TextBody"/>
        <w:spacing w:lineRule="auto" w:line="288" w:before="0" w:after="0"/>
        <w:jc w:val="both"/>
        <w:rPr>
          <w:rFonts w:ascii="inherit" w:hAnsi="inherit"/>
          <w:sz w:val="17"/>
        </w:rPr>
      </w:pPr>
      <w:r>
        <w:rPr>
          <w:rFonts w:ascii="inherit" w:hAnsi="inherit"/>
          <w:sz w:val="17"/>
        </w:rPr>
        <w:t>We intend to continue to make distributions to our stockholders to comply with the REIT requirements of the Code and to avoid or otherwise minimize paying entity level federal income or excise tax (other than at any TRS of ours). We may generate taxable income greater than our income for financial reporting purposes prepared in accordance with GAAP. In particular, during the first several years of our current leases, rental income will be allocated for tax purposes generally in an amount greater than cash rents. Further, we may generate REIT taxable income greater than our cash flow from operations after operating expenses and debt service as a result of differences in timing between the recognition of REIT taxable income and the actual receipt of cash or the effect of nondeductible capital expenditures, the creation of reserves or required debt or amortization payments.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37</w:t>
      </w:r>
      <w:r>
        <w:br w:type="page"/>
      </w:r>
    </w:p>
    <w:p>
      <w:pPr>
        <w:pStyle w:val="TextBody"/>
        <w:spacing w:lineRule="auto" w:line="288" w:before="0" w:after="0"/>
        <w:jc w:val="both"/>
        <w:rPr/>
      </w:pPr>
      <w:hyperlink w:anchor="s7181E430E8A9506B896277AC8CF177C4">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both"/>
        <w:rPr>
          <w:rFonts w:ascii="inherit" w:hAnsi="inherit"/>
          <w:b/>
          <w:sz w:val="18"/>
        </w:rPr>
      </w:pPr>
      <w:r>
        <w:rPr>
          <w:rFonts w:ascii="inherit" w:hAnsi="inherit"/>
          <w:b/>
          <w:sz w:val="18"/>
        </w:rPr>
        <w:t>Critical Accounting Policies and Estimates</w:t>
      </w:r>
    </w:p>
    <w:p>
      <w:pPr>
        <w:pStyle w:val="TextBody"/>
        <w:spacing w:lineRule="auto" w:line="288" w:before="0" w:after="0"/>
        <w:jc w:val="both"/>
        <w:rPr>
          <w:rFonts w:ascii="inherit" w:hAnsi="inherit"/>
          <w:sz w:val="17"/>
        </w:rPr>
      </w:pPr>
      <w:r>
        <w:rPr>
          <w:rFonts w:ascii="inherit" w:hAnsi="inherit"/>
          <w:sz w:val="17"/>
        </w:rPr>
        <w:t>A complete discussion of our critical accounting policies and estimates is included in our Form 10-K for the period ended December 31, 2018. On January 1, 2019 we adopted ASC 842, resulting in a significant change in our accounting policies.</w:t>
      </w:r>
    </w:p>
    <w:p>
      <w:pPr>
        <w:pStyle w:val="TextBody"/>
        <w:spacing w:lineRule="auto" w:line="288" w:before="0" w:after="0"/>
        <w:jc w:val="both"/>
        <w:rPr>
          <w:rFonts w:ascii="inherit" w:hAnsi="inherit"/>
          <w:b/>
          <w:i/>
          <w:sz w:val="17"/>
        </w:rPr>
      </w:pPr>
      <w:r>
        <w:rPr>
          <w:rFonts w:ascii="inherit" w:hAnsi="inherit"/>
          <w:b/>
          <w:i/>
          <w:sz w:val="17"/>
        </w:rPr>
        <w:t>Investments in Direct Financing and Sales-Type Leases, Net</w:t>
      </w:r>
    </w:p>
    <w:p>
      <w:pPr>
        <w:pStyle w:val="TextBody"/>
        <w:spacing w:lineRule="auto" w:line="288" w:before="0" w:after="0"/>
        <w:jc w:val="both"/>
        <w:rPr>
          <w:rFonts w:ascii="inherit" w:hAnsi="inherit"/>
          <w:sz w:val="17"/>
        </w:rPr>
      </w:pPr>
      <w:r>
        <w:rPr>
          <w:rFonts w:ascii="inherit" w:hAnsi="inherit"/>
          <w:sz w:val="17"/>
        </w:rPr>
        <w:t xml:space="preserve">We account for our investments in leases under ASC 842 “Leases” (“ASC 842”), which we adopted on January 1, 2019. Upon lease inception or lease modification, we assess lease classification to determine whether the lease should be classified as a direct financing, sales-type or operating lease. As required by ASC 842, we separately assess the land and building components of the property to determine the classification of each component, unless the impact of doing so is immaterial. If the lease component is determined to be a direct financing or sales-type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upon execution of the lease or deferred and recognized over the life of the lease, depending on the classification of the lease. Due to the nature of our assets, the net investment in the lease is generally equal to the purchase price of the asset, and the land and building components of an investment generally have the same lease classification. </w:t>
      </w:r>
    </w:p>
    <w:p>
      <w:pPr>
        <w:pStyle w:val="TextBody"/>
        <w:spacing w:lineRule="auto" w:line="288" w:before="0" w:after="0"/>
        <w:jc w:val="both"/>
        <w:rPr>
          <w:rFonts w:ascii="inherit" w:hAnsi="inherit"/>
          <w:sz w:val="17"/>
        </w:rPr>
      </w:pPr>
      <w:r>
        <w:rPr>
          <w:rFonts w:ascii="inherit" w:hAnsi="inherit"/>
          <w:sz w:val="17"/>
        </w:rPr>
        <w:t xml:space="preserve">For leases determined to be sales-type leases, we further assess to determine whether the transaction is considered a sale leaseback transaction. If we determine that the lease meets the definition for a sale leaseback transaction, the lease is considered a financing receivable and is recognized in accordance with ASC 310 “Receivables” (“ASC 310”). We currently do not have any lease investments that are accounted for as financing receivables under ASC 310. </w:t>
      </w:r>
    </w:p>
    <w:p>
      <w:pPr>
        <w:pStyle w:val="TextBody"/>
        <w:spacing w:lineRule="auto" w:line="288" w:before="0" w:after="0"/>
        <w:jc w:val="both"/>
        <w:rPr>
          <w:rFonts w:ascii="inherit" w:hAnsi="inherit"/>
          <w:sz w:val="17"/>
        </w:rPr>
      </w:pPr>
      <w:r>
        <w:rPr>
          <w:rFonts w:ascii="inherit" w:hAnsi="inherit"/>
          <w:sz w:val="17"/>
        </w:rPr>
        <w:t>Upon adoption of ASC 842, we made an accounting policy election to use a package of practical expedients that, among other things, allow us to not reassess prior lease classifications or initial direct costs for leases that existed as of the balance sheet date. As such, we have not reassessed the classification of our Caesars Lease Agreements, as these leases existed prior to our adoption of ASC 842.</w:t>
      </w:r>
    </w:p>
    <w:p>
      <w:pPr>
        <w:pStyle w:val="TextBody"/>
        <w:spacing w:lineRule="auto" w:line="288" w:before="0" w:after="0"/>
        <w:jc w:val="both"/>
        <w:rPr>
          <w:rFonts w:ascii="inherit" w:hAnsi="inherit"/>
          <w:sz w:val="17"/>
        </w:rPr>
      </w:pPr>
      <w:r>
        <w:rPr>
          <w:rFonts w:ascii="inherit" w:hAnsi="inherit"/>
          <w:sz w:val="17"/>
        </w:rPr>
        <w:t>We determined that the land and building components of the Margaritaville Lease Agreement meet the definition of a sales-type lease. The Caesars Lease Agreements continue to be accounted for as direct financing leases and are included within Investments in direct financing and sales-type leases on the Balance Sheet, with the exception of the land component of Caesars Palace Las Vegas which was determined to be an operating lease and is included in Investments in operating leases on the Balance Sheet. The income recognition for our direct financing leases recognized under ASC 840 is consistent with the income recognition for our sales-type lease under ASC 842.</w:t>
      </w:r>
    </w:p>
    <w:p>
      <w:pPr>
        <w:pStyle w:val="TextBody"/>
        <w:spacing w:lineRule="auto" w:line="288" w:before="0" w:after="0"/>
        <w:jc w:val="both"/>
        <w:rPr>
          <w:rFonts w:ascii="inherit" w:hAnsi="inherit"/>
          <w:b/>
          <w:i/>
          <w:sz w:val="17"/>
        </w:rPr>
      </w:pPr>
      <w:r>
        <w:rPr>
          <w:rFonts w:ascii="inherit" w:hAnsi="inherit"/>
          <w:b/>
          <w:i/>
          <w:sz w:val="17"/>
        </w:rPr>
        <w:t>Income from Leases</w:t>
      </w:r>
    </w:p>
    <w:p>
      <w:pPr>
        <w:pStyle w:val="TextBody"/>
        <w:spacing w:lineRule="auto" w:line="288" w:before="0" w:after="0"/>
        <w:jc w:val="both"/>
        <w:rPr>
          <w:rFonts w:ascii="inherit" w:hAnsi="inherit"/>
          <w:sz w:val="17"/>
        </w:rPr>
      </w:pPr>
      <w:r>
        <w:rPr>
          <w:rFonts w:ascii="inherit" w:hAnsi="inherit"/>
          <w:sz w:val="17"/>
        </w:rPr>
        <w:t xml:space="preserve">We recognize the related income from our direct financing and sales-type leases on an effective interest basis at a constant rate of return over the terms of the applicable leases. As a result, the cash payments accounted for under direct financing and sales-type leases will not equal income from our Lease Agreements. Rather, a portion of the cash rent we receive is recorded as Income from direct financing and sales-type leases in our Statement of Operations and a portion is recorded as a change to Investments in direct financing and sales-type leases, net. </w:t>
      </w:r>
    </w:p>
    <w:p>
      <w:pPr>
        <w:pStyle w:val="TextBody"/>
        <w:spacing w:lineRule="auto" w:line="288" w:before="0" w:after="0"/>
        <w:jc w:val="both"/>
        <w:rPr>
          <w:rFonts w:ascii="inherit" w:hAnsi="inherit"/>
          <w:sz w:val="17"/>
        </w:rPr>
      </w:pPr>
      <w:r>
        <w:rPr>
          <w:rFonts w:ascii="inherit" w:hAnsi="inherit"/>
          <w:sz w:val="17"/>
        </w:rPr>
        <w:t xml:space="preserve">Under ASC 840, we determined that the land component of Caesars Palace Las Vegas was greater than 25% of the overall fair value of the combined land and building components. At lease inception the land was determined to be an operating lease and we record the related income on a straight-line basis over the lease term. The amount of annual minimum lease payments attributable to the land element after deducting executory costs, including any profit thereon, is determined by applying the lessee’s incremental borrowing rate to the value of the land. Revenue from this lease is recorded as Income from operating leases in our Statement of Operations. </w:t>
      </w:r>
    </w:p>
    <w:p>
      <w:pPr>
        <w:pStyle w:val="TextBody"/>
        <w:spacing w:lineRule="auto" w:line="288" w:before="0" w:after="0"/>
        <w:jc w:val="both"/>
        <w:rPr>
          <w:rFonts w:ascii="inherit" w:hAnsi="inherit"/>
          <w:sz w:val="17"/>
        </w:rPr>
      </w:pPr>
      <w:r>
        <w:rPr>
          <w:rFonts w:ascii="inherit" w:hAnsi="inherit"/>
          <w:sz w:val="17"/>
        </w:rPr>
        <w:t>Initial direct costs incurred in connection with entering into lease agreements are included in the balance of the net investment in lease. In relation to direct financing and sales-type leases,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38</w:t>
      </w:r>
      <w:r>
        <w:br w:type="page"/>
      </w:r>
    </w:p>
    <w:p>
      <w:pPr>
        <w:pStyle w:val="TextBody"/>
        <w:spacing w:lineRule="auto" w:line="288" w:before="0" w:after="0"/>
        <w:jc w:val="both"/>
        <w:rPr/>
      </w:pPr>
      <w:hyperlink w:anchor="s7181E430E8A9506B896277AC8CF177C4">
        <w:bookmarkStart w:id="29" w:name="s540C68A133595C0987BFB381FB2AAF3A"/>
        <w:bookmarkEnd w:id="29"/>
        <w:r>
          <w:rPr>
            <w:rStyle w:val="InternetLink"/>
            <w:rFonts w:ascii="inherit" w:hAnsi="inherit"/>
            <w:sz w:val="17"/>
          </w:rPr>
          <w:t>Table of Contents</w:t>
        </w:r>
      </w:hyperlink>
    </w:p>
    <w:p>
      <w:pPr>
        <w:pStyle w:val="TextBody"/>
        <w:spacing w:before="0" w:after="0"/>
        <w:rPr/>
      </w:pPr>
      <w:r>
        <w:rPr/>
      </w:r>
    </w:p>
    <w:tbl>
      <w:tblPr>
        <w:tblW w:w="7765" w:type="dxa"/>
        <w:jc w:val="left"/>
        <w:tblInd w:w="0" w:type="dxa"/>
        <w:tblCellMar>
          <w:top w:w="0" w:type="dxa"/>
          <w:left w:w="0" w:type="dxa"/>
          <w:bottom w:w="0" w:type="dxa"/>
          <w:right w:w="0" w:type="dxa"/>
        </w:tblCellMar>
      </w:tblPr>
      <w:tblGrid>
        <w:gridCol w:w="1190"/>
        <w:gridCol w:w="6575"/>
      </w:tblGrid>
      <w:tr>
        <w:trPr/>
        <w:tc>
          <w:tcPr>
            <w:tcW w:w="1190" w:type="dxa"/>
            <w:tcBorders/>
            <w:shd w:fill="auto" w:val="clear"/>
            <w:vAlign w:val="center"/>
          </w:tcPr>
          <w:p>
            <w:pPr>
              <w:pStyle w:val="TableContents"/>
              <w:spacing w:before="0" w:after="283"/>
              <w:rPr>
                <w:sz w:val="4"/>
                <w:szCs w:val="4"/>
              </w:rPr>
            </w:pPr>
            <w:r>
              <w:rPr>
                <w:sz w:val="4"/>
                <w:szCs w:val="4"/>
              </w:rPr>
            </w:r>
          </w:p>
        </w:tc>
        <w:tc>
          <w:tcPr>
            <w:tcW w:w="6575" w:type="dxa"/>
            <w:tcBorders/>
            <w:shd w:fill="auto" w:val="clear"/>
            <w:vAlign w:val="center"/>
          </w:tcPr>
          <w:p>
            <w:pPr>
              <w:pStyle w:val="TableContents"/>
              <w:spacing w:before="0" w:after="283"/>
              <w:rPr>
                <w:sz w:val="4"/>
                <w:szCs w:val="4"/>
              </w:rPr>
            </w:pPr>
            <w:r>
              <w:rPr>
                <w:sz w:val="4"/>
                <w:szCs w:val="4"/>
              </w:rPr>
            </w:r>
          </w:p>
        </w:tc>
      </w:tr>
      <w:tr>
        <w:trPr/>
        <w:tc>
          <w:tcPr>
            <w:tcW w:w="1190" w:type="dxa"/>
            <w:tcBorders/>
            <w:shd w:fill="auto" w:val="clear"/>
            <w:vAlign w:val="center"/>
          </w:tcPr>
          <w:p>
            <w:pPr>
              <w:pStyle w:val="TableContents"/>
              <w:spacing w:lineRule="auto" w:line="288" w:before="0" w:after="0"/>
              <w:ind w:left="0" w:right="0" w:firstLine="360"/>
              <w:rPr>
                <w:rFonts w:ascii="inherit" w:hAnsi="inherit"/>
                <w:b/>
                <w:sz w:val="20"/>
              </w:rPr>
            </w:pPr>
            <w:r>
              <w:rPr>
                <w:rFonts w:ascii="inherit" w:hAnsi="inherit"/>
                <w:b/>
                <w:sz w:val="20"/>
              </w:rPr>
              <w:t>Item 3.</w:t>
            </w:r>
          </w:p>
        </w:tc>
        <w:tc>
          <w:tcPr>
            <w:tcW w:w="6575" w:type="dxa"/>
            <w:tcBorders/>
            <w:shd w:fill="auto" w:val="clear"/>
            <w:vAlign w:val="center"/>
          </w:tcPr>
          <w:p>
            <w:pPr>
              <w:pStyle w:val="TableContents"/>
              <w:spacing w:lineRule="auto" w:line="288" w:before="0" w:after="0"/>
              <w:ind w:left="0" w:right="0" w:hanging="360"/>
              <w:jc w:val="both"/>
              <w:rPr>
                <w:rFonts w:ascii="inherit" w:hAnsi="inherit"/>
                <w:b/>
                <w:sz w:val="20"/>
              </w:rPr>
            </w:pPr>
            <w:r>
              <w:rPr>
                <w:rFonts w:ascii="inherit" w:hAnsi="inherit"/>
                <w:b/>
                <w:sz w:val="20"/>
              </w:rPr>
              <w:t>Quantitative and Qualitative Disclosures About Market Risk</w:t>
            </w:r>
          </w:p>
        </w:tc>
      </w:tr>
    </w:tbl>
    <w:p>
      <w:pPr>
        <w:pStyle w:val="TextBody"/>
        <w:spacing w:lineRule="auto" w:line="288" w:before="0" w:after="0"/>
        <w:jc w:val="both"/>
        <w:rPr>
          <w:rFonts w:ascii="inherit" w:hAnsi="inherit"/>
          <w:sz w:val="17"/>
        </w:rPr>
      </w:pPr>
      <w:r>
        <w:rPr>
          <w:rFonts w:ascii="inherit" w:hAnsi="inherit"/>
          <w:sz w:val="17"/>
        </w:rPr>
        <w:t xml:space="preserve">We face market risk exposure in the form of interest rate risk. This market risk arises from our debt obligations. Our primary market risk exposure is interest rate risk with respect to our indebtedness. </w:t>
      </w:r>
    </w:p>
    <w:p>
      <w:pPr>
        <w:pStyle w:val="TextBody"/>
        <w:spacing w:lineRule="auto" w:line="288" w:before="0" w:after="0"/>
        <w:jc w:val="both"/>
        <w:rPr>
          <w:sz w:val="17"/>
        </w:rPr>
      </w:pPr>
      <w:r>
        <w:rPr>
          <w:rFonts w:ascii="inherit" w:hAnsi="inherit"/>
          <w:sz w:val="17"/>
        </w:rPr>
        <w:t>At March 31, 2019, we had $4.1 billion</w:t>
      </w:r>
      <w:r>
        <w:rPr>
          <w:sz w:val="17"/>
        </w:rPr>
        <w:t xml:space="preserve"> </w:t>
      </w:r>
      <w:r>
        <w:rPr>
          <w:rFonts w:ascii="inherit" w:hAnsi="inherit"/>
          <w:sz w:val="17"/>
        </w:rPr>
        <w:t>aggregate principal amount of outstanding indebtedness. Approximately $2.1 billion</w:t>
      </w:r>
      <w:r>
        <w:rPr>
          <w:sz w:val="17"/>
        </w:rPr>
        <w:t xml:space="preserve"> </w:t>
      </w:r>
      <w:r>
        <w:rPr>
          <w:rFonts w:ascii="inherit" w:hAnsi="inherit"/>
          <w:sz w:val="17"/>
        </w:rPr>
        <w:t xml:space="preserve">of our indebtedness has variable interest rates. We manage most of our interest rate risks related to variable rate borrowings by means of interest rate swap agreements. However, the REIT provisions of the Code substantially limit our ability to hedge our assets and liabilities. We expect to manage our exposure to interest rate risk by maintaining a mix of fixed and variable rates for our indebtedness. </w:t>
      </w:r>
    </w:p>
    <w:p>
      <w:pPr>
        <w:pStyle w:val="TextBody"/>
        <w:spacing w:lineRule="auto" w:line="288" w:before="0" w:after="0"/>
        <w:jc w:val="both"/>
        <w:rPr>
          <w:sz w:val="17"/>
        </w:rPr>
      </w:pPr>
      <w:r>
        <w:rPr>
          <w:rFonts w:ascii="inherit" w:hAnsi="inherit"/>
          <w:sz w:val="17"/>
        </w:rPr>
        <w:t>At March 31, 2019, we had entered into interest rate swap agreements that hedge $2.0 billion</w:t>
      </w:r>
      <w:r>
        <w:rPr>
          <w:sz w:val="17"/>
        </w:rPr>
        <w:t xml:space="preserve"> </w:t>
      </w:r>
      <w:r>
        <w:rPr>
          <w:rFonts w:ascii="inherit" w:hAnsi="inherit"/>
          <w:sz w:val="17"/>
        </w:rPr>
        <w:t>of our variable rate debt. Accordingly, we have approximately $100.0 million</w:t>
      </w:r>
      <w:r>
        <w:rPr>
          <w:sz w:val="17"/>
        </w:rPr>
        <w:t xml:space="preserve"> </w:t>
      </w:r>
      <w:r>
        <w:rPr>
          <w:rFonts w:ascii="inherit" w:hAnsi="inherit"/>
          <w:sz w:val="17"/>
        </w:rPr>
        <w:t>in variable rate debt that is not hedged. A one percent increase or decrease in the interest rate on our variable-rate borrowings that are not hedged would increase or decrease our annual cash interest expense by approximately $1.0 million.</w:t>
      </w:r>
    </w:p>
    <w:p>
      <w:pPr>
        <w:pStyle w:val="TextBody"/>
        <w:spacing w:lineRule="auto" w:line="288" w:before="0" w:after="0"/>
        <w:jc w:val="left"/>
        <w:rPr>
          <w:rFonts w:ascii="inherit" w:hAnsi="inherit"/>
          <w:b/>
          <w:sz w:val="20"/>
        </w:rPr>
      </w:pPr>
      <w:bookmarkStart w:id="30" w:name="s4CD8BF3CD0585DEDA23A1276BFA4CA99"/>
      <w:bookmarkEnd w:id="30"/>
      <w:r>
        <w:rPr>
          <w:rFonts w:ascii="inherit" w:hAnsi="inherit"/>
          <w:b/>
          <w:sz w:val="20"/>
        </w:rPr>
        <w:t>Item 4.        Controls and Procedures</w:t>
      </w:r>
    </w:p>
    <w:p>
      <w:pPr>
        <w:pStyle w:val="TextBody"/>
        <w:spacing w:lineRule="auto" w:line="288" w:before="0" w:after="0"/>
        <w:jc w:val="both"/>
        <w:rPr>
          <w:rFonts w:ascii="inherit" w:hAnsi="inherit"/>
          <w:b/>
          <w:i/>
          <w:sz w:val="17"/>
        </w:rPr>
      </w:pPr>
      <w:r>
        <w:rPr>
          <w:rFonts w:ascii="inherit" w:hAnsi="inherit"/>
          <w:b/>
          <w:i/>
          <w:sz w:val="17"/>
        </w:rPr>
        <w:t>Evaluation of Disclosure Controls and Procedures</w:t>
      </w:r>
    </w:p>
    <w:p>
      <w:pPr>
        <w:pStyle w:val="TextBody"/>
        <w:spacing w:lineRule="auto" w:line="288" w:before="0" w:after="0"/>
        <w:jc w:val="both"/>
        <w:rPr>
          <w:rFonts w:ascii="inherit" w:hAnsi="inherit"/>
          <w:sz w:val="17"/>
        </w:rPr>
      </w:pPr>
      <w:r>
        <w:rPr>
          <w:rFonts w:ascii="inherit" w:hAnsi="inherit"/>
          <w:sz w:val="17"/>
        </w:rPr>
        <w:t>We maintain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is accumulated and communicated to our management, including our principal executive officer and principal financial officer, as appropriate, to allow timely decisions regarding required disclosure.</w:t>
      </w:r>
    </w:p>
    <w:p>
      <w:pPr>
        <w:pStyle w:val="TextBody"/>
        <w:spacing w:lineRule="auto" w:line="288" w:before="0" w:after="0"/>
        <w:jc w:val="both"/>
        <w:rPr>
          <w:rFonts w:ascii="inherit" w:hAnsi="inherit"/>
          <w:sz w:val="17"/>
        </w:rPr>
      </w:pPr>
      <w:r>
        <w:rPr>
          <w:rFonts w:ascii="inherit" w:hAnsi="inherit"/>
          <w:sz w:val="17"/>
        </w:rPr>
        <w:t>Our management has evaluated, under the supervision and with the participation of our principal executive officer and principal financial officer, the effectiveness of our disclosure controls and procedures pursuant to Exchange Act Rule 13a-15(e) as of the end of the period covered by this report. Based upon this evaluation, our principal executive officer and principal financial officer concluded that our disclosure controls and procedures were effective as of the end of the period covered by this report.</w:t>
      </w:r>
    </w:p>
    <w:p>
      <w:pPr>
        <w:pStyle w:val="TextBody"/>
        <w:spacing w:lineRule="auto" w:line="288" w:before="0" w:after="0"/>
        <w:jc w:val="both"/>
        <w:rPr>
          <w:rFonts w:ascii="inherit" w:hAnsi="inherit"/>
          <w:b/>
          <w:i/>
          <w:sz w:val="17"/>
        </w:rPr>
      </w:pPr>
      <w:r>
        <w:rPr>
          <w:rFonts w:ascii="inherit" w:hAnsi="inherit"/>
          <w:b/>
          <w:i/>
          <w:sz w:val="17"/>
        </w:rPr>
        <w:t>Changes in Internal Control Over Financial Reporting</w:t>
      </w:r>
    </w:p>
    <w:p>
      <w:pPr>
        <w:pStyle w:val="TextBody"/>
        <w:spacing w:lineRule="auto" w:line="288" w:before="0" w:after="0"/>
        <w:jc w:val="both"/>
        <w:rPr>
          <w:rFonts w:ascii="inherit" w:hAnsi="inherit"/>
          <w:sz w:val="17"/>
        </w:rPr>
      </w:pPr>
      <w:r>
        <w:rPr>
          <w:rFonts w:ascii="inherit" w:hAnsi="inherit"/>
          <w:sz w:val="17"/>
        </w:rPr>
        <w:t>There have been no changes in our internal control over financial reporting (as defined in Rules 13a-15(f) and 15d-15(f) under the Exchange Act) that occurred during the three months ended March 31, 2019, that have materially affected, or are reasonably likely to materially affect, our internal control over financial reporting.</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39</w:t>
      </w:r>
      <w:r>
        <w:br w:type="page"/>
      </w:r>
    </w:p>
    <w:p>
      <w:pPr>
        <w:pStyle w:val="TextBody"/>
        <w:spacing w:lineRule="auto" w:line="288" w:before="0" w:after="0"/>
        <w:jc w:val="both"/>
        <w:rPr/>
      </w:pPr>
      <w:hyperlink w:anchor="s7181E430E8A9506B896277AC8CF177C4">
        <w:bookmarkStart w:id="31" w:name="s3BD2387EE0B953C897D37BE4796C32D2"/>
        <w:bookmarkEnd w:id="31"/>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left"/>
        <w:rPr>
          <w:rFonts w:ascii="inherit" w:hAnsi="inherit"/>
          <w:b/>
          <w:sz w:val="20"/>
        </w:rPr>
      </w:pPr>
      <w:r>
        <w:rPr>
          <w:rFonts w:ascii="inherit" w:hAnsi="inherit"/>
          <w:b/>
          <w:sz w:val="20"/>
        </w:rPr>
        <w:t>PART II.    OTHER INFORMATION</w:t>
      </w:r>
    </w:p>
    <w:p>
      <w:pPr>
        <w:pStyle w:val="TextBody"/>
        <w:spacing w:lineRule="auto" w:line="288" w:before="0" w:after="0"/>
        <w:jc w:val="both"/>
        <w:rPr>
          <w:rFonts w:ascii="inherit" w:hAnsi="inherit"/>
          <w:b/>
          <w:sz w:val="20"/>
        </w:rPr>
      </w:pPr>
      <w:bookmarkStart w:id="32" w:name="s15BDC5DDCE745A2180EE0FB48B59B311"/>
      <w:bookmarkEnd w:id="32"/>
      <w:r>
        <w:rPr>
          <w:rFonts w:ascii="inherit" w:hAnsi="inherit"/>
          <w:b/>
          <w:sz w:val="20"/>
        </w:rPr>
        <w:t>Item 1.        Legal Proceedings</w:t>
      </w:r>
    </w:p>
    <w:p>
      <w:pPr>
        <w:pStyle w:val="TextBody"/>
        <w:spacing w:lineRule="auto" w:line="288" w:before="0" w:after="0"/>
        <w:jc w:val="both"/>
        <w:rPr>
          <w:rFonts w:ascii="inherit" w:hAnsi="inherit"/>
          <w:sz w:val="17"/>
        </w:rPr>
      </w:pPr>
      <w:r>
        <w:rPr>
          <w:rFonts w:ascii="inherit" w:hAnsi="inherit"/>
          <w:sz w:val="17"/>
        </w:rPr>
        <w:t>In the ordinary course of business, from time to time, we may be subject to legal claims and administrative proceedings. As of March 31, 2019, we are not subject to any litigation that we believe could have, individually or in the aggregate, a material adverse effect on our business, financial condition or results of operations, liquidity or cash flows.</w:t>
      </w:r>
    </w:p>
    <w:p>
      <w:pPr>
        <w:pStyle w:val="Normal"/>
        <w:spacing w:before="0" w:after="0"/>
        <w:rPr>
          <w:sz w:val="4"/>
          <w:szCs w:val="4"/>
        </w:rPr>
      </w:pPr>
      <w:r>
        <w:rPr>
          <w:sz w:val="4"/>
          <w:szCs w:val="4"/>
        </w:rPr>
      </w:r>
      <w:bookmarkStart w:id="33" w:name="sCF9E2D91686F5AF0A82E53E5F07A1BD7"/>
      <w:bookmarkStart w:id="34" w:name="sCF9E2D91686F5AF0A82E53E5F07A1BD7"/>
      <w:bookmarkEnd w:id="34"/>
    </w:p>
    <w:tbl>
      <w:tblPr>
        <w:tblW w:w="2380" w:type="dxa"/>
        <w:jc w:val="left"/>
        <w:tblInd w:w="0" w:type="dxa"/>
        <w:tblCellMar>
          <w:top w:w="0" w:type="dxa"/>
          <w:left w:w="0" w:type="dxa"/>
          <w:bottom w:w="0" w:type="dxa"/>
          <w:right w:w="0" w:type="dxa"/>
        </w:tblCellMar>
      </w:tblPr>
      <w:tblGrid>
        <w:gridCol w:w="980"/>
        <w:gridCol w:w="1400"/>
      </w:tblGrid>
      <w:tr>
        <w:trPr/>
        <w:tc>
          <w:tcPr>
            <w:tcW w:w="98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r>
      <w:tr>
        <w:trPr/>
        <w:tc>
          <w:tcPr>
            <w:tcW w:w="980" w:type="dxa"/>
            <w:tcBorders/>
            <w:shd w:fill="auto" w:val="clear"/>
            <w:vAlign w:val="center"/>
          </w:tcPr>
          <w:p>
            <w:pPr>
              <w:pStyle w:val="TableContents"/>
              <w:spacing w:lineRule="auto" w:line="288" w:before="0" w:after="0"/>
              <w:ind w:left="0" w:right="0" w:hanging="0"/>
              <w:rPr>
                <w:rFonts w:ascii="inherit" w:hAnsi="inherit"/>
                <w:b/>
                <w:sz w:val="20"/>
              </w:rPr>
            </w:pPr>
            <w:r>
              <w:rPr>
                <w:rFonts w:ascii="inherit" w:hAnsi="inherit"/>
                <w:b/>
                <w:sz w:val="20"/>
              </w:rPr>
              <w:t>Item 1A.</w:t>
            </w:r>
          </w:p>
        </w:tc>
        <w:tc>
          <w:tcPr>
            <w:tcW w:w="1400" w:type="dxa"/>
            <w:tcBorders/>
            <w:shd w:fill="auto" w:val="clear"/>
            <w:vAlign w:val="center"/>
          </w:tcPr>
          <w:p>
            <w:pPr>
              <w:pStyle w:val="TableContents"/>
              <w:spacing w:lineRule="auto" w:line="288" w:before="0" w:after="0"/>
              <w:jc w:val="both"/>
              <w:rPr>
                <w:rFonts w:ascii="inherit" w:hAnsi="inherit"/>
                <w:b/>
                <w:sz w:val="20"/>
              </w:rPr>
            </w:pPr>
            <w:r>
              <w:rPr>
                <w:rFonts w:ascii="inherit" w:hAnsi="inherit"/>
                <w:b/>
                <w:sz w:val="20"/>
              </w:rPr>
              <w:t>Risk Factors</w:t>
            </w:r>
          </w:p>
        </w:tc>
      </w:tr>
    </w:tbl>
    <w:p>
      <w:pPr>
        <w:pStyle w:val="TextBody"/>
        <w:spacing w:lineRule="auto" w:line="288" w:before="0" w:after="0"/>
        <w:jc w:val="both"/>
        <w:rPr>
          <w:rFonts w:ascii="inherit" w:hAnsi="inherit"/>
          <w:sz w:val="17"/>
        </w:rPr>
      </w:pPr>
      <w:r>
        <w:rPr>
          <w:rFonts w:ascii="inherit" w:hAnsi="inherit"/>
          <w:sz w:val="17"/>
        </w:rPr>
        <w:t>A description of certain factors that may affect our future results and risk factors is set forth in our Annual Report on Form 10-K for the year ended December 31, 2018. There have been no material changes to those factors for the three months ended March 31, 2019.</w:t>
      </w:r>
    </w:p>
    <w:p>
      <w:pPr>
        <w:pStyle w:val="Normal"/>
        <w:spacing w:before="0" w:after="0"/>
        <w:rPr>
          <w:sz w:val="4"/>
          <w:szCs w:val="4"/>
        </w:rPr>
      </w:pPr>
      <w:r>
        <w:rPr>
          <w:sz w:val="4"/>
          <w:szCs w:val="4"/>
        </w:rPr>
      </w:r>
      <w:bookmarkStart w:id="35" w:name="s850FBC7EAF375213BC320C9D9E649A6B"/>
      <w:bookmarkStart w:id="36" w:name="s850FBC7EAF375213BC320C9D9E649A6B"/>
      <w:bookmarkEnd w:id="36"/>
    </w:p>
    <w:tbl>
      <w:tblPr>
        <w:tblW w:w="7600" w:type="dxa"/>
        <w:jc w:val="left"/>
        <w:tblInd w:w="0" w:type="dxa"/>
        <w:tblCellMar>
          <w:top w:w="0" w:type="dxa"/>
          <w:left w:w="0" w:type="dxa"/>
          <w:bottom w:w="0" w:type="dxa"/>
          <w:right w:w="0" w:type="dxa"/>
        </w:tblCellMar>
      </w:tblPr>
      <w:tblGrid>
        <w:gridCol w:w="905"/>
        <w:gridCol w:w="6695"/>
      </w:tblGrid>
      <w:tr>
        <w:trPr/>
        <w:tc>
          <w:tcPr>
            <w:tcW w:w="905" w:type="dxa"/>
            <w:tcBorders/>
            <w:shd w:fill="auto" w:val="clear"/>
            <w:vAlign w:val="center"/>
          </w:tcPr>
          <w:p>
            <w:pPr>
              <w:pStyle w:val="TableContents"/>
              <w:spacing w:before="0" w:after="283"/>
              <w:rPr>
                <w:sz w:val="4"/>
                <w:szCs w:val="4"/>
              </w:rPr>
            </w:pPr>
            <w:r>
              <w:rPr>
                <w:sz w:val="4"/>
                <w:szCs w:val="4"/>
              </w:rPr>
            </w:r>
          </w:p>
        </w:tc>
        <w:tc>
          <w:tcPr>
            <w:tcW w:w="6695" w:type="dxa"/>
            <w:tcBorders/>
            <w:shd w:fill="auto" w:val="clear"/>
            <w:vAlign w:val="center"/>
          </w:tcPr>
          <w:p>
            <w:pPr>
              <w:pStyle w:val="TableContents"/>
              <w:spacing w:before="0" w:after="283"/>
              <w:rPr>
                <w:sz w:val="4"/>
                <w:szCs w:val="4"/>
              </w:rPr>
            </w:pPr>
            <w:r>
              <w:rPr>
                <w:sz w:val="4"/>
                <w:szCs w:val="4"/>
              </w:rPr>
            </w:r>
          </w:p>
        </w:tc>
      </w:tr>
      <w:tr>
        <w:trPr/>
        <w:tc>
          <w:tcPr>
            <w:tcW w:w="905" w:type="dxa"/>
            <w:tcBorders/>
            <w:shd w:fill="auto" w:val="clear"/>
            <w:vAlign w:val="center"/>
          </w:tcPr>
          <w:p>
            <w:pPr>
              <w:pStyle w:val="TableContents"/>
              <w:spacing w:lineRule="auto" w:line="288" w:before="0" w:after="0"/>
              <w:ind w:left="0" w:right="0" w:hanging="0"/>
              <w:rPr>
                <w:rFonts w:ascii="inherit" w:hAnsi="inherit"/>
                <w:b/>
                <w:sz w:val="20"/>
              </w:rPr>
            </w:pPr>
            <w:r>
              <w:rPr>
                <w:rFonts w:ascii="inherit" w:hAnsi="inherit"/>
                <w:b/>
                <w:sz w:val="20"/>
              </w:rPr>
              <w:t xml:space="preserve">Item 2. </w:t>
            </w:r>
          </w:p>
        </w:tc>
        <w:tc>
          <w:tcPr>
            <w:tcW w:w="6695" w:type="dxa"/>
            <w:tcBorders/>
            <w:shd w:fill="auto" w:val="clear"/>
            <w:vAlign w:val="center"/>
          </w:tcPr>
          <w:p>
            <w:pPr>
              <w:pStyle w:val="TableContents"/>
              <w:spacing w:lineRule="auto" w:line="288" w:before="0" w:after="0"/>
              <w:jc w:val="both"/>
              <w:rPr>
                <w:rFonts w:ascii="inherit" w:hAnsi="inherit"/>
                <w:b/>
                <w:sz w:val="20"/>
              </w:rPr>
            </w:pPr>
            <w:r>
              <w:rPr>
                <w:rFonts w:ascii="inherit" w:hAnsi="inherit"/>
                <w:b/>
                <w:sz w:val="20"/>
              </w:rPr>
              <w:t>Unregistered Sales of Equity Securities and Use of Proceeds</w:t>
            </w:r>
          </w:p>
        </w:tc>
      </w:tr>
    </w:tbl>
    <w:p>
      <w:pPr>
        <w:pStyle w:val="TextBody"/>
        <w:spacing w:lineRule="auto" w:line="288" w:before="0" w:after="0"/>
        <w:jc w:val="left"/>
        <w:rPr>
          <w:rFonts w:ascii="inherit" w:hAnsi="inherit"/>
          <w:b/>
          <w:sz w:val="17"/>
        </w:rPr>
      </w:pPr>
      <w:r>
        <w:rPr>
          <w:rFonts w:ascii="inherit" w:hAnsi="inherit"/>
          <w:b/>
          <w:sz w:val="17"/>
        </w:rPr>
        <w:t>Use of Proceeds from Initial Public Offering of Common Stock</w:t>
      </w:r>
    </w:p>
    <w:p>
      <w:pPr>
        <w:pStyle w:val="TextBody"/>
        <w:spacing w:lineRule="auto" w:line="288" w:before="0" w:after="0"/>
        <w:jc w:val="both"/>
        <w:rPr>
          <w:rFonts w:ascii="inherit" w:hAnsi="inherit"/>
          <w:sz w:val="17"/>
        </w:rPr>
      </w:pPr>
      <w:r>
        <w:rPr>
          <w:rFonts w:ascii="inherit" w:hAnsi="inherit"/>
          <w:sz w:val="17"/>
        </w:rPr>
        <w:t xml:space="preserve">On January 31, 2018, our Registration Statement on Form S-11, as amended (Commission File No. 333-221997) and our Registration Statement on Form S-11MEF (Commission File No. 333-222806) were declared effective by the SEC, pursuant to which we sold a total of 69,575,000 shares of our common stock at a price per share of $20.00, for an aggregate offering price of $1.4 billion (the “Offering”) before fees, expenses and commissions and resulting in net proceeds of approximately $1.3 billion. Morgan Stanley &amp; Co. LLC, Goldman Sachs &amp; Co. LLC and Merrill Lynch, Pierce, Fenner &amp; Smith Incorporated acted as principal representatives of the underwriters in the Offering. The Offering was completed on February 5, 2018, after sales of all 69,575,000 shares of common stock (inclusive of the full exercise by the underwriters of their overallotment option to purchase 9,075,000 additional shares of common stock). There has been no material change in the planned use of proceeds from the Offering as described in our final prospectus filed with the SEC pursuant to Rule 424(b) under the Securities Act on February 2, 2018, except that we deployed the remaining proceeds as follows: (i) on July 11, 2018, we utilized $507.5 million of the Offering proceeds to purchase Octavius Tower; (ii) on December 26, 2018, we utilized $82.5 million of the Offering proceeds to purchase Harrah’s Philadelphia; and (iii) on January 2, 2019, we utilized $261.1 million of the Offering proceeds to purchase Margaritaville Resort Casino. As of March 31, 2019, substantially all of the Offering proceeds have been deployed. </w:t>
      </w:r>
    </w:p>
    <w:p>
      <w:pPr>
        <w:pStyle w:val="TextBody"/>
        <w:spacing w:lineRule="auto" w:line="288" w:before="0" w:after="0"/>
        <w:jc w:val="left"/>
        <w:rPr>
          <w:rFonts w:ascii="inherit" w:hAnsi="inherit"/>
          <w:b/>
          <w:sz w:val="17"/>
        </w:rPr>
      </w:pPr>
      <w:r>
        <w:rPr>
          <w:rFonts w:ascii="inherit" w:hAnsi="inherit"/>
          <w:b/>
          <w:sz w:val="17"/>
        </w:rPr>
        <w:t>Issuer Purchases of Equity Securities</w:t>
      </w:r>
    </w:p>
    <w:p>
      <w:pPr>
        <w:pStyle w:val="TextBody"/>
        <w:spacing w:lineRule="auto" w:line="288" w:before="0" w:after="0"/>
        <w:jc w:val="both"/>
        <w:rPr>
          <w:sz w:val="17"/>
        </w:rPr>
      </w:pPr>
      <w:r>
        <w:rPr>
          <w:rFonts w:ascii="inherit" w:hAnsi="inherit"/>
          <w:sz w:val="17"/>
        </w:rPr>
        <w:t xml:space="preserve">During the </w:t>
      </w:r>
      <w:r>
        <w:rPr>
          <w:rFonts w:ascii="inherit" w:hAnsi="inherit"/>
          <w:color w:val="000000"/>
          <w:sz w:val="17"/>
        </w:rPr>
        <w:t>three months ended March 31, 2019</w:t>
      </w:r>
      <w:r>
        <w:rPr>
          <w:rFonts w:ascii="inherit" w:hAnsi="inherit"/>
          <w:sz w:val="17"/>
        </w:rPr>
        <w:t>, certain employees surrendered shares of common stock owned by them to satisfy their statutory minimum federal and state income tax obligations associated with the vesting of shares of restricted common stock issued under the Plan.</w:t>
      </w:r>
    </w:p>
    <w:p>
      <w:pPr>
        <w:pStyle w:val="TextBody"/>
        <w:spacing w:lineRule="auto" w:line="288" w:before="0" w:after="0"/>
        <w:jc w:val="both"/>
        <w:rPr>
          <w:rFonts w:ascii="inherit" w:hAnsi="inherit"/>
          <w:sz w:val="17"/>
        </w:rPr>
      </w:pPr>
      <w:r>
        <w:rPr>
          <w:rFonts w:ascii="inherit" w:hAnsi="inherit"/>
          <w:sz w:val="17"/>
        </w:rPr>
        <w:t>The following table summarizes all of our common stock repurchases during the first quarter of 2019:</w:t>
      </w:r>
    </w:p>
    <w:tbl>
      <w:tblPr>
        <w:tblW w:w="10205" w:type="dxa"/>
        <w:jc w:val="center"/>
        <w:tblInd w:w="0" w:type="dxa"/>
        <w:tblCellMar>
          <w:top w:w="0" w:type="dxa"/>
          <w:left w:w="0" w:type="dxa"/>
          <w:bottom w:w="0" w:type="dxa"/>
          <w:right w:w="0" w:type="dxa"/>
        </w:tblCellMar>
      </w:tblPr>
      <w:tblGrid>
        <w:gridCol w:w="1851"/>
        <w:gridCol w:w="90"/>
        <w:gridCol w:w="1541"/>
        <w:gridCol w:w="96"/>
        <w:gridCol w:w="90"/>
        <w:gridCol w:w="280"/>
        <w:gridCol w:w="1091"/>
        <w:gridCol w:w="68"/>
        <w:gridCol w:w="90"/>
        <w:gridCol w:w="2113"/>
        <w:gridCol w:w="244"/>
        <w:gridCol w:w="90"/>
        <w:gridCol w:w="2178"/>
        <w:gridCol w:w="383"/>
      </w:tblGrid>
      <w:tr>
        <w:trPr/>
        <w:tc>
          <w:tcPr>
            <w:tcW w:w="10205" w:type="dxa"/>
            <w:gridSpan w:val="14"/>
            <w:tcBorders/>
            <w:shd w:fill="auto" w:val="clear"/>
            <w:vAlign w:val="center"/>
          </w:tcPr>
          <w:p>
            <w:pPr>
              <w:pStyle w:val="TableContents"/>
              <w:spacing w:before="0" w:after="283"/>
              <w:rPr>
                <w:sz w:val="4"/>
                <w:szCs w:val="4"/>
              </w:rPr>
            </w:pPr>
            <w:r>
              <w:rPr>
                <w:sz w:val="4"/>
                <w:szCs w:val="4"/>
              </w:rPr>
            </w:r>
          </w:p>
        </w:tc>
      </w:tr>
      <w:tr>
        <w:trPr/>
        <w:tc>
          <w:tcPr>
            <w:tcW w:w="185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41"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1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78"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5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5"/>
              </w:rPr>
            </w:pPr>
            <w:r>
              <w:rPr>
                <w:rFonts w:ascii="inherit" w:hAnsi="inherit"/>
                <w:b/>
                <w:sz w:val="15"/>
              </w:rPr>
              <w:t>Period</w:t>
            </w:r>
          </w:p>
        </w:tc>
        <w:tc>
          <w:tcPr>
            <w:tcW w:w="90" w:type="dxa"/>
            <w:tcBorders/>
            <w:shd w:fill="auto" w:val="clear"/>
            <w:vAlign w:val="center"/>
          </w:tcPr>
          <w:p>
            <w:pPr>
              <w:pStyle w:val="TableContents"/>
              <w:spacing w:before="0" w:after="0"/>
              <w:ind w:left="0" w:right="0" w:firstLine="30"/>
              <w:rPr/>
            </w:pPr>
            <w:r>
              <w:rPr/>
              <w:t> </w:t>
            </w:r>
          </w:p>
        </w:tc>
        <w:tc>
          <w:tcPr>
            <w:tcW w:w="1637"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Total Number of Shares Purchased</w:t>
            </w:r>
          </w:p>
        </w:tc>
        <w:tc>
          <w:tcPr>
            <w:tcW w:w="90" w:type="dxa"/>
            <w:tcBorders/>
            <w:shd w:fill="auto" w:val="clear"/>
            <w:vAlign w:val="center"/>
          </w:tcPr>
          <w:p>
            <w:pPr>
              <w:pStyle w:val="TableContents"/>
              <w:spacing w:before="0" w:after="0"/>
              <w:ind w:left="0" w:right="0" w:firstLine="30"/>
              <w:rPr/>
            </w:pPr>
            <w:r>
              <w:rPr/>
              <w:t> </w:t>
            </w:r>
          </w:p>
        </w:tc>
        <w:tc>
          <w:tcPr>
            <w:tcW w:w="1439" w:type="dxa"/>
            <w:gridSpan w:val="3"/>
            <w:tcBorders>
              <w:bottom w:val="single" w:sz="2" w:space="0" w:color="000000"/>
            </w:tcBorders>
            <w:shd w:fill="auto" w:val="clear"/>
            <w:tcMar>
              <w:bottom w:w="30" w:type="dxa"/>
            </w:tcMar>
            <w:vAlign w:val="center"/>
          </w:tcPr>
          <w:p>
            <w:pPr>
              <w:pStyle w:val="TableContents"/>
              <w:spacing w:lineRule="auto" w:line="288" w:before="0" w:after="0"/>
              <w:ind w:left="0" w:right="0" w:firstLine="30"/>
              <w:jc w:val="center"/>
              <w:rPr>
                <w:sz w:val="15"/>
              </w:rPr>
            </w:pPr>
            <w:r>
              <w:rPr>
                <w:rFonts w:ascii="inherit" w:hAnsi="inherit"/>
                <w:b/>
                <w:sz w:val="15"/>
              </w:rPr>
              <w:t xml:space="preserve">Average Price Paid per Share </w:t>
            </w:r>
            <w:r>
              <w:rPr>
                <w:rFonts w:ascii="inherit" w:hAnsi="inherit"/>
                <w:sz w:val="10"/>
              </w:rPr>
              <w:t>(1)</w:t>
            </w:r>
          </w:p>
        </w:tc>
        <w:tc>
          <w:tcPr>
            <w:tcW w:w="90" w:type="dxa"/>
            <w:tcBorders/>
            <w:shd w:fill="auto" w:val="clear"/>
            <w:vAlign w:val="center"/>
          </w:tcPr>
          <w:p>
            <w:pPr>
              <w:pStyle w:val="TableContents"/>
              <w:spacing w:before="0" w:after="0"/>
              <w:ind w:left="0" w:right="0" w:firstLine="30"/>
              <w:rPr/>
            </w:pPr>
            <w:r>
              <w:rPr/>
              <w:t> </w:t>
            </w:r>
          </w:p>
        </w:tc>
        <w:tc>
          <w:tcPr>
            <w:tcW w:w="2357"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5"/>
              </w:rPr>
            </w:pPr>
            <w:r>
              <w:rPr>
                <w:rFonts w:ascii="inherit" w:hAnsi="inherit"/>
                <w:b/>
                <w:sz w:val="15"/>
              </w:rPr>
              <w:t>Total Number Of Shares Purchased As Part Of </w:t>
            </w:r>
          </w:p>
          <w:p>
            <w:pPr>
              <w:pStyle w:val="TableContents"/>
              <w:spacing w:before="0" w:after="0"/>
              <w:ind w:left="0" w:right="0" w:firstLine="30"/>
              <w:jc w:val="center"/>
              <w:rPr>
                <w:rFonts w:ascii="inherit" w:hAnsi="inherit"/>
                <w:b/>
                <w:sz w:val="15"/>
              </w:rPr>
            </w:pPr>
            <w:r>
              <w:rPr>
                <w:rFonts w:ascii="inherit" w:hAnsi="inherit"/>
                <w:b/>
                <w:sz w:val="15"/>
              </w:rPr>
              <w:t>Publicly Announced Plans Or Programs</w:t>
            </w:r>
          </w:p>
        </w:tc>
        <w:tc>
          <w:tcPr>
            <w:tcW w:w="90" w:type="dxa"/>
            <w:tcBorders/>
            <w:shd w:fill="auto" w:val="clear"/>
            <w:vAlign w:val="center"/>
          </w:tcPr>
          <w:p>
            <w:pPr>
              <w:pStyle w:val="TableContents"/>
              <w:spacing w:before="0" w:after="0"/>
              <w:ind w:left="0" w:right="0" w:firstLine="30"/>
              <w:rPr/>
            </w:pPr>
            <w:r>
              <w:rPr/>
              <w:t> </w:t>
            </w:r>
          </w:p>
        </w:tc>
        <w:tc>
          <w:tcPr>
            <w:tcW w:w="2561"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5"/>
              </w:rPr>
            </w:pPr>
            <w:r>
              <w:rPr>
                <w:rFonts w:ascii="inherit" w:hAnsi="inherit"/>
                <w:b/>
                <w:sz w:val="15"/>
              </w:rPr>
              <w:t>Maximum Number Of Shares That </w:t>
            </w:r>
          </w:p>
          <w:p>
            <w:pPr>
              <w:pStyle w:val="TableContents"/>
              <w:spacing w:before="0" w:after="0"/>
              <w:ind w:left="0" w:right="0" w:firstLine="30"/>
              <w:jc w:val="center"/>
              <w:rPr>
                <w:rFonts w:ascii="inherit" w:hAnsi="inherit"/>
                <w:b/>
                <w:sz w:val="15"/>
              </w:rPr>
            </w:pPr>
            <w:r>
              <w:rPr>
                <w:rFonts w:ascii="inherit" w:hAnsi="inherit"/>
                <w:b/>
                <w:sz w:val="15"/>
              </w:rPr>
              <w:t>May Yet Be Purchased Under The Plans Or Programs</w:t>
            </w:r>
          </w:p>
        </w:tc>
      </w:tr>
      <w:tr>
        <w:trPr/>
        <w:tc>
          <w:tcPr>
            <w:tcW w:w="18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January 1, 2019 through January 31, 2019</w:t>
            </w:r>
          </w:p>
        </w:tc>
        <w:tc>
          <w:tcPr>
            <w:tcW w:w="90" w:type="dxa"/>
            <w:tcBorders/>
            <w:shd w:fill="CCEEFF" w:val="clear"/>
            <w:vAlign w:val="center"/>
          </w:tcPr>
          <w:p>
            <w:pPr>
              <w:pStyle w:val="TableContents"/>
              <w:spacing w:before="0" w:after="0"/>
              <w:ind w:left="0" w:right="0" w:firstLine="30"/>
              <w:rPr/>
            </w:pPr>
            <w:r>
              <w:rPr/>
              <w:t> </w:t>
            </w:r>
          </w:p>
        </w:tc>
        <w:tc>
          <w:tcPr>
            <w:tcW w:w="1541" w:type="dxa"/>
            <w:tcBorders/>
            <w:shd w:fill="CCEEFF" w:val="clear"/>
            <w:vAlign w:val="center"/>
          </w:tcPr>
          <w:p>
            <w:pPr>
              <w:pStyle w:val="TableContents"/>
              <w:spacing w:before="0" w:after="0"/>
              <w:jc w:val="right"/>
              <w:rPr>
                <w:rFonts w:ascii="inherit" w:hAnsi="inherit"/>
                <w:sz w:val="17"/>
              </w:rPr>
            </w:pPr>
            <w:r>
              <w:rPr>
                <w:rFonts w:ascii="inherit" w:hAnsi="inherit"/>
                <w:sz w:val="17"/>
              </w:rPr>
              <w:t>4,025</w:t>
            </w:r>
          </w:p>
        </w:tc>
        <w:tc>
          <w:tcPr>
            <w:tcW w:w="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8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91" w:type="dxa"/>
            <w:tcBorders/>
            <w:shd w:fill="CCEEFF" w:val="clear"/>
            <w:vAlign w:val="center"/>
          </w:tcPr>
          <w:p>
            <w:pPr>
              <w:pStyle w:val="TableContents"/>
              <w:spacing w:before="0" w:after="0"/>
              <w:jc w:val="right"/>
              <w:rPr>
                <w:rFonts w:ascii="inherit" w:hAnsi="inherit"/>
                <w:sz w:val="17"/>
              </w:rPr>
            </w:pPr>
            <w:r>
              <w:rPr>
                <w:rFonts w:ascii="inherit" w:hAnsi="inherit"/>
                <w:sz w:val="17"/>
              </w:rPr>
              <w:t>20.45</w:t>
            </w:r>
          </w:p>
        </w:tc>
        <w:tc>
          <w:tcPr>
            <w:tcW w:w="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113" w:type="dxa"/>
            <w:tcBorders/>
            <w:shd w:fill="CCEEFF" w:val="clear"/>
            <w:vAlign w:val="center"/>
          </w:tcPr>
          <w:p>
            <w:pPr>
              <w:pStyle w:val="TableContents"/>
              <w:spacing w:before="0" w:after="0"/>
              <w:jc w:val="right"/>
              <w:rPr/>
            </w:pPr>
            <w:r>
              <w:rPr/>
              <w:t>—</w:t>
            </w:r>
          </w:p>
        </w:tc>
        <w:tc>
          <w:tcPr>
            <w:tcW w:w="2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178"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38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February 1, 2019 through February 28, 2019</w:t>
            </w:r>
          </w:p>
        </w:tc>
        <w:tc>
          <w:tcPr>
            <w:tcW w:w="90" w:type="dxa"/>
            <w:tcBorders/>
            <w:shd w:fill="auto" w:val="clear"/>
            <w:vAlign w:val="center"/>
          </w:tcPr>
          <w:p>
            <w:pPr>
              <w:pStyle w:val="TableContents"/>
              <w:spacing w:before="0" w:after="0"/>
              <w:ind w:left="0" w:right="0" w:firstLine="30"/>
              <w:rPr/>
            </w:pPr>
            <w:r>
              <w:rPr/>
              <w:t> </w:t>
            </w:r>
          </w:p>
        </w:tc>
        <w:tc>
          <w:tcPr>
            <w:tcW w:w="1541" w:type="dxa"/>
            <w:tcBorders/>
            <w:shd w:fill="auto" w:val="clear"/>
            <w:vAlign w:val="center"/>
          </w:tcPr>
          <w:p>
            <w:pPr>
              <w:pStyle w:val="TableContents"/>
              <w:spacing w:before="0" w:after="0"/>
              <w:jc w:val="right"/>
              <w:rPr/>
            </w:pPr>
            <w:r>
              <w:rPr/>
              <w:t>—</w:t>
            </w:r>
          </w:p>
        </w:tc>
        <w:tc>
          <w:tcPr>
            <w:tcW w:w="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71" w:type="dxa"/>
            <w:gridSpan w:val="2"/>
            <w:tcBorders/>
            <w:shd w:fill="auto" w:val="clear"/>
            <w:vAlign w:val="center"/>
          </w:tcPr>
          <w:p>
            <w:pPr>
              <w:pStyle w:val="TableContents"/>
              <w:spacing w:before="0" w:after="0"/>
              <w:jc w:val="right"/>
              <w:rPr/>
            </w:pPr>
            <w:r>
              <w:rPr/>
              <w:t>—</w:t>
            </w:r>
          </w:p>
        </w:tc>
        <w:tc>
          <w:tcPr>
            <w:tcW w:w="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13" w:type="dxa"/>
            <w:tcBorders/>
            <w:shd w:fill="auto" w:val="clear"/>
            <w:vAlign w:val="center"/>
          </w:tcPr>
          <w:p>
            <w:pPr>
              <w:pStyle w:val="TableContents"/>
              <w:spacing w:before="0" w:after="0"/>
              <w:jc w:val="right"/>
              <w:rPr/>
            </w:pPr>
            <w:r>
              <w:rPr/>
              <w:t>—</w:t>
            </w:r>
          </w:p>
        </w:tc>
        <w:tc>
          <w:tcPr>
            <w:tcW w:w="2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78" w:type="dxa"/>
            <w:tcBorders/>
            <w:shd w:fill="auto" w:val="clear"/>
            <w:vAlign w:val="center"/>
          </w:tcPr>
          <w:p>
            <w:pPr>
              <w:pStyle w:val="TableContents"/>
              <w:spacing w:before="0" w:after="0"/>
              <w:jc w:val="right"/>
              <w:rPr/>
            </w:pPr>
            <w:r>
              <w:rPr/>
              <w:t>—</w:t>
            </w:r>
          </w:p>
        </w:tc>
        <w:tc>
          <w:tcPr>
            <w:tcW w:w="3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March 1, 2019 through March 31, 2019</w:t>
            </w:r>
          </w:p>
        </w:tc>
        <w:tc>
          <w:tcPr>
            <w:tcW w:w="90" w:type="dxa"/>
            <w:tcBorders/>
            <w:shd w:fill="CCEEFF" w:val="clear"/>
            <w:vAlign w:val="center"/>
          </w:tcPr>
          <w:p>
            <w:pPr>
              <w:pStyle w:val="TableContents"/>
              <w:spacing w:before="0" w:after="0"/>
              <w:ind w:left="0" w:right="0" w:firstLine="30"/>
              <w:rPr/>
            </w:pPr>
            <w:r>
              <w:rPr/>
              <w:t> </w:t>
            </w:r>
          </w:p>
        </w:tc>
        <w:tc>
          <w:tcPr>
            <w:tcW w:w="1541" w:type="dxa"/>
            <w:tcBorders/>
            <w:shd w:fill="CCEEFF" w:val="clear"/>
            <w:vAlign w:val="center"/>
          </w:tcPr>
          <w:p>
            <w:pPr>
              <w:pStyle w:val="TableContents"/>
              <w:spacing w:before="0" w:after="0"/>
              <w:jc w:val="right"/>
              <w:rPr>
                <w:rFonts w:ascii="inherit" w:hAnsi="inherit"/>
                <w:sz w:val="17"/>
              </w:rPr>
            </w:pPr>
            <w:r>
              <w:rPr>
                <w:rFonts w:ascii="inherit" w:hAnsi="inherit"/>
                <w:sz w:val="17"/>
              </w:rPr>
              <w:t>3,000</w:t>
            </w:r>
          </w:p>
        </w:tc>
        <w:tc>
          <w:tcPr>
            <w:tcW w:w="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21.88</w:t>
            </w:r>
          </w:p>
        </w:tc>
        <w:tc>
          <w:tcPr>
            <w:tcW w:w="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113" w:type="dxa"/>
            <w:tcBorders/>
            <w:shd w:fill="CCEEFF" w:val="clear"/>
            <w:vAlign w:val="center"/>
          </w:tcPr>
          <w:p>
            <w:pPr>
              <w:pStyle w:val="TableContents"/>
              <w:spacing w:before="0" w:after="0"/>
              <w:jc w:val="right"/>
              <w:rPr/>
            </w:pPr>
            <w:r>
              <w:rPr/>
              <w:t>—</w:t>
            </w:r>
          </w:p>
        </w:tc>
        <w:tc>
          <w:tcPr>
            <w:tcW w:w="2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178" w:type="dxa"/>
            <w:tcBorders/>
            <w:shd w:fill="CCEEFF" w:val="clear"/>
            <w:vAlign w:val="center"/>
          </w:tcPr>
          <w:p>
            <w:pPr>
              <w:pStyle w:val="TableContents"/>
              <w:spacing w:before="0" w:after="0"/>
              <w:jc w:val="right"/>
              <w:rPr/>
            </w:pPr>
            <w:r>
              <w:rPr/>
              <w:t>—</w:t>
            </w:r>
          </w:p>
        </w:tc>
        <w:tc>
          <w:tcPr>
            <w:tcW w:w="3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51"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Total</w:t>
            </w:r>
          </w:p>
        </w:tc>
        <w:tc>
          <w:tcPr>
            <w:tcW w:w="90" w:type="dxa"/>
            <w:tcBorders/>
            <w:shd w:fill="auto" w:val="clear"/>
            <w:vAlign w:val="center"/>
          </w:tcPr>
          <w:p>
            <w:pPr>
              <w:pStyle w:val="TableContents"/>
              <w:spacing w:before="0" w:after="0"/>
              <w:ind w:left="0" w:right="0" w:firstLine="30"/>
              <w:rPr/>
            </w:pPr>
            <w:r>
              <w:rPr/>
              <w:t> </w:t>
            </w:r>
          </w:p>
        </w:tc>
        <w:tc>
          <w:tcPr>
            <w:tcW w:w="1541"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7,025</w:t>
            </w:r>
          </w:p>
        </w:tc>
        <w:tc>
          <w:tcPr>
            <w:tcW w:w="9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8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91"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21.06</w:t>
            </w:r>
          </w:p>
        </w:tc>
        <w:tc>
          <w:tcPr>
            <w:tcW w:w="68"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13"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pPr>
            <w:r>
              <w:rPr/>
              <w:t>—</w:t>
            </w:r>
          </w:p>
        </w:tc>
        <w:tc>
          <w:tcPr>
            <w:tcW w:w="244"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78"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pPr>
            <w:r>
              <w:rPr/>
              <w:t>—</w:t>
            </w:r>
          </w:p>
        </w:tc>
        <w:tc>
          <w:tcPr>
            <w:tcW w:w="383"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both"/>
        <w:rPr>
          <w:sz w:val="17"/>
        </w:rPr>
      </w:pPr>
      <w:r>
        <w:rPr>
          <w:rFonts w:ascii="inherit" w:hAnsi="inherit"/>
          <w:sz w:val="12"/>
        </w:rPr>
        <w:t>(1)</w:t>
      </w:r>
      <w:r>
        <w:rPr>
          <w:sz w:val="17"/>
        </w:rPr>
        <w:t xml:space="preserve"> </w:t>
      </w:r>
      <w:r>
        <w:rPr>
          <w:rFonts w:ascii="inherit" w:hAnsi="inherit"/>
          <w:sz w:val="13"/>
        </w:rPr>
        <w:t>The price paid per share is based on the closing price of our common stock as of the date of the determination of the statutory minimum federal income tax.</w:t>
      </w:r>
    </w:p>
    <w:p>
      <w:pPr>
        <w:pStyle w:val="Normal"/>
        <w:spacing w:before="0" w:after="0"/>
        <w:rPr>
          <w:sz w:val="4"/>
          <w:szCs w:val="4"/>
        </w:rPr>
      </w:pPr>
      <w:r>
        <w:rPr>
          <w:sz w:val="4"/>
          <w:szCs w:val="4"/>
        </w:rPr>
      </w:r>
      <w:bookmarkStart w:id="37" w:name="sD8F6C7DAAED95190987F90E20EE143C9"/>
      <w:bookmarkStart w:id="38" w:name="sD8F6C7DAAED95190987F90E20EE143C9"/>
      <w:bookmarkEnd w:id="38"/>
    </w:p>
    <w:tbl>
      <w:tblPr>
        <w:tblW w:w="4360" w:type="dxa"/>
        <w:jc w:val="left"/>
        <w:tblInd w:w="0" w:type="dxa"/>
        <w:tblCellMar>
          <w:top w:w="0" w:type="dxa"/>
          <w:left w:w="0" w:type="dxa"/>
          <w:bottom w:w="0" w:type="dxa"/>
          <w:right w:w="0" w:type="dxa"/>
        </w:tblCellMar>
      </w:tblPr>
      <w:tblGrid>
        <w:gridCol w:w="830"/>
        <w:gridCol w:w="3530"/>
      </w:tblGrid>
      <w:tr>
        <w:trPr/>
        <w:tc>
          <w:tcPr>
            <w:tcW w:w="830" w:type="dxa"/>
            <w:tcBorders/>
            <w:shd w:fill="auto" w:val="clear"/>
            <w:vAlign w:val="center"/>
          </w:tcPr>
          <w:p>
            <w:pPr>
              <w:pStyle w:val="TableContents"/>
              <w:spacing w:before="0" w:after="283"/>
              <w:rPr>
                <w:sz w:val="4"/>
                <w:szCs w:val="4"/>
              </w:rPr>
            </w:pPr>
            <w:r>
              <w:rPr>
                <w:sz w:val="4"/>
                <w:szCs w:val="4"/>
              </w:rPr>
            </w:r>
          </w:p>
        </w:tc>
        <w:tc>
          <w:tcPr>
            <w:tcW w:w="3530" w:type="dxa"/>
            <w:tcBorders/>
            <w:shd w:fill="auto" w:val="clear"/>
            <w:vAlign w:val="center"/>
          </w:tcPr>
          <w:p>
            <w:pPr>
              <w:pStyle w:val="TableContents"/>
              <w:spacing w:before="0" w:after="283"/>
              <w:rPr>
                <w:sz w:val="4"/>
                <w:szCs w:val="4"/>
              </w:rPr>
            </w:pPr>
            <w:r>
              <w:rPr>
                <w:sz w:val="4"/>
                <w:szCs w:val="4"/>
              </w:rPr>
            </w:r>
          </w:p>
        </w:tc>
      </w:tr>
      <w:tr>
        <w:trPr/>
        <w:tc>
          <w:tcPr>
            <w:tcW w:w="830" w:type="dxa"/>
            <w:tcBorders/>
            <w:shd w:fill="auto" w:val="clear"/>
            <w:vAlign w:val="center"/>
          </w:tcPr>
          <w:p>
            <w:pPr>
              <w:pStyle w:val="TableContents"/>
              <w:spacing w:lineRule="auto" w:line="288" w:before="0" w:after="0"/>
              <w:ind w:left="0" w:right="0" w:hanging="0"/>
              <w:rPr>
                <w:rFonts w:ascii="inherit" w:hAnsi="inherit"/>
                <w:b/>
                <w:sz w:val="20"/>
              </w:rPr>
            </w:pPr>
            <w:r>
              <w:rPr>
                <w:rFonts w:ascii="inherit" w:hAnsi="inherit"/>
                <w:b/>
                <w:sz w:val="20"/>
              </w:rPr>
              <w:t>Item 3.</w:t>
            </w:r>
          </w:p>
        </w:tc>
        <w:tc>
          <w:tcPr>
            <w:tcW w:w="3530" w:type="dxa"/>
            <w:tcBorders/>
            <w:shd w:fill="auto" w:val="clear"/>
            <w:vAlign w:val="center"/>
          </w:tcPr>
          <w:p>
            <w:pPr>
              <w:pStyle w:val="TableContents"/>
              <w:spacing w:lineRule="auto" w:line="288" w:before="0" w:after="0"/>
              <w:jc w:val="both"/>
              <w:rPr>
                <w:rFonts w:ascii="inherit" w:hAnsi="inherit"/>
                <w:b/>
                <w:sz w:val="20"/>
              </w:rPr>
            </w:pPr>
            <w:r>
              <w:rPr>
                <w:rFonts w:ascii="inherit" w:hAnsi="inherit"/>
                <w:b/>
                <w:sz w:val="20"/>
              </w:rPr>
              <w:t>Defaults Upon Senior Securities</w:t>
            </w:r>
          </w:p>
        </w:tc>
      </w:tr>
    </w:tbl>
    <w:p>
      <w:pPr>
        <w:pStyle w:val="TextBody"/>
        <w:spacing w:lineRule="auto" w:line="288" w:before="0" w:after="0"/>
        <w:jc w:val="both"/>
        <w:rPr>
          <w:rFonts w:ascii="inherit" w:hAnsi="inherit"/>
          <w:sz w:val="17"/>
        </w:rPr>
      </w:pPr>
      <w:r>
        <w:rPr>
          <w:rFonts w:ascii="inherit" w:hAnsi="inherit"/>
          <w:sz w:val="17"/>
        </w:rPr>
        <w:t>None.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40</w:t>
      </w:r>
      <w:r>
        <w:br w:type="page"/>
      </w:r>
    </w:p>
    <w:p>
      <w:pPr>
        <w:pStyle w:val="TextBody"/>
        <w:spacing w:lineRule="auto" w:line="288" w:before="0" w:after="0"/>
        <w:jc w:val="both"/>
        <w:rPr/>
      </w:pPr>
      <w:hyperlink w:anchor="s7181E430E8A9506B896277AC8CF177C4">
        <w:bookmarkStart w:id="39" w:name="s075F065830E75B018909D7709FAD0BB8"/>
        <w:bookmarkEnd w:id="39"/>
        <w:r>
          <w:rPr>
            <w:rStyle w:val="InternetLink"/>
            <w:rFonts w:ascii="inherit" w:hAnsi="inherit"/>
            <w:sz w:val="17"/>
          </w:rPr>
          <w:t>Table of Contents</w:t>
        </w:r>
      </w:hyperlink>
    </w:p>
    <w:p>
      <w:pPr>
        <w:pStyle w:val="TextBody"/>
        <w:spacing w:before="0" w:after="0"/>
        <w:rPr/>
      </w:pPr>
      <w:r>
        <w:rPr/>
      </w:r>
    </w:p>
    <w:tbl>
      <w:tblPr>
        <w:tblW w:w="3865" w:type="dxa"/>
        <w:jc w:val="left"/>
        <w:tblInd w:w="0" w:type="dxa"/>
        <w:tblCellMar>
          <w:top w:w="0" w:type="dxa"/>
          <w:left w:w="0" w:type="dxa"/>
          <w:bottom w:w="0" w:type="dxa"/>
          <w:right w:w="0" w:type="dxa"/>
        </w:tblCellMar>
      </w:tblPr>
      <w:tblGrid>
        <w:gridCol w:w="1190"/>
        <w:gridCol w:w="2675"/>
      </w:tblGrid>
      <w:tr>
        <w:trPr/>
        <w:tc>
          <w:tcPr>
            <w:tcW w:w="1190" w:type="dxa"/>
            <w:tcBorders/>
            <w:shd w:fill="auto" w:val="clear"/>
            <w:vAlign w:val="center"/>
          </w:tcPr>
          <w:p>
            <w:pPr>
              <w:pStyle w:val="TableContents"/>
              <w:spacing w:before="0" w:after="283"/>
              <w:rPr>
                <w:sz w:val="4"/>
                <w:szCs w:val="4"/>
              </w:rPr>
            </w:pPr>
            <w:r>
              <w:rPr>
                <w:sz w:val="4"/>
                <w:szCs w:val="4"/>
              </w:rPr>
            </w:r>
          </w:p>
        </w:tc>
        <w:tc>
          <w:tcPr>
            <w:tcW w:w="2675" w:type="dxa"/>
            <w:tcBorders/>
            <w:shd w:fill="auto" w:val="clear"/>
            <w:vAlign w:val="center"/>
          </w:tcPr>
          <w:p>
            <w:pPr>
              <w:pStyle w:val="TableContents"/>
              <w:spacing w:before="0" w:after="283"/>
              <w:rPr>
                <w:sz w:val="4"/>
                <w:szCs w:val="4"/>
              </w:rPr>
            </w:pPr>
            <w:r>
              <w:rPr>
                <w:sz w:val="4"/>
                <w:szCs w:val="4"/>
              </w:rPr>
            </w:r>
          </w:p>
        </w:tc>
      </w:tr>
      <w:tr>
        <w:trPr/>
        <w:tc>
          <w:tcPr>
            <w:tcW w:w="1190" w:type="dxa"/>
            <w:tcBorders/>
            <w:shd w:fill="auto" w:val="clear"/>
            <w:vAlign w:val="center"/>
          </w:tcPr>
          <w:p>
            <w:pPr>
              <w:pStyle w:val="TableContents"/>
              <w:spacing w:lineRule="auto" w:line="288" w:before="0" w:after="0"/>
              <w:ind w:left="0" w:right="0" w:firstLine="360"/>
              <w:rPr>
                <w:rFonts w:ascii="inherit" w:hAnsi="inherit"/>
                <w:b/>
                <w:sz w:val="20"/>
              </w:rPr>
            </w:pPr>
            <w:r>
              <w:rPr>
                <w:rFonts w:ascii="inherit" w:hAnsi="inherit"/>
                <w:b/>
                <w:sz w:val="20"/>
              </w:rPr>
              <w:t>Item 4.</w:t>
            </w:r>
          </w:p>
        </w:tc>
        <w:tc>
          <w:tcPr>
            <w:tcW w:w="2675" w:type="dxa"/>
            <w:tcBorders/>
            <w:shd w:fill="auto" w:val="clear"/>
            <w:vAlign w:val="center"/>
          </w:tcPr>
          <w:p>
            <w:pPr>
              <w:pStyle w:val="TableContents"/>
              <w:spacing w:lineRule="auto" w:line="288" w:before="0" w:after="0"/>
              <w:ind w:left="0" w:right="0" w:hanging="360"/>
              <w:jc w:val="both"/>
              <w:rPr>
                <w:rFonts w:ascii="inherit" w:hAnsi="inherit"/>
                <w:b/>
                <w:sz w:val="20"/>
              </w:rPr>
            </w:pPr>
            <w:r>
              <w:rPr>
                <w:rFonts w:ascii="inherit" w:hAnsi="inherit"/>
                <w:b/>
                <w:sz w:val="20"/>
              </w:rPr>
              <w:t>Mine Safety Disclosures</w:t>
            </w:r>
          </w:p>
        </w:tc>
      </w:tr>
    </w:tbl>
    <w:p>
      <w:pPr>
        <w:pStyle w:val="TextBody"/>
        <w:spacing w:lineRule="auto" w:line="288" w:before="0" w:after="0"/>
        <w:ind w:left="0" w:right="0" w:hanging="1440"/>
        <w:jc w:val="both"/>
        <w:rPr>
          <w:rFonts w:ascii="inherit" w:hAnsi="inherit"/>
          <w:sz w:val="17"/>
        </w:rPr>
      </w:pPr>
      <w:r>
        <w:rPr>
          <w:rFonts w:ascii="inherit" w:hAnsi="inherit"/>
          <w:sz w:val="17"/>
        </w:rPr>
        <w:t>Not applicable.</w:t>
      </w:r>
    </w:p>
    <w:p>
      <w:pPr>
        <w:pStyle w:val="Normal"/>
        <w:spacing w:before="0" w:after="0"/>
        <w:rPr>
          <w:sz w:val="4"/>
          <w:szCs w:val="4"/>
        </w:rPr>
      </w:pPr>
      <w:r>
        <w:rPr>
          <w:sz w:val="4"/>
          <w:szCs w:val="4"/>
        </w:rPr>
      </w:r>
      <w:bookmarkStart w:id="40" w:name="s0A94C6A2558D58D58D512EEBC3FD42D3"/>
      <w:bookmarkStart w:id="41" w:name="s0A94C6A2558D58D58D512EEBC3FD42D3"/>
      <w:bookmarkEnd w:id="41"/>
    </w:p>
    <w:tbl>
      <w:tblPr>
        <w:tblW w:w="2845" w:type="dxa"/>
        <w:jc w:val="left"/>
        <w:tblInd w:w="0" w:type="dxa"/>
        <w:tblCellMar>
          <w:top w:w="0" w:type="dxa"/>
          <w:left w:w="0" w:type="dxa"/>
          <w:bottom w:w="0" w:type="dxa"/>
          <w:right w:w="0" w:type="dxa"/>
        </w:tblCellMar>
      </w:tblPr>
      <w:tblGrid>
        <w:gridCol w:w="830"/>
        <w:gridCol w:w="2015"/>
      </w:tblGrid>
      <w:tr>
        <w:trPr/>
        <w:tc>
          <w:tcPr>
            <w:tcW w:w="830" w:type="dxa"/>
            <w:tcBorders/>
            <w:shd w:fill="auto" w:val="clear"/>
            <w:vAlign w:val="center"/>
          </w:tcPr>
          <w:p>
            <w:pPr>
              <w:pStyle w:val="TableContents"/>
              <w:spacing w:before="0" w:after="283"/>
              <w:rPr>
                <w:sz w:val="4"/>
                <w:szCs w:val="4"/>
              </w:rPr>
            </w:pPr>
            <w:r>
              <w:rPr>
                <w:sz w:val="4"/>
                <w:szCs w:val="4"/>
              </w:rPr>
            </w:r>
          </w:p>
        </w:tc>
        <w:tc>
          <w:tcPr>
            <w:tcW w:w="2015" w:type="dxa"/>
            <w:tcBorders/>
            <w:shd w:fill="auto" w:val="clear"/>
            <w:vAlign w:val="center"/>
          </w:tcPr>
          <w:p>
            <w:pPr>
              <w:pStyle w:val="TableContents"/>
              <w:spacing w:before="0" w:after="283"/>
              <w:rPr>
                <w:sz w:val="4"/>
                <w:szCs w:val="4"/>
              </w:rPr>
            </w:pPr>
            <w:r>
              <w:rPr>
                <w:sz w:val="4"/>
                <w:szCs w:val="4"/>
              </w:rPr>
            </w:r>
          </w:p>
        </w:tc>
      </w:tr>
      <w:tr>
        <w:trPr/>
        <w:tc>
          <w:tcPr>
            <w:tcW w:w="830" w:type="dxa"/>
            <w:tcBorders/>
            <w:shd w:fill="auto" w:val="clear"/>
            <w:vAlign w:val="center"/>
          </w:tcPr>
          <w:p>
            <w:pPr>
              <w:pStyle w:val="TableContents"/>
              <w:spacing w:lineRule="auto" w:line="288" w:before="0" w:after="0"/>
              <w:ind w:left="0" w:right="0" w:hanging="0"/>
              <w:rPr>
                <w:rFonts w:ascii="inherit" w:hAnsi="inherit"/>
                <w:b/>
                <w:sz w:val="20"/>
              </w:rPr>
            </w:pPr>
            <w:r>
              <w:rPr>
                <w:rFonts w:ascii="inherit" w:hAnsi="inherit"/>
                <w:b/>
                <w:sz w:val="20"/>
              </w:rPr>
              <w:t>Item 5.</w:t>
            </w:r>
          </w:p>
        </w:tc>
        <w:tc>
          <w:tcPr>
            <w:tcW w:w="2015" w:type="dxa"/>
            <w:tcBorders/>
            <w:shd w:fill="auto" w:val="clear"/>
            <w:vAlign w:val="center"/>
          </w:tcPr>
          <w:p>
            <w:pPr>
              <w:pStyle w:val="TableContents"/>
              <w:spacing w:lineRule="auto" w:line="288" w:before="0" w:after="0"/>
              <w:jc w:val="both"/>
              <w:rPr>
                <w:rFonts w:ascii="inherit" w:hAnsi="inherit"/>
                <w:b/>
                <w:sz w:val="20"/>
              </w:rPr>
            </w:pPr>
            <w:r>
              <w:rPr>
                <w:rFonts w:ascii="inherit" w:hAnsi="inherit"/>
                <w:b/>
                <w:sz w:val="20"/>
              </w:rPr>
              <w:t>Other Information</w:t>
            </w:r>
          </w:p>
        </w:tc>
      </w:tr>
    </w:tbl>
    <w:p>
      <w:pPr>
        <w:pStyle w:val="TextBody"/>
        <w:spacing w:lineRule="auto" w:line="288" w:before="0" w:after="0"/>
        <w:jc w:val="both"/>
        <w:rPr>
          <w:rFonts w:ascii="inherit" w:hAnsi="inherit"/>
          <w:sz w:val="17"/>
        </w:rPr>
      </w:pPr>
      <w:r>
        <w:rPr>
          <w:rFonts w:ascii="inherit" w:hAnsi="inherit"/>
          <w:sz w:val="17"/>
        </w:rPr>
        <w:t>None.</w:t>
      </w:r>
    </w:p>
    <w:p>
      <w:pPr>
        <w:pStyle w:val="Normal"/>
        <w:spacing w:before="0" w:after="0"/>
        <w:rPr>
          <w:sz w:val="4"/>
          <w:szCs w:val="4"/>
        </w:rPr>
      </w:pPr>
      <w:r>
        <w:rPr>
          <w:sz w:val="4"/>
          <w:szCs w:val="4"/>
        </w:rPr>
      </w:r>
      <w:bookmarkStart w:id="42" w:name="s2B9A44F8EBA6512F95EDE5A169980AD0"/>
      <w:bookmarkStart w:id="43" w:name="s2B9A44F8EBA6512F95EDE5A169980AD0"/>
      <w:bookmarkEnd w:id="43"/>
    </w:p>
    <w:tbl>
      <w:tblPr>
        <w:tblW w:w="1720" w:type="dxa"/>
        <w:jc w:val="left"/>
        <w:tblInd w:w="0" w:type="dxa"/>
        <w:tblCellMar>
          <w:top w:w="0" w:type="dxa"/>
          <w:left w:w="0" w:type="dxa"/>
          <w:bottom w:w="0" w:type="dxa"/>
          <w:right w:w="0" w:type="dxa"/>
        </w:tblCellMar>
      </w:tblPr>
      <w:tblGrid>
        <w:gridCol w:w="830"/>
        <w:gridCol w:w="890"/>
      </w:tblGrid>
      <w:tr>
        <w:trPr/>
        <w:tc>
          <w:tcPr>
            <w:tcW w:w="830"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r>
      <w:tr>
        <w:trPr/>
        <w:tc>
          <w:tcPr>
            <w:tcW w:w="830" w:type="dxa"/>
            <w:tcBorders/>
            <w:shd w:fill="auto" w:val="clear"/>
            <w:vAlign w:val="center"/>
          </w:tcPr>
          <w:p>
            <w:pPr>
              <w:pStyle w:val="TableContents"/>
              <w:spacing w:lineRule="auto" w:line="288" w:before="0" w:after="0"/>
              <w:ind w:left="0" w:right="0" w:hanging="0"/>
              <w:rPr>
                <w:rFonts w:ascii="inherit" w:hAnsi="inherit"/>
                <w:b/>
                <w:sz w:val="20"/>
              </w:rPr>
            </w:pPr>
            <w:r>
              <w:rPr>
                <w:rFonts w:ascii="inherit" w:hAnsi="inherit"/>
                <w:b/>
                <w:sz w:val="20"/>
              </w:rPr>
              <w:t>Item 6.</w:t>
            </w:r>
          </w:p>
        </w:tc>
        <w:tc>
          <w:tcPr>
            <w:tcW w:w="890" w:type="dxa"/>
            <w:tcBorders/>
            <w:shd w:fill="auto" w:val="clear"/>
            <w:vAlign w:val="center"/>
          </w:tcPr>
          <w:p>
            <w:pPr>
              <w:pStyle w:val="TableContents"/>
              <w:spacing w:lineRule="auto" w:line="288" w:before="0" w:after="0"/>
              <w:jc w:val="both"/>
              <w:rPr>
                <w:rFonts w:ascii="inherit" w:hAnsi="inherit"/>
                <w:b/>
                <w:sz w:val="20"/>
              </w:rPr>
            </w:pPr>
            <w:r>
              <w:rPr>
                <w:rFonts w:ascii="inherit" w:hAnsi="inherit"/>
                <w:b/>
                <w:sz w:val="20"/>
              </w:rPr>
              <w:t>Exhibits</w:t>
            </w:r>
          </w:p>
        </w:tc>
      </w:tr>
    </w:tbl>
    <w:tbl>
      <w:tblPr>
        <w:tblW w:w="10205" w:type="dxa"/>
        <w:jc w:val="center"/>
        <w:tblInd w:w="0" w:type="dxa"/>
        <w:tblCellMar>
          <w:top w:w="0" w:type="dxa"/>
          <w:left w:w="0" w:type="dxa"/>
          <w:bottom w:w="0" w:type="dxa"/>
          <w:right w:w="0" w:type="dxa"/>
        </w:tblCellMar>
      </w:tblPr>
      <w:tblGrid>
        <w:gridCol w:w="668"/>
        <w:gridCol w:w="90"/>
        <w:gridCol w:w="6572"/>
        <w:gridCol w:w="90"/>
        <w:gridCol w:w="894"/>
        <w:gridCol w:w="90"/>
        <w:gridCol w:w="425"/>
        <w:gridCol w:w="90"/>
        <w:gridCol w:w="560"/>
        <w:gridCol w:w="90"/>
        <w:gridCol w:w="636"/>
      </w:tblGrid>
      <w:tr>
        <w:trPr/>
        <w:tc>
          <w:tcPr>
            <w:tcW w:w="10205" w:type="dxa"/>
            <w:gridSpan w:val="11"/>
            <w:tcBorders/>
            <w:shd w:fill="auto" w:val="clear"/>
            <w:vAlign w:val="center"/>
          </w:tcPr>
          <w:p>
            <w:pPr>
              <w:pStyle w:val="TableContents"/>
              <w:spacing w:before="0" w:after="283"/>
              <w:rPr>
                <w:sz w:val="4"/>
                <w:szCs w:val="4"/>
              </w:rPr>
            </w:pPr>
            <w:r>
              <w:rPr>
                <w:sz w:val="4"/>
                <w:szCs w:val="4"/>
              </w:rPr>
            </w:r>
          </w:p>
        </w:tc>
      </w:tr>
      <w:tr>
        <w:trPr/>
        <w:tc>
          <w:tcPr>
            <w:tcW w:w="66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57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68"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57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801"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Incorporated by Reference</w:t>
            </w:r>
          </w:p>
        </w:tc>
      </w:tr>
      <w:tr>
        <w:trPr/>
        <w:tc>
          <w:tcPr>
            <w:tcW w:w="668"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Exhibit</w:t>
              <w:br/>
              <w:t>Number</w:t>
            </w:r>
          </w:p>
        </w:tc>
        <w:tc>
          <w:tcPr>
            <w:tcW w:w="90" w:type="dxa"/>
            <w:tcBorders/>
            <w:shd w:fill="auto" w:val="clear"/>
            <w:vAlign w:val="center"/>
          </w:tcPr>
          <w:p>
            <w:pPr>
              <w:pStyle w:val="TableContents"/>
              <w:spacing w:before="0" w:after="0"/>
              <w:ind w:left="0" w:right="0" w:firstLine="30"/>
              <w:rPr/>
            </w:pPr>
            <w:r>
              <w:rPr/>
              <w:t> </w:t>
            </w:r>
          </w:p>
        </w:tc>
        <w:tc>
          <w:tcPr>
            <w:tcW w:w="6572"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Exhibit Description</w:t>
            </w:r>
          </w:p>
        </w:tc>
        <w:tc>
          <w:tcPr>
            <w:tcW w:w="90" w:type="dxa"/>
            <w:tcBorders/>
            <w:shd w:fill="auto" w:val="clear"/>
            <w:vAlign w:val="center"/>
          </w:tcPr>
          <w:p>
            <w:pPr>
              <w:pStyle w:val="TableContents"/>
              <w:spacing w:before="0" w:after="0"/>
              <w:ind w:left="0" w:right="0" w:firstLine="30"/>
              <w:rPr/>
            </w:pPr>
            <w:r>
              <w:rPr/>
              <w:t> </w:t>
            </w:r>
          </w:p>
        </w:tc>
        <w:tc>
          <w:tcPr>
            <w:tcW w:w="894"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Filed Herewith</w:t>
            </w:r>
          </w:p>
        </w:tc>
        <w:tc>
          <w:tcPr>
            <w:tcW w:w="90" w:type="dxa"/>
            <w:tcBorders/>
            <w:shd w:fill="auto" w:val="clear"/>
            <w:vAlign w:val="center"/>
          </w:tcPr>
          <w:p>
            <w:pPr>
              <w:pStyle w:val="TableContents"/>
              <w:spacing w:before="0" w:after="0"/>
              <w:ind w:left="0" w:right="0" w:firstLine="30"/>
              <w:rPr/>
            </w:pPr>
            <w:r>
              <w:rPr/>
              <w:t> </w:t>
            </w:r>
          </w:p>
        </w:tc>
        <w:tc>
          <w:tcPr>
            <w:tcW w:w="42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Form</w:t>
            </w:r>
          </w:p>
        </w:tc>
        <w:tc>
          <w:tcPr>
            <w:tcW w:w="90" w:type="dxa"/>
            <w:tcBorders/>
            <w:shd w:fill="auto" w:val="clear"/>
            <w:vAlign w:val="center"/>
          </w:tcPr>
          <w:p>
            <w:pPr>
              <w:pStyle w:val="TableContents"/>
              <w:spacing w:before="0" w:after="0"/>
              <w:ind w:left="0" w:right="0" w:firstLine="30"/>
              <w:rPr/>
            </w:pPr>
            <w:r>
              <w:rPr/>
              <w:t> </w:t>
            </w:r>
          </w:p>
        </w:tc>
        <w:tc>
          <w:tcPr>
            <w:tcW w:w="56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Exhibit</w:t>
            </w:r>
          </w:p>
        </w:tc>
        <w:tc>
          <w:tcPr>
            <w:tcW w:w="90" w:type="dxa"/>
            <w:tcBorders/>
            <w:shd w:fill="auto" w:val="clear"/>
            <w:vAlign w:val="center"/>
          </w:tcPr>
          <w:p>
            <w:pPr>
              <w:pStyle w:val="TableContents"/>
              <w:spacing w:before="0" w:after="0"/>
              <w:ind w:left="0" w:right="0" w:firstLine="30"/>
              <w:rPr/>
            </w:pPr>
            <w:r>
              <w:rPr/>
              <w:t> </w:t>
            </w:r>
          </w:p>
        </w:tc>
        <w:tc>
          <w:tcPr>
            <w:tcW w:w="636"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Filing Date</w:t>
            </w:r>
          </w:p>
        </w:tc>
      </w:tr>
      <w:tr>
        <w:trPr/>
        <w:tc>
          <w:tcPr>
            <w:tcW w:w="668"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57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2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6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6" w:type="dxa"/>
            <w:tcBorders/>
            <w:shd w:fill="auto" w:val="clear"/>
            <w:vAlign w:val="center"/>
          </w:tcPr>
          <w:p>
            <w:pPr>
              <w:pStyle w:val="TableContents"/>
              <w:spacing w:before="0" w:after="0"/>
              <w:ind w:left="0" w:right="0" w:firstLine="30"/>
              <w:rPr/>
            </w:pPr>
            <w:r>
              <w:rPr/>
              <w:t> </w:t>
            </w:r>
          </w:p>
        </w:tc>
      </w:tr>
      <w:tr>
        <w:trPr/>
        <w:tc>
          <w:tcPr>
            <w:tcW w:w="668" w:type="dxa"/>
            <w:tcBorders/>
            <w:shd w:fill="auto" w:val="clear"/>
            <w:vAlign w:val="center"/>
          </w:tcPr>
          <w:p>
            <w:pPr>
              <w:pStyle w:val="TableContents"/>
              <w:spacing w:before="0" w:after="0"/>
              <w:ind w:left="0" w:right="0" w:firstLine="30"/>
              <w:jc w:val="center"/>
              <w:rPr/>
            </w:pPr>
            <w:hyperlink w:anchor="viciq1201910-qexh311.htm">
              <w:r>
                <w:rPr>
                  <w:rStyle w:val="InternetLink"/>
                  <w:rFonts w:ascii="inherit" w:hAnsi="inherit"/>
                  <w:color w:val="0000FF"/>
                  <w:sz w:val="17"/>
                  <w:u w:val="single"/>
                </w:rPr>
                <w:t>31.1</w:t>
              </w:r>
            </w:hyperlink>
          </w:p>
        </w:tc>
        <w:tc>
          <w:tcPr>
            <w:tcW w:w="90" w:type="dxa"/>
            <w:tcBorders/>
            <w:shd w:fill="auto" w:val="clear"/>
            <w:vAlign w:val="center"/>
          </w:tcPr>
          <w:p>
            <w:pPr>
              <w:pStyle w:val="TableContents"/>
              <w:spacing w:before="0" w:after="0"/>
              <w:ind w:left="0" w:right="0" w:firstLine="30"/>
              <w:rPr/>
            </w:pPr>
            <w:r>
              <w:rPr/>
              <w:t> </w:t>
            </w:r>
          </w:p>
        </w:tc>
        <w:tc>
          <w:tcPr>
            <w:tcW w:w="6572" w:type="dxa"/>
            <w:tcBorders/>
            <w:shd w:fill="auto" w:val="clear"/>
            <w:vAlign w:val="center"/>
          </w:tcPr>
          <w:p>
            <w:pPr>
              <w:pStyle w:val="TableContents"/>
              <w:spacing w:before="0" w:after="0"/>
              <w:ind w:left="0" w:right="0" w:firstLine="30"/>
              <w:jc w:val="left"/>
              <w:rPr/>
            </w:pPr>
            <w:hyperlink w:anchor="viciq1201910-qexh311.htm">
              <w:r>
                <w:rPr>
                  <w:rStyle w:val="InternetLink"/>
                  <w:rFonts w:ascii="inherit" w:hAnsi="inherit"/>
                  <w:color w:val="0000FF"/>
                  <w:sz w:val="17"/>
                  <w:u w:val="single"/>
                </w:rPr>
                <w:t>Certification of Principal Executive Officer Pursuant to Section 302 of the Sarbanes-Oxley Act of 2002.</w:t>
              </w:r>
            </w:hyperlink>
          </w:p>
        </w:tc>
        <w:tc>
          <w:tcPr>
            <w:tcW w:w="90"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X</w:t>
            </w:r>
          </w:p>
        </w:tc>
        <w:tc>
          <w:tcPr>
            <w:tcW w:w="90" w:type="dxa"/>
            <w:tcBorders/>
            <w:shd w:fill="auto" w:val="clear"/>
            <w:vAlign w:val="center"/>
          </w:tcPr>
          <w:p>
            <w:pPr>
              <w:pStyle w:val="TableContents"/>
              <w:spacing w:before="0" w:after="0"/>
              <w:ind w:left="0" w:right="0" w:firstLine="30"/>
              <w:rPr/>
            </w:pPr>
            <w:r>
              <w:rPr/>
              <w:t> </w:t>
            </w:r>
          </w:p>
        </w:tc>
        <w:tc>
          <w:tcPr>
            <w:tcW w:w="42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6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6" w:type="dxa"/>
            <w:tcBorders/>
            <w:shd w:fill="auto" w:val="clear"/>
            <w:vAlign w:val="center"/>
          </w:tcPr>
          <w:p>
            <w:pPr>
              <w:pStyle w:val="TableContents"/>
              <w:spacing w:before="0" w:after="0"/>
              <w:ind w:left="0" w:right="0" w:firstLine="30"/>
              <w:rPr/>
            </w:pPr>
            <w:r>
              <w:rPr/>
              <w:t> </w:t>
            </w:r>
          </w:p>
        </w:tc>
      </w:tr>
      <w:tr>
        <w:trPr/>
        <w:tc>
          <w:tcPr>
            <w:tcW w:w="668"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57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2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6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6" w:type="dxa"/>
            <w:tcBorders/>
            <w:shd w:fill="auto" w:val="clear"/>
            <w:vAlign w:val="center"/>
          </w:tcPr>
          <w:p>
            <w:pPr>
              <w:pStyle w:val="TableContents"/>
              <w:spacing w:before="0" w:after="0"/>
              <w:ind w:left="0" w:right="0" w:firstLine="30"/>
              <w:rPr/>
            </w:pPr>
            <w:r>
              <w:rPr/>
              <w:t> </w:t>
            </w:r>
          </w:p>
        </w:tc>
      </w:tr>
      <w:tr>
        <w:trPr/>
        <w:tc>
          <w:tcPr>
            <w:tcW w:w="668" w:type="dxa"/>
            <w:tcBorders/>
            <w:shd w:fill="auto" w:val="clear"/>
            <w:vAlign w:val="center"/>
          </w:tcPr>
          <w:p>
            <w:pPr>
              <w:pStyle w:val="TableContents"/>
              <w:spacing w:before="0" w:after="0"/>
              <w:ind w:left="0" w:right="0" w:firstLine="30"/>
              <w:jc w:val="center"/>
              <w:rPr/>
            </w:pPr>
            <w:hyperlink w:anchor="viciq1201910-qexh312.htm">
              <w:r>
                <w:rPr>
                  <w:rStyle w:val="InternetLink"/>
                  <w:rFonts w:ascii="inherit" w:hAnsi="inherit"/>
                  <w:color w:val="0000FF"/>
                  <w:sz w:val="17"/>
                  <w:u w:val="single"/>
                </w:rPr>
                <w:t>31.2</w:t>
              </w:r>
            </w:hyperlink>
          </w:p>
        </w:tc>
        <w:tc>
          <w:tcPr>
            <w:tcW w:w="90" w:type="dxa"/>
            <w:tcBorders/>
            <w:shd w:fill="auto" w:val="clear"/>
            <w:vAlign w:val="center"/>
          </w:tcPr>
          <w:p>
            <w:pPr>
              <w:pStyle w:val="TableContents"/>
              <w:spacing w:before="0" w:after="0"/>
              <w:ind w:left="0" w:right="0" w:firstLine="30"/>
              <w:rPr/>
            </w:pPr>
            <w:r>
              <w:rPr/>
              <w:t> </w:t>
            </w:r>
          </w:p>
        </w:tc>
        <w:tc>
          <w:tcPr>
            <w:tcW w:w="6572" w:type="dxa"/>
            <w:tcBorders/>
            <w:shd w:fill="auto" w:val="clear"/>
            <w:vAlign w:val="center"/>
          </w:tcPr>
          <w:p>
            <w:pPr>
              <w:pStyle w:val="TableContents"/>
              <w:spacing w:before="0" w:after="0"/>
              <w:ind w:left="0" w:right="0" w:firstLine="30"/>
              <w:jc w:val="left"/>
              <w:rPr/>
            </w:pPr>
            <w:hyperlink w:anchor="viciq1201910-qexh312.htm">
              <w:r>
                <w:rPr>
                  <w:rStyle w:val="InternetLink"/>
                  <w:rFonts w:ascii="inherit" w:hAnsi="inherit"/>
                  <w:color w:val="0000FF"/>
                  <w:sz w:val="17"/>
                  <w:u w:val="single"/>
                </w:rPr>
                <w:t>Certification of Principal Financial Officer Pursuant to Section 302 of the Sarbanes-Oxley Act of 2002.</w:t>
              </w:r>
            </w:hyperlink>
          </w:p>
        </w:tc>
        <w:tc>
          <w:tcPr>
            <w:tcW w:w="90"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X</w:t>
            </w:r>
          </w:p>
        </w:tc>
        <w:tc>
          <w:tcPr>
            <w:tcW w:w="90" w:type="dxa"/>
            <w:tcBorders/>
            <w:shd w:fill="auto" w:val="clear"/>
            <w:vAlign w:val="center"/>
          </w:tcPr>
          <w:p>
            <w:pPr>
              <w:pStyle w:val="TableContents"/>
              <w:spacing w:before="0" w:after="0"/>
              <w:ind w:left="0" w:right="0" w:firstLine="30"/>
              <w:rPr/>
            </w:pPr>
            <w:r>
              <w:rPr/>
              <w:t> </w:t>
            </w:r>
          </w:p>
        </w:tc>
        <w:tc>
          <w:tcPr>
            <w:tcW w:w="42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6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6" w:type="dxa"/>
            <w:tcBorders/>
            <w:shd w:fill="auto" w:val="clear"/>
            <w:vAlign w:val="center"/>
          </w:tcPr>
          <w:p>
            <w:pPr>
              <w:pStyle w:val="TableContents"/>
              <w:spacing w:before="0" w:after="0"/>
              <w:ind w:left="0" w:right="0" w:firstLine="30"/>
              <w:rPr/>
            </w:pPr>
            <w:r>
              <w:rPr/>
              <w:t> </w:t>
            </w:r>
          </w:p>
        </w:tc>
      </w:tr>
      <w:tr>
        <w:trPr/>
        <w:tc>
          <w:tcPr>
            <w:tcW w:w="668"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57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2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6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6" w:type="dxa"/>
            <w:tcBorders/>
            <w:shd w:fill="auto" w:val="clear"/>
            <w:vAlign w:val="center"/>
          </w:tcPr>
          <w:p>
            <w:pPr>
              <w:pStyle w:val="TableContents"/>
              <w:spacing w:before="0" w:after="0"/>
              <w:ind w:left="0" w:right="0" w:firstLine="30"/>
              <w:rPr/>
            </w:pPr>
            <w:r>
              <w:rPr/>
              <w:t> </w:t>
            </w:r>
          </w:p>
        </w:tc>
      </w:tr>
      <w:tr>
        <w:trPr/>
        <w:tc>
          <w:tcPr>
            <w:tcW w:w="668" w:type="dxa"/>
            <w:tcBorders/>
            <w:shd w:fill="auto" w:val="clear"/>
            <w:vAlign w:val="center"/>
          </w:tcPr>
          <w:p>
            <w:pPr>
              <w:pStyle w:val="TableContents"/>
              <w:spacing w:before="0" w:after="0"/>
              <w:ind w:left="0" w:right="0" w:firstLine="30"/>
              <w:jc w:val="center"/>
              <w:rPr/>
            </w:pPr>
            <w:hyperlink w:anchor="viciq1201910-qexh321.htm">
              <w:r>
                <w:rPr>
                  <w:rStyle w:val="InternetLink"/>
                  <w:rFonts w:ascii="inherit" w:hAnsi="inherit"/>
                  <w:color w:val="0000FF"/>
                  <w:sz w:val="17"/>
                  <w:u w:val="single"/>
                </w:rPr>
                <w:t>32.1</w:t>
              </w:r>
            </w:hyperlink>
          </w:p>
        </w:tc>
        <w:tc>
          <w:tcPr>
            <w:tcW w:w="90" w:type="dxa"/>
            <w:tcBorders/>
            <w:shd w:fill="auto" w:val="clear"/>
            <w:vAlign w:val="center"/>
          </w:tcPr>
          <w:p>
            <w:pPr>
              <w:pStyle w:val="TableContents"/>
              <w:spacing w:before="0" w:after="0"/>
              <w:ind w:left="0" w:right="0" w:firstLine="30"/>
              <w:rPr/>
            </w:pPr>
            <w:r>
              <w:rPr/>
              <w:t> </w:t>
            </w:r>
          </w:p>
        </w:tc>
        <w:tc>
          <w:tcPr>
            <w:tcW w:w="6572" w:type="dxa"/>
            <w:tcBorders/>
            <w:shd w:fill="auto" w:val="clear"/>
            <w:vAlign w:val="center"/>
          </w:tcPr>
          <w:p>
            <w:pPr>
              <w:pStyle w:val="TableContents"/>
              <w:spacing w:before="0" w:after="0"/>
              <w:ind w:left="0" w:right="0" w:firstLine="30"/>
              <w:jc w:val="left"/>
              <w:rPr/>
            </w:pPr>
            <w:hyperlink w:anchor="viciq1201910-qexh321.htm">
              <w:r>
                <w:rPr>
                  <w:rStyle w:val="InternetLink"/>
                  <w:rFonts w:ascii="inherit" w:hAnsi="inherit"/>
                  <w:color w:val="0000FF"/>
                  <w:sz w:val="17"/>
                  <w:u w:val="single"/>
                </w:rPr>
                <w:t>Certification of Principal Executive Officer Pursuant to Section 906 of the Sarbanes-Oxley Act of 2002.</w:t>
              </w:r>
            </w:hyperlink>
          </w:p>
        </w:tc>
        <w:tc>
          <w:tcPr>
            <w:tcW w:w="90"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42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6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6" w:type="dxa"/>
            <w:tcBorders/>
            <w:shd w:fill="auto" w:val="clear"/>
            <w:vAlign w:val="center"/>
          </w:tcPr>
          <w:p>
            <w:pPr>
              <w:pStyle w:val="TableContents"/>
              <w:spacing w:before="0" w:after="0"/>
              <w:ind w:left="0" w:right="0" w:firstLine="30"/>
              <w:rPr/>
            </w:pPr>
            <w:r>
              <w:rPr/>
              <w:t> </w:t>
            </w:r>
          </w:p>
        </w:tc>
      </w:tr>
      <w:tr>
        <w:trPr/>
        <w:tc>
          <w:tcPr>
            <w:tcW w:w="668"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57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2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6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6" w:type="dxa"/>
            <w:tcBorders/>
            <w:shd w:fill="auto" w:val="clear"/>
            <w:vAlign w:val="center"/>
          </w:tcPr>
          <w:p>
            <w:pPr>
              <w:pStyle w:val="TableContents"/>
              <w:spacing w:before="0" w:after="0"/>
              <w:ind w:left="0" w:right="0" w:firstLine="30"/>
              <w:rPr/>
            </w:pPr>
            <w:r>
              <w:rPr/>
              <w:t> </w:t>
            </w:r>
          </w:p>
        </w:tc>
      </w:tr>
      <w:tr>
        <w:trPr/>
        <w:tc>
          <w:tcPr>
            <w:tcW w:w="668" w:type="dxa"/>
            <w:tcBorders/>
            <w:shd w:fill="auto" w:val="clear"/>
            <w:vAlign w:val="center"/>
          </w:tcPr>
          <w:p>
            <w:pPr>
              <w:pStyle w:val="TableContents"/>
              <w:spacing w:before="0" w:after="0"/>
              <w:ind w:left="0" w:right="0" w:firstLine="30"/>
              <w:jc w:val="center"/>
              <w:rPr/>
            </w:pPr>
            <w:hyperlink w:anchor="viciq1201910-qexh322.htm">
              <w:r>
                <w:rPr>
                  <w:rStyle w:val="InternetLink"/>
                  <w:rFonts w:ascii="inherit" w:hAnsi="inherit"/>
                  <w:color w:val="0000FF"/>
                  <w:sz w:val="17"/>
                  <w:u w:val="single"/>
                </w:rPr>
                <w:t>32.2</w:t>
              </w:r>
            </w:hyperlink>
          </w:p>
        </w:tc>
        <w:tc>
          <w:tcPr>
            <w:tcW w:w="90" w:type="dxa"/>
            <w:tcBorders/>
            <w:shd w:fill="auto" w:val="clear"/>
            <w:vAlign w:val="center"/>
          </w:tcPr>
          <w:p>
            <w:pPr>
              <w:pStyle w:val="TableContents"/>
              <w:spacing w:before="0" w:after="0"/>
              <w:ind w:left="0" w:right="0" w:firstLine="30"/>
              <w:rPr/>
            </w:pPr>
            <w:r>
              <w:rPr/>
              <w:t> </w:t>
            </w:r>
          </w:p>
        </w:tc>
        <w:tc>
          <w:tcPr>
            <w:tcW w:w="6572" w:type="dxa"/>
            <w:tcBorders/>
            <w:shd w:fill="auto" w:val="clear"/>
            <w:vAlign w:val="center"/>
          </w:tcPr>
          <w:p>
            <w:pPr>
              <w:pStyle w:val="TableContents"/>
              <w:spacing w:before="0" w:after="0"/>
              <w:ind w:left="0" w:right="0" w:firstLine="30"/>
              <w:jc w:val="left"/>
              <w:rPr/>
            </w:pPr>
            <w:hyperlink w:anchor="viciq1201910-qexh322.htm">
              <w:r>
                <w:rPr>
                  <w:rStyle w:val="InternetLink"/>
                  <w:rFonts w:ascii="inherit" w:hAnsi="inherit"/>
                  <w:color w:val="0000FF"/>
                  <w:sz w:val="17"/>
                  <w:u w:val="single"/>
                </w:rPr>
                <w:t>Certification of Principal Financial Officer Pursuant to Section 906 of the Sarbanes-Oxley Act of 2002.</w:t>
              </w:r>
            </w:hyperlink>
          </w:p>
        </w:tc>
        <w:tc>
          <w:tcPr>
            <w:tcW w:w="90"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42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6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6" w:type="dxa"/>
            <w:tcBorders/>
            <w:shd w:fill="auto" w:val="clear"/>
            <w:vAlign w:val="center"/>
          </w:tcPr>
          <w:p>
            <w:pPr>
              <w:pStyle w:val="TableContents"/>
              <w:spacing w:before="0" w:after="0"/>
              <w:ind w:left="0" w:right="0" w:firstLine="30"/>
              <w:rPr/>
            </w:pPr>
            <w:r>
              <w:rPr/>
              <w:t> </w:t>
            </w:r>
          </w:p>
        </w:tc>
      </w:tr>
      <w:tr>
        <w:trPr/>
        <w:tc>
          <w:tcPr>
            <w:tcW w:w="668"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57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2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6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6" w:type="dxa"/>
            <w:tcBorders/>
            <w:shd w:fill="auto" w:val="clear"/>
            <w:vAlign w:val="center"/>
          </w:tcPr>
          <w:p>
            <w:pPr>
              <w:pStyle w:val="TableContents"/>
              <w:spacing w:before="0" w:after="0"/>
              <w:ind w:left="0" w:right="0" w:firstLine="30"/>
              <w:rPr/>
            </w:pPr>
            <w:r>
              <w:rPr/>
              <w:t> </w:t>
            </w:r>
          </w:p>
        </w:tc>
      </w:tr>
      <w:tr>
        <w:trPr/>
        <w:tc>
          <w:tcPr>
            <w:tcW w:w="668"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101.INS</w:t>
            </w:r>
          </w:p>
        </w:tc>
        <w:tc>
          <w:tcPr>
            <w:tcW w:w="90" w:type="dxa"/>
            <w:tcBorders/>
            <w:shd w:fill="auto" w:val="clear"/>
            <w:vAlign w:val="center"/>
          </w:tcPr>
          <w:p>
            <w:pPr>
              <w:pStyle w:val="TableContents"/>
              <w:spacing w:before="0" w:after="0"/>
              <w:ind w:left="0" w:right="0" w:firstLine="30"/>
              <w:rPr/>
            </w:pPr>
            <w:r>
              <w:rPr/>
              <w:t> </w:t>
            </w:r>
          </w:p>
        </w:tc>
        <w:tc>
          <w:tcPr>
            <w:tcW w:w="65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Instance Document - the instance document does not appear in the Interactive Data File because its XBRL tags are embedded within the Inline XBRL document</w:t>
            </w:r>
          </w:p>
        </w:tc>
        <w:tc>
          <w:tcPr>
            <w:tcW w:w="90"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X</w:t>
            </w:r>
          </w:p>
        </w:tc>
        <w:tc>
          <w:tcPr>
            <w:tcW w:w="90" w:type="dxa"/>
            <w:tcBorders/>
            <w:shd w:fill="auto" w:val="clear"/>
            <w:vAlign w:val="center"/>
          </w:tcPr>
          <w:p>
            <w:pPr>
              <w:pStyle w:val="TableContents"/>
              <w:spacing w:before="0" w:after="0"/>
              <w:ind w:left="0" w:right="0" w:firstLine="30"/>
              <w:rPr/>
            </w:pPr>
            <w:r>
              <w:rPr/>
              <w:t> </w:t>
            </w:r>
          </w:p>
        </w:tc>
        <w:tc>
          <w:tcPr>
            <w:tcW w:w="42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6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6" w:type="dxa"/>
            <w:tcBorders/>
            <w:shd w:fill="auto" w:val="clear"/>
            <w:vAlign w:val="center"/>
          </w:tcPr>
          <w:p>
            <w:pPr>
              <w:pStyle w:val="TableContents"/>
              <w:spacing w:before="0" w:after="0"/>
              <w:ind w:left="0" w:right="0" w:firstLine="30"/>
              <w:rPr/>
            </w:pPr>
            <w:r>
              <w:rPr/>
              <w:t> </w:t>
            </w:r>
          </w:p>
        </w:tc>
      </w:tr>
      <w:tr>
        <w:trPr/>
        <w:tc>
          <w:tcPr>
            <w:tcW w:w="668"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57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2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6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6" w:type="dxa"/>
            <w:tcBorders/>
            <w:shd w:fill="auto" w:val="clear"/>
            <w:vAlign w:val="center"/>
          </w:tcPr>
          <w:p>
            <w:pPr>
              <w:pStyle w:val="TableContents"/>
              <w:spacing w:before="0" w:after="0"/>
              <w:ind w:left="0" w:right="0" w:firstLine="30"/>
              <w:rPr/>
            </w:pPr>
            <w:r>
              <w:rPr/>
              <w:t> </w:t>
            </w:r>
          </w:p>
        </w:tc>
      </w:tr>
      <w:tr>
        <w:trPr/>
        <w:tc>
          <w:tcPr>
            <w:tcW w:w="668"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101.SCH</w:t>
            </w:r>
          </w:p>
        </w:tc>
        <w:tc>
          <w:tcPr>
            <w:tcW w:w="90" w:type="dxa"/>
            <w:tcBorders/>
            <w:shd w:fill="auto" w:val="clear"/>
            <w:vAlign w:val="center"/>
          </w:tcPr>
          <w:p>
            <w:pPr>
              <w:pStyle w:val="TableContents"/>
              <w:spacing w:before="0" w:after="0"/>
              <w:ind w:left="0" w:right="0" w:firstLine="30"/>
              <w:rPr/>
            </w:pPr>
            <w:r>
              <w:rPr/>
              <w:t> </w:t>
            </w:r>
          </w:p>
        </w:tc>
        <w:tc>
          <w:tcPr>
            <w:tcW w:w="65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Schema Document</w:t>
            </w:r>
          </w:p>
        </w:tc>
        <w:tc>
          <w:tcPr>
            <w:tcW w:w="90"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X</w:t>
            </w:r>
          </w:p>
        </w:tc>
        <w:tc>
          <w:tcPr>
            <w:tcW w:w="90" w:type="dxa"/>
            <w:tcBorders/>
            <w:shd w:fill="auto" w:val="clear"/>
            <w:vAlign w:val="center"/>
          </w:tcPr>
          <w:p>
            <w:pPr>
              <w:pStyle w:val="TableContents"/>
              <w:spacing w:before="0" w:after="0"/>
              <w:ind w:left="0" w:right="0" w:firstLine="30"/>
              <w:rPr/>
            </w:pPr>
            <w:r>
              <w:rPr/>
              <w:t> </w:t>
            </w:r>
          </w:p>
        </w:tc>
        <w:tc>
          <w:tcPr>
            <w:tcW w:w="42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6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6" w:type="dxa"/>
            <w:tcBorders/>
            <w:shd w:fill="auto" w:val="clear"/>
            <w:vAlign w:val="center"/>
          </w:tcPr>
          <w:p>
            <w:pPr>
              <w:pStyle w:val="TableContents"/>
              <w:spacing w:before="0" w:after="0"/>
              <w:ind w:left="0" w:right="0" w:firstLine="30"/>
              <w:rPr/>
            </w:pPr>
            <w:r>
              <w:rPr/>
              <w:t> </w:t>
            </w:r>
          </w:p>
        </w:tc>
      </w:tr>
      <w:tr>
        <w:trPr/>
        <w:tc>
          <w:tcPr>
            <w:tcW w:w="668"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57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2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6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6" w:type="dxa"/>
            <w:tcBorders/>
            <w:shd w:fill="auto" w:val="clear"/>
            <w:vAlign w:val="center"/>
          </w:tcPr>
          <w:p>
            <w:pPr>
              <w:pStyle w:val="TableContents"/>
              <w:spacing w:before="0" w:after="0"/>
              <w:ind w:left="0" w:right="0" w:firstLine="30"/>
              <w:rPr/>
            </w:pPr>
            <w:r>
              <w:rPr/>
              <w:t> </w:t>
            </w:r>
          </w:p>
        </w:tc>
      </w:tr>
      <w:tr>
        <w:trPr/>
        <w:tc>
          <w:tcPr>
            <w:tcW w:w="668"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101.CAL</w:t>
            </w:r>
          </w:p>
        </w:tc>
        <w:tc>
          <w:tcPr>
            <w:tcW w:w="90" w:type="dxa"/>
            <w:tcBorders/>
            <w:shd w:fill="auto" w:val="clear"/>
            <w:vAlign w:val="center"/>
          </w:tcPr>
          <w:p>
            <w:pPr>
              <w:pStyle w:val="TableContents"/>
              <w:spacing w:before="0" w:after="0"/>
              <w:ind w:left="0" w:right="0" w:firstLine="30"/>
              <w:rPr/>
            </w:pPr>
            <w:r>
              <w:rPr/>
              <w:t> </w:t>
            </w:r>
          </w:p>
        </w:tc>
        <w:tc>
          <w:tcPr>
            <w:tcW w:w="65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Calculation Linkbase Document</w:t>
            </w:r>
          </w:p>
        </w:tc>
        <w:tc>
          <w:tcPr>
            <w:tcW w:w="90"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X</w:t>
            </w:r>
          </w:p>
        </w:tc>
        <w:tc>
          <w:tcPr>
            <w:tcW w:w="90" w:type="dxa"/>
            <w:tcBorders/>
            <w:shd w:fill="auto" w:val="clear"/>
            <w:vAlign w:val="center"/>
          </w:tcPr>
          <w:p>
            <w:pPr>
              <w:pStyle w:val="TableContents"/>
              <w:spacing w:before="0" w:after="0"/>
              <w:ind w:left="0" w:right="0" w:firstLine="30"/>
              <w:rPr/>
            </w:pPr>
            <w:r>
              <w:rPr/>
              <w:t> </w:t>
            </w:r>
          </w:p>
        </w:tc>
        <w:tc>
          <w:tcPr>
            <w:tcW w:w="42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6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6" w:type="dxa"/>
            <w:tcBorders/>
            <w:shd w:fill="auto" w:val="clear"/>
            <w:vAlign w:val="center"/>
          </w:tcPr>
          <w:p>
            <w:pPr>
              <w:pStyle w:val="TableContents"/>
              <w:spacing w:before="0" w:after="0"/>
              <w:ind w:left="0" w:right="0" w:firstLine="30"/>
              <w:rPr/>
            </w:pPr>
            <w:r>
              <w:rPr/>
              <w:t> </w:t>
            </w:r>
          </w:p>
        </w:tc>
      </w:tr>
      <w:tr>
        <w:trPr/>
        <w:tc>
          <w:tcPr>
            <w:tcW w:w="668"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57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2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6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6" w:type="dxa"/>
            <w:tcBorders/>
            <w:shd w:fill="auto" w:val="clear"/>
            <w:vAlign w:val="center"/>
          </w:tcPr>
          <w:p>
            <w:pPr>
              <w:pStyle w:val="TableContents"/>
              <w:spacing w:before="0" w:after="0"/>
              <w:ind w:left="0" w:right="0" w:firstLine="30"/>
              <w:rPr/>
            </w:pPr>
            <w:r>
              <w:rPr/>
              <w:t> </w:t>
            </w:r>
          </w:p>
        </w:tc>
      </w:tr>
      <w:tr>
        <w:trPr/>
        <w:tc>
          <w:tcPr>
            <w:tcW w:w="668"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101.DEF</w:t>
            </w:r>
          </w:p>
        </w:tc>
        <w:tc>
          <w:tcPr>
            <w:tcW w:w="90" w:type="dxa"/>
            <w:tcBorders/>
            <w:shd w:fill="auto" w:val="clear"/>
            <w:vAlign w:val="center"/>
          </w:tcPr>
          <w:p>
            <w:pPr>
              <w:pStyle w:val="TableContents"/>
              <w:spacing w:before="0" w:after="0"/>
              <w:ind w:left="0" w:right="0" w:firstLine="30"/>
              <w:rPr/>
            </w:pPr>
            <w:r>
              <w:rPr/>
              <w:t> </w:t>
            </w:r>
          </w:p>
        </w:tc>
        <w:tc>
          <w:tcPr>
            <w:tcW w:w="65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Definition Linkbase Document</w:t>
            </w:r>
          </w:p>
        </w:tc>
        <w:tc>
          <w:tcPr>
            <w:tcW w:w="90"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X</w:t>
            </w:r>
          </w:p>
        </w:tc>
        <w:tc>
          <w:tcPr>
            <w:tcW w:w="90" w:type="dxa"/>
            <w:tcBorders/>
            <w:shd w:fill="auto" w:val="clear"/>
            <w:vAlign w:val="center"/>
          </w:tcPr>
          <w:p>
            <w:pPr>
              <w:pStyle w:val="TableContents"/>
              <w:spacing w:before="0" w:after="0"/>
              <w:ind w:left="0" w:right="0" w:firstLine="30"/>
              <w:rPr/>
            </w:pPr>
            <w:r>
              <w:rPr/>
              <w:t> </w:t>
            </w:r>
          </w:p>
        </w:tc>
        <w:tc>
          <w:tcPr>
            <w:tcW w:w="42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6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6" w:type="dxa"/>
            <w:tcBorders/>
            <w:shd w:fill="auto" w:val="clear"/>
            <w:vAlign w:val="center"/>
          </w:tcPr>
          <w:p>
            <w:pPr>
              <w:pStyle w:val="TableContents"/>
              <w:spacing w:before="0" w:after="0"/>
              <w:ind w:left="0" w:right="0" w:firstLine="30"/>
              <w:rPr/>
            </w:pPr>
            <w:r>
              <w:rPr/>
              <w:t> </w:t>
            </w:r>
          </w:p>
        </w:tc>
      </w:tr>
      <w:tr>
        <w:trPr/>
        <w:tc>
          <w:tcPr>
            <w:tcW w:w="668"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57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2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6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6" w:type="dxa"/>
            <w:tcBorders/>
            <w:shd w:fill="auto" w:val="clear"/>
            <w:vAlign w:val="center"/>
          </w:tcPr>
          <w:p>
            <w:pPr>
              <w:pStyle w:val="TableContents"/>
              <w:spacing w:before="0" w:after="0"/>
              <w:ind w:left="0" w:right="0" w:firstLine="30"/>
              <w:rPr/>
            </w:pPr>
            <w:r>
              <w:rPr/>
              <w:t> </w:t>
            </w:r>
          </w:p>
        </w:tc>
      </w:tr>
      <w:tr>
        <w:trPr/>
        <w:tc>
          <w:tcPr>
            <w:tcW w:w="668"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101.LAB</w:t>
            </w:r>
          </w:p>
        </w:tc>
        <w:tc>
          <w:tcPr>
            <w:tcW w:w="90" w:type="dxa"/>
            <w:tcBorders/>
            <w:shd w:fill="auto" w:val="clear"/>
            <w:vAlign w:val="center"/>
          </w:tcPr>
          <w:p>
            <w:pPr>
              <w:pStyle w:val="TableContents"/>
              <w:spacing w:before="0" w:after="0"/>
              <w:ind w:left="0" w:right="0" w:firstLine="30"/>
              <w:rPr/>
            </w:pPr>
            <w:r>
              <w:rPr/>
              <w:t> </w:t>
            </w:r>
          </w:p>
        </w:tc>
        <w:tc>
          <w:tcPr>
            <w:tcW w:w="65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Label Linkbase Document</w:t>
            </w:r>
          </w:p>
        </w:tc>
        <w:tc>
          <w:tcPr>
            <w:tcW w:w="90"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X</w:t>
            </w:r>
          </w:p>
        </w:tc>
        <w:tc>
          <w:tcPr>
            <w:tcW w:w="90" w:type="dxa"/>
            <w:tcBorders/>
            <w:shd w:fill="auto" w:val="clear"/>
            <w:vAlign w:val="center"/>
          </w:tcPr>
          <w:p>
            <w:pPr>
              <w:pStyle w:val="TableContents"/>
              <w:spacing w:before="0" w:after="0"/>
              <w:ind w:left="0" w:right="0" w:firstLine="30"/>
              <w:rPr/>
            </w:pPr>
            <w:r>
              <w:rPr/>
              <w:t> </w:t>
            </w:r>
          </w:p>
        </w:tc>
        <w:tc>
          <w:tcPr>
            <w:tcW w:w="42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6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6" w:type="dxa"/>
            <w:tcBorders/>
            <w:shd w:fill="auto" w:val="clear"/>
            <w:vAlign w:val="center"/>
          </w:tcPr>
          <w:p>
            <w:pPr>
              <w:pStyle w:val="TableContents"/>
              <w:spacing w:before="0" w:after="0"/>
              <w:ind w:left="0" w:right="0" w:firstLine="30"/>
              <w:rPr/>
            </w:pPr>
            <w:r>
              <w:rPr/>
              <w:t> </w:t>
            </w:r>
          </w:p>
        </w:tc>
      </w:tr>
      <w:tr>
        <w:trPr/>
        <w:tc>
          <w:tcPr>
            <w:tcW w:w="668"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57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2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6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6" w:type="dxa"/>
            <w:tcBorders/>
            <w:shd w:fill="auto" w:val="clear"/>
            <w:vAlign w:val="center"/>
          </w:tcPr>
          <w:p>
            <w:pPr>
              <w:pStyle w:val="TableContents"/>
              <w:spacing w:before="0" w:after="0"/>
              <w:ind w:left="0" w:right="0" w:firstLine="30"/>
              <w:rPr/>
            </w:pPr>
            <w:r>
              <w:rPr/>
              <w:t> </w:t>
            </w:r>
          </w:p>
        </w:tc>
      </w:tr>
      <w:tr>
        <w:trPr/>
        <w:tc>
          <w:tcPr>
            <w:tcW w:w="668"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101.PRE</w:t>
            </w:r>
          </w:p>
        </w:tc>
        <w:tc>
          <w:tcPr>
            <w:tcW w:w="90" w:type="dxa"/>
            <w:tcBorders/>
            <w:shd w:fill="auto" w:val="clear"/>
            <w:vAlign w:val="center"/>
          </w:tcPr>
          <w:p>
            <w:pPr>
              <w:pStyle w:val="TableContents"/>
              <w:spacing w:before="0" w:after="0"/>
              <w:ind w:left="0" w:right="0" w:firstLine="30"/>
              <w:rPr/>
            </w:pPr>
            <w:r>
              <w:rPr/>
              <w:t> </w:t>
            </w:r>
          </w:p>
        </w:tc>
        <w:tc>
          <w:tcPr>
            <w:tcW w:w="65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Presentation Linkbase Document</w:t>
            </w:r>
          </w:p>
        </w:tc>
        <w:tc>
          <w:tcPr>
            <w:tcW w:w="90"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X</w:t>
            </w:r>
          </w:p>
        </w:tc>
        <w:tc>
          <w:tcPr>
            <w:tcW w:w="90" w:type="dxa"/>
            <w:tcBorders/>
            <w:shd w:fill="auto" w:val="clear"/>
            <w:vAlign w:val="center"/>
          </w:tcPr>
          <w:p>
            <w:pPr>
              <w:pStyle w:val="TableContents"/>
              <w:spacing w:before="0" w:after="0"/>
              <w:ind w:left="0" w:right="0" w:firstLine="30"/>
              <w:rPr/>
            </w:pPr>
            <w:r>
              <w:rPr/>
              <w:t> </w:t>
            </w:r>
          </w:p>
        </w:tc>
        <w:tc>
          <w:tcPr>
            <w:tcW w:w="42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6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6" w:type="dxa"/>
            <w:tcBorders/>
            <w:shd w:fill="auto" w:val="clear"/>
            <w:vAlign w:val="center"/>
          </w:tcPr>
          <w:p>
            <w:pPr>
              <w:pStyle w:val="TableContents"/>
              <w:spacing w:before="0" w:after="0"/>
              <w:rPr/>
            </w:pPr>
            <w:r>
              <w:rPr/>
              <w:t> </w:t>
            </w:r>
          </w:p>
        </w:tc>
      </w:tr>
    </w:tbl>
    <w:p>
      <w:pPr>
        <w:pStyle w:val="TextBody"/>
        <w:spacing w:lineRule="auto" w:line="288" w:before="0" w:after="0"/>
        <w:jc w:val="both"/>
        <w:rPr>
          <w:rFonts w:ascii="inherit" w:hAnsi="inherit"/>
          <w:sz w:val="17"/>
        </w:rPr>
      </w:pPr>
      <w:r>
        <w:rPr>
          <w:rFonts w:ascii="inherit" w:hAnsi="inherit"/>
          <w:sz w:val="17"/>
        </w:rPr>
        <w:t>* Furnished herewith.</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41</w:t>
      </w:r>
      <w:r>
        <w:br w:type="page"/>
      </w:r>
    </w:p>
    <w:p>
      <w:pPr>
        <w:pStyle w:val="TextBody"/>
        <w:spacing w:lineRule="auto" w:line="288" w:before="0" w:after="0"/>
        <w:jc w:val="both"/>
        <w:rPr/>
      </w:pPr>
      <w:hyperlink w:anchor="s7181E430E8A9506B896277AC8CF177C4">
        <w:bookmarkStart w:id="44" w:name="s9B476B03845D5295AC64488D1AA7137F"/>
        <w:bookmarkEnd w:id="44"/>
        <w:r>
          <w:rPr>
            <w:rStyle w:val="InternetLink"/>
            <w:rFonts w:ascii="inherit" w:hAnsi="inherit"/>
            <w:sz w:val="17"/>
          </w:rPr>
          <w:t>Table of Contents</w:t>
        </w:r>
      </w:hyperlink>
    </w:p>
    <w:p>
      <w:pPr>
        <w:pStyle w:val="TextBody"/>
        <w:spacing w:before="0" w:after="0"/>
        <w:rPr/>
      </w:pPr>
      <w:r>
        <w:rPr/>
      </w:r>
    </w:p>
    <w:p>
      <w:pPr>
        <w:pStyle w:val="TextBody"/>
        <w:spacing w:lineRule="auto" w:line="288" w:before="0" w:after="0"/>
        <w:jc w:val="center"/>
        <w:rPr>
          <w:rFonts w:ascii="inherit" w:hAnsi="inherit"/>
          <w:b/>
          <w:sz w:val="18"/>
        </w:rPr>
      </w:pPr>
      <w:r>
        <w:rPr>
          <w:rFonts w:ascii="inherit" w:hAnsi="inherit"/>
          <w:b/>
          <w:sz w:val="18"/>
        </w:rPr>
        <w:t>SIGNATURES</w:t>
      </w:r>
    </w:p>
    <w:p>
      <w:pPr>
        <w:pStyle w:val="TextBody"/>
        <w:spacing w:lineRule="auto" w:line="288" w:before="0" w:after="0"/>
        <w:jc w:val="both"/>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thereunto duly authorized.</w:t>
      </w:r>
    </w:p>
    <w:tbl>
      <w:tblPr>
        <w:tblW w:w="6675" w:type="dxa"/>
        <w:jc w:val="left"/>
        <w:tblInd w:w="0" w:type="dxa"/>
        <w:tblCellMar>
          <w:top w:w="0" w:type="dxa"/>
          <w:left w:w="0" w:type="dxa"/>
          <w:bottom w:w="0" w:type="dxa"/>
          <w:right w:w="0" w:type="dxa"/>
        </w:tblCellMar>
      </w:tblPr>
      <w:tblGrid>
        <w:gridCol w:w="2375"/>
        <w:gridCol w:w="90"/>
        <w:gridCol w:w="3050"/>
        <w:gridCol w:w="90"/>
        <w:gridCol w:w="1070"/>
      </w:tblGrid>
      <w:tr>
        <w:trPr/>
        <w:tc>
          <w:tcPr>
            <w:tcW w:w="6675" w:type="dxa"/>
            <w:gridSpan w:val="5"/>
            <w:tcBorders/>
            <w:shd w:fill="auto" w:val="clear"/>
            <w:vAlign w:val="center"/>
          </w:tcPr>
          <w:p>
            <w:pPr>
              <w:pStyle w:val="TableContents"/>
              <w:spacing w:before="0" w:after="283"/>
              <w:rPr>
                <w:sz w:val="4"/>
                <w:szCs w:val="4"/>
              </w:rPr>
            </w:pPr>
            <w:r>
              <w:rPr>
                <w:sz w:val="4"/>
                <w:szCs w:val="4"/>
              </w:rPr>
            </w:r>
          </w:p>
        </w:tc>
      </w:tr>
      <w:tr>
        <w:trPr/>
        <w:tc>
          <w:tcPr>
            <w:tcW w:w="237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05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675" w:type="dxa"/>
            <w:gridSpan w:val="5"/>
            <w:tcBorders/>
            <w:shd w:fill="auto" w:val="clear"/>
            <w:vAlign w:val="center"/>
          </w:tcPr>
          <w:p>
            <w:pPr>
              <w:pStyle w:val="TableContents"/>
              <w:spacing w:before="0" w:after="0"/>
              <w:ind w:left="0" w:right="0" w:firstLine="30"/>
              <w:jc w:val="center"/>
              <w:rPr>
                <w:rFonts w:ascii="inherit" w:hAnsi="inherit"/>
                <w:b/>
                <w:sz w:val="18"/>
              </w:rPr>
            </w:pPr>
            <w:r>
              <w:rPr>
                <w:rFonts w:ascii="inherit" w:hAnsi="inherit"/>
                <w:b/>
                <w:sz w:val="18"/>
              </w:rPr>
              <w:t>VICI PROPERTIES INC.</w:t>
            </w:r>
          </w:p>
        </w:tc>
      </w:tr>
      <w:tr>
        <w:trPr/>
        <w:tc>
          <w:tcPr>
            <w:tcW w:w="237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05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70" w:type="dxa"/>
            <w:tcBorders/>
            <w:shd w:fill="auto" w:val="clear"/>
            <w:vAlign w:val="center"/>
          </w:tcPr>
          <w:p>
            <w:pPr>
              <w:pStyle w:val="TableContents"/>
              <w:spacing w:before="0" w:after="0"/>
              <w:ind w:left="0" w:right="0" w:firstLine="30"/>
              <w:rPr/>
            </w:pPr>
            <w:r>
              <w:rPr/>
              <w:t> </w:t>
            </w:r>
          </w:p>
        </w:tc>
      </w:tr>
      <w:tr>
        <w:trPr/>
        <w:tc>
          <w:tcPr>
            <w:tcW w:w="237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Signature</w:t>
            </w:r>
          </w:p>
        </w:tc>
        <w:tc>
          <w:tcPr>
            <w:tcW w:w="90" w:type="dxa"/>
            <w:tcBorders/>
            <w:shd w:fill="auto" w:val="clear"/>
            <w:vAlign w:val="center"/>
          </w:tcPr>
          <w:p>
            <w:pPr>
              <w:pStyle w:val="TableContents"/>
              <w:spacing w:before="0" w:after="0"/>
              <w:ind w:left="0" w:right="0" w:firstLine="30"/>
              <w:rPr/>
            </w:pPr>
            <w:r>
              <w:rPr/>
              <w:t> </w:t>
            </w:r>
          </w:p>
        </w:tc>
        <w:tc>
          <w:tcPr>
            <w:tcW w:w="305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Title</w:t>
            </w:r>
          </w:p>
        </w:tc>
        <w:tc>
          <w:tcPr>
            <w:tcW w:w="90" w:type="dxa"/>
            <w:tcBorders/>
            <w:shd w:fill="auto" w:val="clear"/>
            <w:vAlign w:val="center"/>
          </w:tcPr>
          <w:p>
            <w:pPr>
              <w:pStyle w:val="TableContents"/>
              <w:spacing w:before="0" w:after="0"/>
              <w:ind w:left="0" w:right="0" w:firstLine="30"/>
              <w:rPr/>
            </w:pPr>
            <w:r>
              <w:rPr/>
              <w:t> </w:t>
            </w:r>
          </w:p>
        </w:tc>
        <w:tc>
          <w:tcPr>
            <w:tcW w:w="107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Date</w:t>
            </w:r>
          </w:p>
        </w:tc>
      </w:tr>
      <w:tr>
        <w:trPr/>
        <w:tc>
          <w:tcPr>
            <w:tcW w:w="237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05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70" w:type="dxa"/>
            <w:tcBorders/>
            <w:shd w:fill="auto" w:val="clear"/>
            <w:vAlign w:val="center"/>
          </w:tcPr>
          <w:p>
            <w:pPr>
              <w:pStyle w:val="TableContents"/>
              <w:spacing w:before="0" w:after="0"/>
              <w:ind w:left="0" w:right="0" w:firstLine="30"/>
              <w:rPr/>
            </w:pPr>
            <w:r>
              <w:rPr/>
              <w:t> </w:t>
            </w:r>
          </w:p>
        </w:tc>
      </w:tr>
      <w:tr>
        <w:trPr/>
        <w:tc>
          <w:tcPr>
            <w:tcW w:w="237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EDWARD B. PITONIAK</w:t>
            </w:r>
          </w:p>
        </w:tc>
        <w:tc>
          <w:tcPr>
            <w:tcW w:w="90" w:type="dxa"/>
            <w:tcBorders/>
            <w:shd w:fill="auto" w:val="clear"/>
            <w:vAlign w:val="center"/>
          </w:tcPr>
          <w:p>
            <w:pPr>
              <w:pStyle w:val="TableContents"/>
              <w:spacing w:before="0" w:after="0"/>
              <w:ind w:left="0" w:right="0" w:firstLine="30"/>
              <w:rPr/>
            </w:pPr>
            <w:r>
              <w:rPr/>
              <w:t> </w:t>
            </w:r>
          </w:p>
        </w:tc>
        <w:tc>
          <w:tcPr>
            <w:tcW w:w="305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Chief Executive Officer and Director</w:t>
            </w:r>
          </w:p>
        </w:tc>
        <w:tc>
          <w:tcPr>
            <w:tcW w:w="90" w:type="dxa"/>
            <w:tcBorders/>
            <w:shd w:fill="auto" w:val="clear"/>
            <w:vAlign w:val="center"/>
          </w:tcPr>
          <w:p>
            <w:pPr>
              <w:pStyle w:val="TableContents"/>
              <w:spacing w:before="0" w:after="0"/>
              <w:ind w:left="0" w:right="0" w:firstLine="30"/>
              <w:rPr/>
            </w:pPr>
            <w:r>
              <w:rPr/>
              <w:t> </w:t>
            </w:r>
          </w:p>
        </w:tc>
        <w:tc>
          <w:tcPr>
            <w:tcW w:w="107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May 1, 2019</w:t>
            </w:r>
          </w:p>
        </w:tc>
      </w:tr>
      <w:tr>
        <w:trPr/>
        <w:tc>
          <w:tcPr>
            <w:tcW w:w="2375"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Edward B. Pitoniak</w:t>
            </w:r>
          </w:p>
        </w:tc>
        <w:tc>
          <w:tcPr>
            <w:tcW w:w="90" w:type="dxa"/>
            <w:tcBorders/>
            <w:shd w:fill="auto" w:val="clear"/>
            <w:vAlign w:val="center"/>
          </w:tcPr>
          <w:p>
            <w:pPr>
              <w:pStyle w:val="TableContents"/>
              <w:spacing w:before="0" w:after="0"/>
              <w:ind w:left="0" w:right="0" w:firstLine="30"/>
              <w:rPr/>
            </w:pPr>
            <w:r>
              <w:rPr/>
              <w:t> </w:t>
            </w:r>
          </w:p>
        </w:tc>
        <w:tc>
          <w:tcPr>
            <w:tcW w:w="305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(Principal Executive Officer)</w:t>
            </w:r>
          </w:p>
        </w:tc>
        <w:tc>
          <w:tcPr>
            <w:tcW w:w="90" w:type="dxa"/>
            <w:tcBorders/>
            <w:shd w:fill="auto" w:val="clear"/>
            <w:vAlign w:val="center"/>
          </w:tcPr>
          <w:p>
            <w:pPr>
              <w:pStyle w:val="TableContents"/>
              <w:spacing w:before="0" w:after="0"/>
              <w:ind w:left="0" w:right="0" w:firstLine="30"/>
              <w:rPr/>
            </w:pPr>
            <w:r>
              <w:rPr/>
              <w:t> </w:t>
            </w:r>
          </w:p>
        </w:tc>
        <w:tc>
          <w:tcPr>
            <w:tcW w:w="1070" w:type="dxa"/>
            <w:tcBorders/>
            <w:shd w:fill="auto" w:val="clear"/>
            <w:vAlign w:val="center"/>
          </w:tcPr>
          <w:p>
            <w:pPr>
              <w:pStyle w:val="TableContents"/>
              <w:spacing w:before="0" w:after="0"/>
              <w:ind w:left="0" w:right="0" w:firstLine="30"/>
              <w:rPr/>
            </w:pPr>
            <w:r>
              <w:rPr/>
              <w:t> </w:t>
            </w:r>
          </w:p>
        </w:tc>
      </w:tr>
      <w:tr>
        <w:trPr/>
        <w:tc>
          <w:tcPr>
            <w:tcW w:w="237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05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70" w:type="dxa"/>
            <w:tcBorders/>
            <w:shd w:fill="auto" w:val="clear"/>
            <w:vAlign w:val="center"/>
          </w:tcPr>
          <w:p>
            <w:pPr>
              <w:pStyle w:val="TableContents"/>
              <w:spacing w:before="0" w:after="0"/>
              <w:ind w:left="0" w:right="0" w:firstLine="30"/>
              <w:rPr/>
            </w:pPr>
            <w:r>
              <w:rPr/>
              <w:t> </w:t>
            </w:r>
          </w:p>
        </w:tc>
      </w:tr>
      <w:tr>
        <w:trPr/>
        <w:tc>
          <w:tcPr>
            <w:tcW w:w="237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DAVID A. KIESKE</w:t>
            </w:r>
          </w:p>
        </w:tc>
        <w:tc>
          <w:tcPr>
            <w:tcW w:w="90" w:type="dxa"/>
            <w:tcBorders/>
            <w:shd w:fill="auto" w:val="clear"/>
            <w:vAlign w:val="center"/>
          </w:tcPr>
          <w:p>
            <w:pPr>
              <w:pStyle w:val="TableContents"/>
              <w:spacing w:before="0" w:after="0"/>
              <w:ind w:left="0" w:right="0" w:firstLine="30"/>
              <w:rPr/>
            </w:pPr>
            <w:r>
              <w:rPr/>
              <w:t> </w:t>
            </w:r>
          </w:p>
        </w:tc>
        <w:tc>
          <w:tcPr>
            <w:tcW w:w="305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Chief Financial Officer</w:t>
            </w:r>
          </w:p>
        </w:tc>
        <w:tc>
          <w:tcPr>
            <w:tcW w:w="90" w:type="dxa"/>
            <w:tcBorders/>
            <w:shd w:fill="auto" w:val="clear"/>
            <w:vAlign w:val="center"/>
          </w:tcPr>
          <w:p>
            <w:pPr>
              <w:pStyle w:val="TableContents"/>
              <w:spacing w:before="0" w:after="0"/>
              <w:ind w:left="0" w:right="0" w:firstLine="30"/>
              <w:rPr/>
            </w:pPr>
            <w:r>
              <w:rPr/>
              <w:t> </w:t>
            </w:r>
          </w:p>
        </w:tc>
        <w:tc>
          <w:tcPr>
            <w:tcW w:w="107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May 1, 2019</w:t>
            </w:r>
          </w:p>
        </w:tc>
      </w:tr>
      <w:tr>
        <w:trPr/>
        <w:tc>
          <w:tcPr>
            <w:tcW w:w="2375"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David A. Kieske</w:t>
            </w:r>
          </w:p>
        </w:tc>
        <w:tc>
          <w:tcPr>
            <w:tcW w:w="90" w:type="dxa"/>
            <w:tcBorders/>
            <w:shd w:fill="auto" w:val="clear"/>
            <w:vAlign w:val="center"/>
          </w:tcPr>
          <w:p>
            <w:pPr>
              <w:pStyle w:val="TableContents"/>
              <w:spacing w:before="0" w:after="0"/>
              <w:ind w:left="0" w:right="0" w:firstLine="30"/>
              <w:rPr/>
            </w:pPr>
            <w:r>
              <w:rPr/>
              <w:t> </w:t>
            </w:r>
          </w:p>
        </w:tc>
        <w:tc>
          <w:tcPr>
            <w:tcW w:w="305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(Principal Financial Officer)</w:t>
            </w:r>
          </w:p>
        </w:tc>
        <w:tc>
          <w:tcPr>
            <w:tcW w:w="90" w:type="dxa"/>
            <w:tcBorders/>
            <w:shd w:fill="auto" w:val="clear"/>
            <w:vAlign w:val="center"/>
          </w:tcPr>
          <w:p>
            <w:pPr>
              <w:pStyle w:val="TableContents"/>
              <w:spacing w:before="0" w:after="0"/>
              <w:ind w:left="0" w:right="0" w:firstLine="30"/>
              <w:rPr/>
            </w:pPr>
            <w:r>
              <w:rPr/>
              <w:t> </w:t>
            </w:r>
          </w:p>
        </w:tc>
        <w:tc>
          <w:tcPr>
            <w:tcW w:w="1070" w:type="dxa"/>
            <w:tcBorders/>
            <w:shd w:fill="auto" w:val="clear"/>
            <w:vAlign w:val="center"/>
          </w:tcPr>
          <w:p>
            <w:pPr>
              <w:pStyle w:val="TableContents"/>
              <w:spacing w:before="0" w:after="0"/>
              <w:ind w:left="0" w:right="0" w:firstLine="30"/>
              <w:rPr/>
            </w:pPr>
            <w:r>
              <w:rPr/>
              <w:t> </w:t>
            </w:r>
          </w:p>
        </w:tc>
      </w:tr>
      <w:tr>
        <w:trPr/>
        <w:tc>
          <w:tcPr>
            <w:tcW w:w="237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05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70" w:type="dxa"/>
            <w:tcBorders/>
            <w:shd w:fill="auto" w:val="clear"/>
            <w:vAlign w:val="center"/>
          </w:tcPr>
          <w:p>
            <w:pPr>
              <w:pStyle w:val="TableContents"/>
              <w:spacing w:before="0" w:after="0"/>
              <w:ind w:left="0" w:right="0" w:firstLine="30"/>
              <w:rPr/>
            </w:pPr>
            <w:r>
              <w:rPr/>
              <w:t> </w:t>
            </w:r>
          </w:p>
        </w:tc>
      </w:tr>
      <w:tr>
        <w:trPr/>
        <w:tc>
          <w:tcPr>
            <w:tcW w:w="237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GABRIEL F. WASSERMAN</w:t>
            </w:r>
          </w:p>
        </w:tc>
        <w:tc>
          <w:tcPr>
            <w:tcW w:w="90" w:type="dxa"/>
            <w:tcBorders/>
            <w:shd w:fill="auto" w:val="clear"/>
            <w:vAlign w:val="center"/>
          </w:tcPr>
          <w:p>
            <w:pPr>
              <w:pStyle w:val="TableContents"/>
              <w:spacing w:before="0" w:after="0"/>
              <w:ind w:left="0" w:right="0" w:firstLine="30"/>
              <w:rPr/>
            </w:pPr>
            <w:r>
              <w:rPr/>
              <w:t> </w:t>
            </w:r>
          </w:p>
        </w:tc>
        <w:tc>
          <w:tcPr>
            <w:tcW w:w="305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Chief Accounting Officer</w:t>
            </w:r>
          </w:p>
        </w:tc>
        <w:tc>
          <w:tcPr>
            <w:tcW w:w="90" w:type="dxa"/>
            <w:tcBorders/>
            <w:shd w:fill="auto" w:val="clear"/>
            <w:vAlign w:val="center"/>
          </w:tcPr>
          <w:p>
            <w:pPr>
              <w:pStyle w:val="TableContents"/>
              <w:spacing w:before="0" w:after="0"/>
              <w:ind w:left="0" w:right="0" w:firstLine="30"/>
              <w:rPr/>
            </w:pPr>
            <w:r>
              <w:rPr/>
              <w:t> </w:t>
            </w:r>
          </w:p>
        </w:tc>
        <w:tc>
          <w:tcPr>
            <w:tcW w:w="107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May 1, 2019</w:t>
            </w:r>
          </w:p>
        </w:tc>
      </w:tr>
      <w:tr>
        <w:trPr/>
        <w:tc>
          <w:tcPr>
            <w:tcW w:w="2375"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Gabriel F. Wasserman</w:t>
            </w:r>
          </w:p>
        </w:tc>
        <w:tc>
          <w:tcPr>
            <w:tcW w:w="90" w:type="dxa"/>
            <w:tcBorders/>
            <w:shd w:fill="auto" w:val="clear"/>
            <w:vAlign w:val="center"/>
          </w:tcPr>
          <w:p>
            <w:pPr>
              <w:pStyle w:val="TableContents"/>
              <w:spacing w:before="0" w:after="0"/>
              <w:ind w:left="0" w:right="0" w:firstLine="30"/>
              <w:rPr/>
            </w:pPr>
            <w:r>
              <w:rPr/>
              <w:t> </w:t>
            </w:r>
          </w:p>
        </w:tc>
        <w:tc>
          <w:tcPr>
            <w:tcW w:w="305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(Principal Accounting Officer)</w:t>
            </w:r>
          </w:p>
        </w:tc>
        <w:tc>
          <w:tcPr>
            <w:tcW w:w="90" w:type="dxa"/>
            <w:tcBorders/>
            <w:shd w:fill="auto" w:val="clear"/>
            <w:vAlign w:val="center"/>
          </w:tcPr>
          <w:p>
            <w:pPr>
              <w:pStyle w:val="TableContents"/>
              <w:spacing w:before="0" w:after="0"/>
              <w:ind w:left="0" w:right="0" w:firstLine="30"/>
              <w:rPr/>
            </w:pPr>
            <w:r>
              <w:rPr/>
              <w:t> </w:t>
            </w:r>
          </w:p>
        </w:tc>
        <w:tc>
          <w:tcPr>
            <w:tcW w:w="1070" w:type="dxa"/>
            <w:tcBorders/>
            <w:shd w:fill="auto" w:val="clear"/>
            <w:vAlign w:val="center"/>
          </w:tcPr>
          <w:p>
            <w:pPr>
              <w:pStyle w:val="TableContents"/>
              <w:spacing w:before="0" w:after="0"/>
              <w:ind w:left="0" w:right="0" w:firstLine="30"/>
              <w:rPr/>
            </w:pPr>
            <w:r>
              <w:rPr/>
              <w:t> </w:t>
            </w:r>
          </w:p>
        </w:tc>
      </w:tr>
      <w:tr>
        <w:trPr/>
        <w:tc>
          <w:tcPr>
            <w:tcW w:w="237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05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70" w:type="dxa"/>
            <w:tcBorders/>
            <w:shd w:fill="auto" w:val="clear"/>
            <w:vAlign w:val="center"/>
          </w:tcPr>
          <w:p>
            <w:pPr>
              <w:pStyle w:val="TableContents"/>
              <w:spacing w:before="0" w:after="0"/>
              <w:rPr/>
            </w:pPr>
            <w:r>
              <w:rPr/>
              <w:t>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42</w:t>
      </w:r>
      <w:r>
        <w:br w:type="page"/>
      </w:r>
    </w:p>
    <w:p>
      <w:pPr>
        <w:pStyle w:val="TextBody"/>
        <w:spacing w:lineRule="auto" w:line="288" w:before="0" w:after="0"/>
        <w:jc w:val="right"/>
        <w:rPr>
          <w:rFonts w:ascii="inherit" w:hAnsi="inherit"/>
          <w:b/>
          <w:sz w:val="18"/>
        </w:rPr>
      </w:pPr>
      <w:bookmarkStart w:id="45" w:name="s3D0CE749B7235C958CAFBD30CFA990E8"/>
      <w:bookmarkStart w:id="46" w:name="viciq1201910-qexh311.htm"/>
      <w:bookmarkStart w:id="47" w:name="ksviciq1201910qexh311"/>
      <w:bookmarkEnd w:id="45"/>
      <w:bookmarkEnd w:id="46"/>
      <w:bookmarkEnd w:id="47"/>
      <w:r>
        <w:rPr>
          <w:rFonts w:ascii="inherit" w:hAnsi="inherit"/>
          <w:b/>
          <w:sz w:val="18"/>
        </w:rPr>
        <w:t>Exhibit 31.1</w:t>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 xml:space="preserve">I, Edward B. Pitoniak, certify that: </w:t>
      </w:r>
    </w:p>
    <w:tbl>
      <w:tblPr>
        <w:tblW w:w="6805" w:type="dxa"/>
        <w:jc w:val="left"/>
        <w:tblInd w:w="0" w:type="dxa"/>
        <w:tblCellMar>
          <w:top w:w="0" w:type="dxa"/>
          <w:left w:w="0" w:type="dxa"/>
          <w:bottom w:w="0" w:type="dxa"/>
          <w:right w:w="0" w:type="dxa"/>
        </w:tblCellMar>
      </w:tblPr>
      <w:tblGrid>
        <w:gridCol w:w="545"/>
        <w:gridCol w:w="6260"/>
      </w:tblGrid>
      <w:tr>
        <w:trPr/>
        <w:tc>
          <w:tcPr>
            <w:tcW w:w="545" w:type="dxa"/>
            <w:tcBorders/>
            <w:shd w:fill="auto" w:val="clear"/>
            <w:vAlign w:val="center"/>
          </w:tcPr>
          <w:p>
            <w:pPr>
              <w:pStyle w:val="TableContents"/>
              <w:spacing w:before="0" w:after="283"/>
              <w:rPr>
                <w:sz w:val="4"/>
                <w:szCs w:val="4"/>
              </w:rPr>
            </w:pPr>
            <w:r>
              <w:rPr>
                <w:sz w:val="4"/>
                <w:szCs w:val="4"/>
              </w:rPr>
            </w:r>
          </w:p>
        </w:tc>
        <w:tc>
          <w:tcPr>
            <w:tcW w:w="6260" w:type="dxa"/>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vAlign w:val="center"/>
          </w:tcPr>
          <w:p>
            <w:pPr>
              <w:pStyle w:val="TableContents"/>
              <w:spacing w:lineRule="auto" w:line="288" w:before="0" w:after="0"/>
              <w:ind w:left="0" w:right="0" w:firstLine="360"/>
              <w:jc w:val="left"/>
              <w:rPr>
                <w:rFonts w:ascii="inherit" w:hAnsi="inherit"/>
                <w:sz w:val="17"/>
              </w:rPr>
            </w:pPr>
            <w:r>
              <w:rPr>
                <w:rFonts w:ascii="inherit" w:hAnsi="inherit"/>
                <w:sz w:val="17"/>
              </w:rPr>
              <w:t>1.</w:t>
            </w:r>
          </w:p>
        </w:tc>
        <w:tc>
          <w:tcPr>
            <w:tcW w:w="626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 have reviewed this Quarterly Report on Form 10-Q of VICI Properties Inc.;</w:t>
            </w:r>
          </w:p>
        </w:tc>
      </w:tr>
    </w:tbl>
    <w:tbl>
      <w:tblPr>
        <w:tblW w:w="10205" w:type="dxa"/>
        <w:jc w:val="left"/>
        <w:tblInd w:w="0" w:type="dxa"/>
        <w:tblCellMar>
          <w:top w:w="0" w:type="dxa"/>
          <w:left w:w="0" w:type="dxa"/>
          <w:bottom w:w="0" w:type="dxa"/>
          <w:right w:w="0" w:type="dxa"/>
        </w:tblCellMar>
      </w:tblPr>
      <w:tblGrid>
        <w:gridCol w:w="515"/>
        <w:gridCol w:w="9690"/>
      </w:tblGrid>
      <w:tr>
        <w:trPr/>
        <w:tc>
          <w:tcPr>
            <w:tcW w:w="515" w:type="dxa"/>
            <w:tcBorders/>
            <w:shd w:fill="auto" w:val="clear"/>
            <w:vAlign w:val="center"/>
          </w:tcPr>
          <w:p>
            <w:pPr>
              <w:pStyle w:val="TableContents"/>
              <w:spacing w:before="0" w:after="283"/>
              <w:rPr>
                <w:sz w:val="4"/>
                <w:szCs w:val="4"/>
              </w:rPr>
            </w:pPr>
            <w:r>
              <w:rPr>
                <w:sz w:val="4"/>
                <w:szCs w:val="4"/>
              </w:rPr>
            </w:r>
          </w:p>
        </w:tc>
        <w:tc>
          <w:tcPr>
            <w:tcW w:w="9690" w:type="dxa"/>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lineRule="auto" w:line="288" w:before="0" w:after="0"/>
              <w:ind w:left="0" w:right="0" w:firstLine="360"/>
              <w:jc w:val="left"/>
              <w:rPr>
                <w:rFonts w:ascii="inherit" w:hAnsi="inherit"/>
                <w:sz w:val="17"/>
              </w:rPr>
            </w:pPr>
            <w:r>
              <w:rPr>
                <w:rFonts w:ascii="inherit" w:hAnsi="inherit"/>
                <w:sz w:val="17"/>
              </w:rPr>
              <w:t>2.</w:t>
            </w:r>
          </w:p>
        </w:tc>
        <w:tc>
          <w:tcPr>
            <w:tcW w:w="969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518"/>
        <w:gridCol w:w="9687"/>
      </w:tblGrid>
      <w:tr>
        <w:trPr/>
        <w:tc>
          <w:tcPr>
            <w:tcW w:w="518" w:type="dxa"/>
            <w:tcBorders/>
            <w:shd w:fill="auto" w:val="clear"/>
            <w:vAlign w:val="center"/>
          </w:tcPr>
          <w:p>
            <w:pPr>
              <w:pStyle w:val="TableContents"/>
              <w:spacing w:before="0" w:after="283"/>
              <w:rPr>
                <w:sz w:val="4"/>
                <w:szCs w:val="4"/>
              </w:rPr>
            </w:pPr>
            <w:r>
              <w:rPr>
                <w:sz w:val="4"/>
                <w:szCs w:val="4"/>
              </w:rPr>
            </w:r>
          </w:p>
        </w:tc>
        <w:tc>
          <w:tcPr>
            <w:tcW w:w="9687" w:type="dxa"/>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vAlign w:val="center"/>
          </w:tcPr>
          <w:p>
            <w:pPr>
              <w:pStyle w:val="TableContents"/>
              <w:spacing w:lineRule="auto" w:line="288" w:before="0" w:after="0"/>
              <w:ind w:left="0" w:right="0" w:firstLine="360"/>
              <w:jc w:val="left"/>
              <w:rPr>
                <w:rFonts w:ascii="inherit" w:hAnsi="inherit"/>
                <w:sz w:val="17"/>
              </w:rPr>
            </w:pPr>
            <w:r>
              <w:rPr>
                <w:rFonts w:ascii="inherit" w:hAnsi="inherit"/>
                <w:sz w:val="17"/>
              </w:rPr>
              <w:t>3.</w:t>
            </w:r>
          </w:p>
        </w:tc>
        <w:tc>
          <w:tcPr>
            <w:tcW w:w="9687"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515"/>
        <w:gridCol w:w="9690"/>
      </w:tblGrid>
      <w:tr>
        <w:trPr/>
        <w:tc>
          <w:tcPr>
            <w:tcW w:w="515" w:type="dxa"/>
            <w:tcBorders/>
            <w:shd w:fill="auto" w:val="clear"/>
            <w:vAlign w:val="center"/>
          </w:tcPr>
          <w:p>
            <w:pPr>
              <w:pStyle w:val="TableContents"/>
              <w:spacing w:before="0" w:after="283"/>
              <w:rPr>
                <w:sz w:val="4"/>
                <w:szCs w:val="4"/>
              </w:rPr>
            </w:pPr>
            <w:r>
              <w:rPr>
                <w:sz w:val="4"/>
                <w:szCs w:val="4"/>
              </w:rPr>
            </w:r>
          </w:p>
        </w:tc>
        <w:tc>
          <w:tcPr>
            <w:tcW w:w="9690" w:type="dxa"/>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lineRule="auto" w:line="288" w:before="0" w:after="0"/>
              <w:ind w:left="0" w:right="0" w:firstLine="360"/>
              <w:jc w:val="left"/>
              <w:rPr>
                <w:rFonts w:ascii="inherit" w:hAnsi="inherit"/>
                <w:sz w:val="17"/>
              </w:rPr>
            </w:pPr>
            <w:r>
              <w:rPr>
                <w:rFonts w:ascii="inherit" w:hAnsi="inherit"/>
                <w:sz w:val="17"/>
              </w:rPr>
              <w:t>4.</w:t>
            </w:r>
          </w:p>
        </w:tc>
        <w:tc>
          <w:tcPr>
            <w:tcW w:w="969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1236"/>
        <w:gridCol w:w="8969"/>
      </w:tblGrid>
      <w:tr>
        <w:trPr/>
        <w:tc>
          <w:tcPr>
            <w:tcW w:w="1236" w:type="dxa"/>
            <w:tcBorders/>
            <w:shd w:fill="auto" w:val="clear"/>
            <w:vAlign w:val="center"/>
          </w:tcPr>
          <w:p>
            <w:pPr>
              <w:pStyle w:val="TableContents"/>
              <w:spacing w:before="0" w:after="283"/>
              <w:rPr>
                <w:sz w:val="4"/>
                <w:szCs w:val="4"/>
              </w:rPr>
            </w:pPr>
            <w:r>
              <w:rPr>
                <w:sz w:val="4"/>
                <w:szCs w:val="4"/>
              </w:rPr>
            </w:r>
          </w:p>
        </w:tc>
        <w:tc>
          <w:tcPr>
            <w:tcW w:w="8969" w:type="dxa"/>
            <w:tcBorders/>
            <w:shd w:fill="auto" w:val="clear"/>
            <w:vAlign w:val="center"/>
          </w:tcPr>
          <w:p>
            <w:pPr>
              <w:pStyle w:val="TableContents"/>
              <w:spacing w:before="0" w:after="283"/>
              <w:rPr>
                <w:sz w:val="4"/>
                <w:szCs w:val="4"/>
              </w:rPr>
            </w:pPr>
            <w:r>
              <w:rPr>
                <w:sz w:val="4"/>
                <w:szCs w:val="4"/>
              </w:rPr>
            </w:r>
          </w:p>
        </w:tc>
      </w:tr>
      <w:tr>
        <w:trPr/>
        <w:tc>
          <w:tcPr>
            <w:tcW w:w="1236" w:type="dxa"/>
            <w:tcBorders/>
            <w:shd w:fill="auto" w:val="clear"/>
            <w:vAlign w:val="center"/>
          </w:tcPr>
          <w:p>
            <w:pPr>
              <w:pStyle w:val="TableContents"/>
              <w:spacing w:lineRule="auto" w:line="288" w:before="0" w:after="0"/>
              <w:ind w:left="0" w:right="0" w:firstLine="1080"/>
              <w:jc w:val="left"/>
              <w:rPr>
                <w:rFonts w:ascii="inherit" w:hAnsi="inherit"/>
                <w:sz w:val="17"/>
              </w:rPr>
            </w:pPr>
            <w:r>
              <w:rPr>
                <w:rFonts w:ascii="inherit" w:hAnsi="inherit"/>
                <w:sz w:val="17"/>
              </w:rPr>
              <w:t>a)</w:t>
            </w:r>
          </w:p>
        </w:tc>
        <w:tc>
          <w:tcPr>
            <w:tcW w:w="8969"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1236"/>
        <w:gridCol w:w="8969"/>
      </w:tblGrid>
      <w:tr>
        <w:trPr/>
        <w:tc>
          <w:tcPr>
            <w:tcW w:w="1236" w:type="dxa"/>
            <w:tcBorders/>
            <w:shd w:fill="auto" w:val="clear"/>
            <w:vAlign w:val="center"/>
          </w:tcPr>
          <w:p>
            <w:pPr>
              <w:pStyle w:val="TableContents"/>
              <w:spacing w:before="0" w:after="283"/>
              <w:rPr>
                <w:sz w:val="4"/>
                <w:szCs w:val="4"/>
              </w:rPr>
            </w:pPr>
            <w:r>
              <w:rPr>
                <w:sz w:val="4"/>
                <w:szCs w:val="4"/>
              </w:rPr>
            </w:r>
          </w:p>
        </w:tc>
        <w:tc>
          <w:tcPr>
            <w:tcW w:w="8969" w:type="dxa"/>
            <w:tcBorders/>
            <w:shd w:fill="auto" w:val="clear"/>
            <w:vAlign w:val="center"/>
          </w:tcPr>
          <w:p>
            <w:pPr>
              <w:pStyle w:val="TableContents"/>
              <w:spacing w:before="0" w:after="283"/>
              <w:rPr>
                <w:sz w:val="4"/>
                <w:szCs w:val="4"/>
              </w:rPr>
            </w:pPr>
            <w:r>
              <w:rPr>
                <w:sz w:val="4"/>
                <w:szCs w:val="4"/>
              </w:rPr>
            </w:r>
          </w:p>
        </w:tc>
      </w:tr>
      <w:tr>
        <w:trPr/>
        <w:tc>
          <w:tcPr>
            <w:tcW w:w="1236" w:type="dxa"/>
            <w:tcBorders/>
            <w:shd w:fill="auto" w:val="clear"/>
            <w:vAlign w:val="center"/>
          </w:tcPr>
          <w:p>
            <w:pPr>
              <w:pStyle w:val="TableContents"/>
              <w:spacing w:lineRule="auto" w:line="288" w:before="0" w:after="0"/>
              <w:ind w:left="0" w:right="0" w:firstLine="1080"/>
              <w:rPr>
                <w:rFonts w:ascii="inherit" w:hAnsi="inherit"/>
                <w:sz w:val="17"/>
              </w:rPr>
            </w:pPr>
            <w:r>
              <w:rPr>
                <w:rFonts w:ascii="inherit" w:hAnsi="inherit"/>
                <w:sz w:val="17"/>
              </w:rPr>
              <w:t>b)</w:t>
            </w:r>
          </w:p>
        </w:tc>
        <w:tc>
          <w:tcPr>
            <w:tcW w:w="8969"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1226"/>
        <w:gridCol w:w="8979"/>
      </w:tblGrid>
      <w:tr>
        <w:trPr/>
        <w:tc>
          <w:tcPr>
            <w:tcW w:w="1226" w:type="dxa"/>
            <w:tcBorders/>
            <w:shd w:fill="auto" w:val="clear"/>
            <w:vAlign w:val="center"/>
          </w:tcPr>
          <w:p>
            <w:pPr>
              <w:pStyle w:val="TableContents"/>
              <w:spacing w:before="0" w:after="283"/>
              <w:rPr>
                <w:sz w:val="4"/>
                <w:szCs w:val="4"/>
              </w:rPr>
            </w:pPr>
            <w:r>
              <w:rPr>
                <w:sz w:val="4"/>
                <w:szCs w:val="4"/>
              </w:rPr>
            </w:r>
          </w:p>
        </w:tc>
        <w:tc>
          <w:tcPr>
            <w:tcW w:w="8979" w:type="dxa"/>
            <w:tcBorders/>
            <w:shd w:fill="auto" w:val="clear"/>
            <w:vAlign w:val="center"/>
          </w:tcPr>
          <w:p>
            <w:pPr>
              <w:pStyle w:val="TableContents"/>
              <w:spacing w:before="0" w:after="283"/>
              <w:rPr>
                <w:sz w:val="4"/>
                <w:szCs w:val="4"/>
              </w:rPr>
            </w:pPr>
            <w:r>
              <w:rPr>
                <w:sz w:val="4"/>
                <w:szCs w:val="4"/>
              </w:rPr>
            </w:r>
          </w:p>
        </w:tc>
      </w:tr>
      <w:tr>
        <w:trPr/>
        <w:tc>
          <w:tcPr>
            <w:tcW w:w="1226" w:type="dxa"/>
            <w:tcBorders/>
            <w:shd w:fill="auto" w:val="clear"/>
            <w:vAlign w:val="center"/>
          </w:tcPr>
          <w:p>
            <w:pPr>
              <w:pStyle w:val="TableContents"/>
              <w:spacing w:lineRule="auto" w:line="288" w:before="0" w:after="0"/>
              <w:ind w:left="0" w:right="0" w:firstLine="1080"/>
              <w:jc w:val="left"/>
              <w:rPr>
                <w:rFonts w:ascii="inherit" w:hAnsi="inherit"/>
                <w:sz w:val="17"/>
              </w:rPr>
            </w:pPr>
            <w:r>
              <w:rPr>
                <w:rFonts w:ascii="inherit" w:hAnsi="inherit"/>
                <w:sz w:val="17"/>
              </w:rPr>
              <w:t>c)</w:t>
            </w:r>
          </w:p>
        </w:tc>
        <w:tc>
          <w:tcPr>
            <w:tcW w:w="8979"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1236"/>
        <w:gridCol w:w="8969"/>
      </w:tblGrid>
      <w:tr>
        <w:trPr/>
        <w:tc>
          <w:tcPr>
            <w:tcW w:w="1236" w:type="dxa"/>
            <w:tcBorders/>
            <w:shd w:fill="auto" w:val="clear"/>
            <w:vAlign w:val="center"/>
          </w:tcPr>
          <w:p>
            <w:pPr>
              <w:pStyle w:val="TableContents"/>
              <w:spacing w:before="0" w:after="283"/>
              <w:rPr>
                <w:sz w:val="4"/>
                <w:szCs w:val="4"/>
              </w:rPr>
            </w:pPr>
            <w:r>
              <w:rPr>
                <w:sz w:val="4"/>
                <w:szCs w:val="4"/>
              </w:rPr>
            </w:r>
          </w:p>
        </w:tc>
        <w:tc>
          <w:tcPr>
            <w:tcW w:w="8969" w:type="dxa"/>
            <w:tcBorders/>
            <w:shd w:fill="auto" w:val="clear"/>
            <w:vAlign w:val="center"/>
          </w:tcPr>
          <w:p>
            <w:pPr>
              <w:pStyle w:val="TableContents"/>
              <w:spacing w:before="0" w:after="283"/>
              <w:rPr>
                <w:sz w:val="4"/>
                <w:szCs w:val="4"/>
              </w:rPr>
            </w:pPr>
            <w:r>
              <w:rPr>
                <w:sz w:val="4"/>
                <w:szCs w:val="4"/>
              </w:rPr>
            </w:r>
          </w:p>
        </w:tc>
      </w:tr>
      <w:tr>
        <w:trPr/>
        <w:tc>
          <w:tcPr>
            <w:tcW w:w="1236" w:type="dxa"/>
            <w:tcBorders/>
            <w:shd w:fill="auto" w:val="clear"/>
            <w:vAlign w:val="center"/>
          </w:tcPr>
          <w:p>
            <w:pPr>
              <w:pStyle w:val="TableContents"/>
              <w:spacing w:lineRule="auto" w:line="288" w:before="0" w:after="0"/>
              <w:ind w:left="0" w:right="0" w:firstLine="1080"/>
              <w:jc w:val="left"/>
              <w:rPr>
                <w:rFonts w:ascii="inherit" w:hAnsi="inherit"/>
                <w:sz w:val="17"/>
              </w:rPr>
            </w:pPr>
            <w:r>
              <w:rPr>
                <w:rFonts w:ascii="inherit" w:hAnsi="inherit"/>
                <w:sz w:val="17"/>
              </w:rPr>
              <w:t>d)</w:t>
            </w:r>
          </w:p>
        </w:tc>
        <w:tc>
          <w:tcPr>
            <w:tcW w:w="8969"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517"/>
        <w:gridCol w:w="9688"/>
      </w:tblGrid>
      <w:tr>
        <w:trPr/>
        <w:tc>
          <w:tcPr>
            <w:tcW w:w="517" w:type="dxa"/>
            <w:tcBorders/>
            <w:shd w:fill="auto" w:val="clear"/>
            <w:vAlign w:val="center"/>
          </w:tcPr>
          <w:p>
            <w:pPr>
              <w:pStyle w:val="TableContents"/>
              <w:spacing w:before="0" w:after="283"/>
              <w:rPr>
                <w:sz w:val="4"/>
                <w:szCs w:val="4"/>
              </w:rPr>
            </w:pPr>
            <w:r>
              <w:rPr>
                <w:sz w:val="4"/>
                <w:szCs w:val="4"/>
              </w:rPr>
            </w:r>
          </w:p>
        </w:tc>
        <w:tc>
          <w:tcPr>
            <w:tcW w:w="9688" w:type="dxa"/>
            <w:tcBorders/>
            <w:shd w:fill="auto" w:val="clear"/>
            <w:vAlign w:val="center"/>
          </w:tcPr>
          <w:p>
            <w:pPr>
              <w:pStyle w:val="TableContents"/>
              <w:spacing w:before="0" w:after="283"/>
              <w:rPr>
                <w:sz w:val="4"/>
                <w:szCs w:val="4"/>
              </w:rPr>
            </w:pPr>
            <w:r>
              <w:rPr>
                <w:sz w:val="4"/>
                <w:szCs w:val="4"/>
              </w:rPr>
            </w:r>
          </w:p>
        </w:tc>
      </w:tr>
      <w:tr>
        <w:trPr/>
        <w:tc>
          <w:tcPr>
            <w:tcW w:w="517" w:type="dxa"/>
            <w:tcBorders/>
            <w:shd w:fill="auto" w:val="clear"/>
            <w:vAlign w:val="center"/>
          </w:tcPr>
          <w:p>
            <w:pPr>
              <w:pStyle w:val="TableContents"/>
              <w:spacing w:lineRule="auto" w:line="288" w:before="0" w:after="0"/>
              <w:ind w:left="0" w:right="0" w:firstLine="360"/>
              <w:jc w:val="left"/>
              <w:rPr>
                <w:rFonts w:ascii="inherit" w:hAnsi="inherit"/>
                <w:sz w:val="17"/>
              </w:rPr>
            </w:pPr>
            <w:r>
              <w:rPr>
                <w:rFonts w:ascii="inherit" w:hAnsi="inherit"/>
                <w:sz w:val="17"/>
              </w:rPr>
              <w:t>5.</w:t>
            </w:r>
          </w:p>
        </w:tc>
        <w:tc>
          <w:tcPr>
            <w:tcW w:w="9688"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1243"/>
        <w:gridCol w:w="8962"/>
      </w:tblGrid>
      <w:tr>
        <w:trPr/>
        <w:tc>
          <w:tcPr>
            <w:tcW w:w="1243" w:type="dxa"/>
            <w:tcBorders/>
            <w:shd w:fill="auto" w:val="clear"/>
            <w:vAlign w:val="center"/>
          </w:tcPr>
          <w:p>
            <w:pPr>
              <w:pStyle w:val="TableContents"/>
              <w:spacing w:before="0" w:after="283"/>
              <w:rPr>
                <w:sz w:val="4"/>
                <w:szCs w:val="4"/>
              </w:rPr>
            </w:pPr>
            <w:r>
              <w:rPr>
                <w:sz w:val="4"/>
                <w:szCs w:val="4"/>
              </w:rPr>
            </w:r>
          </w:p>
        </w:tc>
        <w:tc>
          <w:tcPr>
            <w:tcW w:w="8962" w:type="dxa"/>
            <w:tcBorders/>
            <w:shd w:fill="auto" w:val="clear"/>
            <w:vAlign w:val="center"/>
          </w:tcPr>
          <w:p>
            <w:pPr>
              <w:pStyle w:val="TableContents"/>
              <w:spacing w:before="0" w:after="283"/>
              <w:rPr>
                <w:sz w:val="4"/>
                <w:szCs w:val="4"/>
              </w:rPr>
            </w:pPr>
            <w:r>
              <w:rPr>
                <w:sz w:val="4"/>
                <w:szCs w:val="4"/>
              </w:rPr>
            </w:r>
          </w:p>
        </w:tc>
      </w:tr>
      <w:tr>
        <w:trPr/>
        <w:tc>
          <w:tcPr>
            <w:tcW w:w="1243" w:type="dxa"/>
            <w:tcBorders/>
            <w:shd w:fill="auto" w:val="clear"/>
            <w:vAlign w:val="center"/>
          </w:tcPr>
          <w:p>
            <w:pPr>
              <w:pStyle w:val="TableContents"/>
              <w:spacing w:lineRule="auto" w:line="288" w:before="0" w:after="0"/>
              <w:ind w:left="0" w:right="0" w:firstLine="1080"/>
              <w:jc w:val="left"/>
              <w:rPr>
                <w:rFonts w:ascii="inherit" w:hAnsi="inherit"/>
                <w:sz w:val="17"/>
              </w:rPr>
            </w:pPr>
            <w:r>
              <w:rPr>
                <w:rFonts w:ascii="inherit" w:hAnsi="inherit"/>
                <w:sz w:val="17"/>
              </w:rPr>
              <w:t>a)</w:t>
            </w:r>
          </w:p>
        </w:tc>
        <w:tc>
          <w:tcPr>
            <w:tcW w:w="8962"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1256"/>
        <w:gridCol w:w="8949"/>
      </w:tblGrid>
      <w:tr>
        <w:trPr/>
        <w:tc>
          <w:tcPr>
            <w:tcW w:w="1256" w:type="dxa"/>
            <w:tcBorders/>
            <w:shd w:fill="auto" w:val="clear"/>
            <w:vAlign w:val="center"/>
          </w:tcPr>
          <w:p>
            <w:pPr>
              <w:pStyle w:val="TableContents"/>
              <w:spacing w:before="0" w:after="283"/>
              <w:rPr>
                <w:sz w:val="4"/>
                <w:szCs w:val="4"/>
              </w:rPr>
            </w:pPr>
            <w:r>
              <w:rPr>
                <w:sz w:val="4"/>
                <w:szCs w:val="4"/>
              </w:rPr>
            </w:r>
          </w:p>
        </w:tc>
        <w:tc>
          <w:tcPr>
            <w:tcW w:w="8949" w:type="dxa"/>
            <w:tcBorders/>
            <w:shd w:fill="auto" w:val="clear"/>
            <w:vAlign w:val="center"/>
          </w:tcPr>
          <w:p>
            <w:pPr>
              <w:pStyle w:val="TableContents"/>
              <w:spacing w:before="0" w:after="283"/>
              <w:rPr>
                <w:sz w:val="4"/>
                <w:szCs w:val="4"/>
              </w:rPr>
            </w:pPr>
            <w:r>
              <w:rPr>
                <w:sz w:val="4"/>
                <w:szCs w:val="4"/>
              </w:rPr>
            </w:r>
          </w:p>
        </w:tc>
      </w:tr>
      <w:tr>
        <w:trPr/>
        <w:tc>
          <w:tcPr>
            <w:tcW w:w="1256" w:type="dxa"/>
            <w:tcBorders/>
            <w:shd w:fill="auto" w:val="clear"/>
            <w:vAlign w:val="center"/>
          </w:tcPr>
          <w:p>
            <w:pPr>
              <w:pStyle w:val="TableContents"/>
              <w:spacing w:lineRule="auto" w:line="288" w:before="0" w:after="0"/>
              <w:ind w:left="0" w:right="0" w:firstLine="1080"/>
              <w:jc w:val="left"/>
              <w:rPr>
                <w:rFonts w:ascii="inherit" w:hAnsi="inherit"/>
                <w:sz w:val="17"/>
              </w:rPr>
            </w:pPr>
            <w:r>
              <w:rPr>
                <w:rFonts w:ascii="inherit" w:hAnsi="inherit"/>
                <w:sz w:val="17"/>
              </w:rPr>
              <w:t>b)</w:t>
            </w:r>
          </w:p>
        </w:tc>
        <w:tc>
          <w:tcPr>
            <w:tcW w:w="8949"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any fraud, whether or not material, that involves management or other employees who have a significant role in the registrant's internal control over financial reporting.</w:t>
            </w:r>
          </w:p>
        </w:tc>
      </w:tr>
    </w:tbl>
    <w:p>
      <w:pPr>
        <w:pStyle w:val="TextBody"/>
        <w:spacing w:lineRule="auto" w:line="288" w:before="0" w:after="0"/>
        <w:jc w:val="left"/>
        <w:rPr>
          <w:rFonts w:ascii="inherit" w:hAnsi="inherit"/>
          <w:sz w:val="15"/>
        </w:rPr>
      </w:pPr>
      <w:r>
        <w:rPr>
          <w:rFonts w:ascii="inherit" w:hAnsi="inherit"/>
          <w:sz w:val="15"/>
        </w:rPr>
      </w:r>
    </w:p>
    <w:tbl>
      <w:tblPr>
        <w:tblW w:w="4040" w:type="dxa"/>
        <w:jc w:val="center"/>
        <w:tblInd w:w="0" w:type="dxa"/>
        <w:tblCellMar>
          <w:top w:w="0" w:type="dxa"/>
          <w:left w:w="0" w:type="dxa"/>
          <w:bottom w:w="0" w:type="dxa"/>
          <w:right w:w="0" w:type="dxa"/>
        </w:tblCellMar>
      </w:tblPr>
      <w:tblGrid>
        <w:gridCol w:w="515"/>
        <w:gridCol w:w="1055"/>
        <w:gridCol w:w="335"/>
        <w:gridCol w:w="2135"/>
      </w:tblGrid>
      <w:tr>
        <w:trPr/>
        <w:tc>
          <w:tcPr>
            <w:tcW w:w="4040" w:type="dxa"/>
            <w:gridSpan w:val="4"/>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13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10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May 1, 2019</w:t>
            </w:r>
          </w:p>
        </w:tc>
        <w:tc>
          <w:tcPr>
            <w:tcW w:w="335" w:type="dxa"/>
            <w:tcBorders/>
            <w:shd w:fill="auto" w:val="clear"/>
            <w:vAlign w:val="center"/>
          </w:tcPr>
          <w:p>
            <w:pPr>
              <w:pStyle w:val="TableContents"/>
              <w:spacing w:before="0" w:after="0"/>
              <w:ind w:left="0" w:right="0" w:firstLine="30"/>
              <w:rPr/>
            </w:pPr>
            <w:r>
              <w:rPr/>
              <w:t> </w:t>
            </w:r>
          </w:p>
        </w:tc>
        <w:tc>
          <w:tcPr>
            <w:tcW w:w="2135" w:type="dxa"/>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213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EDWARD B. PITONIAK</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rPr/>
            </w:pPr>
            <w:r>
              <w:rPr/>
              <w:t> </w:t>
            </w:r>
          </w:p>
        </w:tc>
        <w:tc>
          <w:tcPr>
            <w:tcW w:w="2135"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Edward B. Pitoniak</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rPr/>
            </w:pPr>
            <w:r>
              <w:rPr/>
              <w:t> </w:t>
            </w:r>
          </w:p>
        </w:tc>
        <w:tc>
          <w:tcPr>
            <w:tcW w:w="2135" w:type="dxa"/>
            <w:tcBorders/>
            <w:shd w:fill="auto" w:val="clear"/>
            <w:vAlign w:val="center"/>
          </w:tcPr>
          <w:p>
            <w:pPr>
              <w:pStyle w:val="TableContents"/>
              <w:spacing w:before="0" w:after="0"/>
              <w:jc w:val="center"/>
              <w:rPr>
                <w:rFonts w:ascii="inherit" w:hAnsi="inherit"/>
                <w:b/>
                <w:sz w:val="17"/>
              </w:rPr>
            </w:pPr>
            <w:r>
              <w:rPr>
                <w:rFonts w:ascii="inherit" w:hAnsi="inherit"/>
                <w:b/>
                <w:sz w:val="17"/>
              </w:rPr>
              <w:t>Chief Executive Officer</w:t>
            </w:r>
          </w:p>
        </w:tc>
      </w:tr>
    </w:tbl>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jc w:val="both"/>
        <w:rPr>
          <w:rFonts w:ascii="inherit" w:hAnsi="inherit"/>
          <w:sz w:val="17"/>
        </w:rPr>
      </w:pPr>
      <w:r>
        <w:rPr>
          <w:rFonts w:ascii="inherit" w:hAnsi="inherit"/>
          <w:sz w:val="17"/>
        </w:rPr>
      </w:r>
      <w:r>
        <w:br w:type="page"/>
      </w:r>
    </w:p>
    <w:p>
      <w:pPr>
        <w:pStyle w:val="TextBody"/>
        <w:spacing w:lineRule="auto" w:line="288" w:before="0" w:after="0"/>
        <w:jc w:val="right"/>
        <w:rPr>
          <w:rFonts w:ascii="inherit" w:hAnsi="inherit"/>
          <w:b/>
          <w:sz w:val="18"/>
        </w:rPr>
      </w:pPr>
      <w:bookmarkStart w:id="48" w:name="s1C05056B171055F3A47B18020C8E7AEC"/>
      <w:bookmarkStart w:id="49" w:name="viciq1201910-qexh312.htm"/>
      <w:bookmarkStart w:id="50" w:name="ksviciq1201910qexh312"/>
      <w:bookmarkEnd w:id="48"/>
      <w:bookmarkEnd w:id="49"/>
      <w:bookmarkEnd w:id="50"/>
      <w:r>
        <w:rPr>
          <w:rFonts w:ascii="inherit" w:hAnsi="inherit"/>
          <w:b/>
          <w:sz w:val="18"/>
        </w:rPr>
        <w:t>Exhibit 31.2</w:t>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 xml:space="preserve">I, David Kieske, certify that: </w:t>
      </w:r>
    </w:p>
    <w:tbl>
      <w:tblPr>
        <w:tblW w:w="6805" w:type="dxa"/>
        <w:jc w:val="left"/>
        <w:tblInd w:w="0" w:type="dxa"/>
        <w:tblCellMar>
          <w:top w:w="0" w:type="dxa"/>
          <w:left w:w="0" w:type="dxa"/>
          <w:bottom w:w="0" w:type="dxa"/>
          <w:right w:w="0" w:type="dxa"/>
        </w:tblCellMar>
      </w:tblPr>
      <w:tblGrid>
        <w:gridCol w:w="545"/>
        <w:gridCol w:w="6260"/>
      </w:tblGrid>
      <w:tr>
        <w:trPr/>
        <w:tc>
          <w:tcPr>
            <w:tcW w:w="545" w:type="dxa"/>
            <w:tcBorders/>
            <w:shd w:fill="auto" w:val="clear"/>
            <w:vAlign w:val="center"/>
          </w:tcPr>
          <w:p>
            <w:pPr>
              <w:pStyle w:val="TableContents"/>
              <w:spacing w:before="0" w:after="283"/>
              <w:rPr>
                <w:sz w:val="4"/>
                <w:szCs w:val="4"/>
              </w:rPr>
            </w:pPr>
            <w:r>
              <w:rPr>
                <w:sz w:val="4"/>
                <w:szCs w:val="4"/>
              </w:rPr>
            </w:r>
          </w:p>
        </w:tc>
        <w:tc>
          <w:tcPr>
            <w:tcW w:w="6260" w:type="dxa"/>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vAlign w:val="center"/>
          </w:tcPr>
          <w:p>
            <w:pPr>
              <w:pStyle w:val="TableContents"/>
              <w:spacing w:lineRule="auto" w:line="288" w:before="0" w:after="0"/>
              <w:ind w:left="0" w:right="0" w:firstLine="360"/>
              <w:jc w:val="left"/>
              <w:rPr>
                <w:rFonts w:ascii="inherit" w:hAnsi="inherit"/>
                <w:sz w:val="17"/>
              </w:rPr>
            </w:pPr>
            <w:r>
              <w:rPr>
                <w:rFonts w:ascii="inherit" w:hAnsi="inherit"/>
                <w:sz w:val="17"/>
              </w:rPr>
              <w:t>1.</w:t>
            </w:r>
          </w:p>
        </w:tc>
        <w:tc>
          <w:tcPr>
            <w:tcW w:w="626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 have reviewed this Quarterly Report on Form 10-Q of VICI Properties Inc.;</w:t>
            </w:r>
          </w:p>
        </w:tc>
      </w:tr>
    </w:tbl>
    <w:tbl>
      <w:tblPr>
        <w:tblW w:w="10205" w:type="dxa"/>
        <w:jc w:val="left"/>
        <w:tblInd w:w="0" w:type="dxa"/>
        <w:tblCellMar>
          <w:top w:w="0" w:type="dxa"/>
          <w:left w:w="0" w:type="dxa"/>
          <w:bottom w:w="0" w:type="dxa"/>
          <w:right w:w="0" w:type="dxa"/>
        </w:tblCellMar>
      </w:tblPr>
      <w:tblGrid>
        <w:gridCol w:w="515"/>
        <w:gridCol w:w="9690"/>
      </w:tblGrid>
      <w:tr>
        <w:trPr/>
        <w:tc>
          <w:tcPr>
            <w:tcW w:w="515" w:type="dxa"/>
            <w:tcBorders/>
            <w:shd w:fill="auto" w:val="clear"/>
            <w:vAlign w:val="center"/>
          </w:tcPr>
          <w:p>
            <w:pPr>
              <w:pStyle w:val="TableContents"/>
              <w:spacing w:before="0" w:after="283"/>
              <w:rPr>
                <w:sz w:val="4"/>
                <w:szCs w:val="4"/>
              </w:rPr>
            </w:pPr>
            <w:r>
              <w:rPr>
                <w:sz w:val="4"/>
                <w:szCs w:val="4"/>
              </w:rPr>
            </w:r>
          </w:p>
        </w:tc>
        <w:tc>
          <w:tcPr>
            <w:tcW w:w="9690" w:type="dxa"/>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lineRule="auto" w:line="288" w:before="0" w:after="0"/>
              <w:ind w:left="0" w:right="0" w:firstLine="360"/>
              <w:jc w:val="left"/>
              <w:rPr>
                <w:rFonts w:ascii="inherit" w:hAnsi="inherit"/>
                <w:sz w:val="17"/>
              </w:rPr>
            </w:pPr>
            <w:r>
              <w:rPr>
                <w:rFonts w:ascii="inherit" w:hAnsi="inherit"/>
                <w:sz w:val="17"/>
              </w:rPr>
              <w:t>2.</w:t>
            </w:r>
          </w:p>
        </w:tc>
        <w:tc>
          <w:tcPr>
            <w:tcW w:w="969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518"/>
        <w:gridCol w:w="9687"/>
      </w:tblGrid>
      <w:tr>
        <w:trPr/>
        <w:tc>
          <w:tcPr>
            <w:tcW w:w="518" w:type="dxa"/>
            <w:tcBorders/>
            <w:shd w:fill="auto" w:val="clear"/>
            <w:vAlign w:val="center"/>
          </w:tcPr>
          <w:p>
            <w:pPr>
              <w:pStyle w:val="TableContents"/>
              <w:spacing w:before="0" w:after="283"/>
              <w:rPr>
                <w:sz w:val="4"/>
                <w:szCs w:val="4"/>
              </w:rPr>
            </w:pPr>
            <w:r>
              <w:rPr>
                <w:sz w:val="4"/>
                <w:szCs w:val="4"/>
              </w:rPr>
            </w:r>
          </w:p>
        </w:tc>
        <w:tc>
          <w:tcPr>
            <w:tcW w:w="9687" w:type="dxa"/>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vAlign w:val="center"/>
          </w:tcPr>
          <w:p>
            <w:pPr>
              <w:pStyle w:val="TableContents"/>
              <w:spacing w:lineRule="auto" w:line="288" w:before="0" w:after="0"/>
              <w:ind w:left="0" w:right="0" w:firstLine="360"/>
              <w:jc w:val="left"/>
              <w:rPr>
                <w:rFonts w:ascii="inherit" w:hAnsi="inherit"/>
                <w:sz w:val="17"/>
              </w:rPr>
            </w:pPr>
            <w:r>
              <w:rPr>
                <w:rFonts w:ascii="inherit" w:hAnsi="inherit"/>
                <w:sz w:val="17"/>
              </w:rPr>
              <w:t>3.</w:t>
            </w:r>
          </w:p>
        </w:tc>
        <w:tc>
          <w:tcPr>
            <w:tcW w:w="9687"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515"/>
        <w:gridCol w:w="9690"/>
      </w:tblGrid>
      <w:tr>
        <w:trPr/>
        <w:tc>
          <w:tcPr>
            <w:tcW w:w="515" w:type="dxa"/>
            <w:tcBorders/>
            <w:shd w:fill="auto" w:val="clear"/>
            <w:vAlign w:val="center"/>
          </w:tcPr>
          <w:p>
            <w:pPr>
              <w:pStyle w:val="TableContents"/>
              <w:spacing w:before="0" w:after="283"/>
              <w:rPr>
                <w:sz w:val="4"/>
                <w:szCs w:val="4"/>
              </w:rPr>
            </w:pPr>
            <w:r>
              <w:rPr>
                <w:sz w:val="4"/>
                <w:szCs w:val="4"/>
              </w:rPr>
            </w:r>
          </w:p>
        </w:tc>
        <w:tc>
          <w:tcPr>
            <w:tcW w:w="9690" w:type="dxa"/>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lineRule="auto" w:line="288" w:before="0" w:after="0"/>
              <w:ind w:left="0" w:right="0" w:firstLine="360"/>
              <w:jc w:val="left"/>
              <w:rPr>
                <w:rFonts w:ascii="inherit" w:hAnsi="inherit"/>
                <w:sz w:val="17"/>
              </w:rPr>
            </w:pPr>
            <w:r>
              <w:rPr>
                <w:rFonts w:ascii="inherit" w:hAnsi="inherit"/>
                <w:sz w:val="17"/>
              </w:rPr>
              <w:t>4.</w:t>
            </w:r>
          </w:p>
        </w:tc>
        <w:tc>
          <w:tcPr>
            <w:tcW w:w="969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1236"/>
        <w:gridCol w:w="8969"/>
      </w:tblGrid>
      <w:tr>
        <w:trPr/>
        <w:tc>
          <w:tcPr>
            <w:tcW w:w="1236" w:type="dxa"/>
            <w:tcBorders/>
            <w:shd w:fill="auto" w:val="clear"/>
            <w:vAlign w:val="center"/>
          </w:tcPr>
          <w:p>
            <w:pPr>
              <w:pStyle w:val="TableContents"/>
              <w:spacing w:before="0" w:after="283"/>
              <w:rPr>
                <w:sz w:val="4"/>
                <w:szCs w:val="4"/>
              </w:rPr>
            </w:pPr>
            <w:r>
              <w:rPr>
                <w:sz w:val="4"/>
                <w:szCs w:val="4"/>
              </w:rPr>
            </w:r>
          </w:p>
        </w:tc>
        <w:tc>
          <w:tcPr>
            <w:tcW w:w="8969" w:type="dxa"/>
            <w:tcBorders/>
            <w:shd w:fill="auto" w:val="clear"/>
            <w:vAlign w:val="center"/>
          </w:tcPr>
          <w:p>
            <w:pPr>
              <w:pStyle w:val="TableContents"/>
              <w:spacing w:before="0" w:after="283"/>
              <w:rPr>
                <w:sz w:val="4"/>
                <w:szCs w:val="4"/>
              </w:rPr>
            </w:pPr>
            <w:r>
              <w:rPr>
                <w:sz w:val="4"/>
                <w:szCs w:val="4"/>
              </w:rPr>
            </w:r>
          </w:p>
        </w:tc>
      </w:tr>
      <w:tr>
        <w:trPr/>
        <w:tc>
          <w:tcPr>
            <w:tcW w:w="1236" w:type="dxa"/>
            <w:tcBorders/>
            <w:shd w:fill="auto" w:val="clear"/>
            <w:vAlign w:val="center"/>
          </w:tcPr>
          <w:p>
            <w:pPr>
              <w:pStyle w:val="TableContents"/>
              <w:spacing w:lineRule="auto" w:line="288" w:before="0" w:after="0"/>
              <w:ind w:left="0" w:right="0" w:firstLine="1080"/>
              <w:jc w:val="left"/>
              <w:rPr>
                <w:rFonts w:ascii="inherit" w:hAnsi="inherit"/>
                <w:sz w:val="17"/>
              </w:rPr>
            </w:pPr>
            <w:r>
              <w:rPr>
                <w:rFonts w:ascii="inherit" w:hAnsi="inherit"/>
                <w:sz w:val="17"/>
              </w:rPr>
              <w:t>a)</w:t>
            </w:r>
          </w:p>
        </w:tc>
        <w:tc>
          <w:tcPr>
            <w:tcW w:w="8969"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1236"/>
        <w:gridCol w:w="8969"/>
      </w:tblGrid>
      <w:tr>
        <w:trPr/>
        <w:tc>
          <w:tcPr>
            <w:tcW w:w="1236" w:type="dxa"/>
            <w:tcBorders/>
            <w:shd w:fill="auto" w:val="clear"/>
            <w:vAlign w:val="center"/>
          </w:tcPr>
          <w:p>
            <w:pPr>
              <w:pStyle w:val="TableContents"/>
              <w:spacing w:before="0" w:after="283"/>
              <w:rPr>
                <w:sz w:val="4"/>
                <w:szCs w:val="4"/>
              </w:rPr>
            </w:pPr>
            <w:r>
              <w:rPr>
                <w:sz w:val="4"/>
                <w:szCs w:val="4"/>
              </w:rPr>
            </w:r>
          </w:p>
        </w:tc>
        <w:tc>
          <w:tcPr>
            <w:tcW w:w="8969" w:type="dxa"/>
            <w:tcBorders/>
            <w:shd w:fill="auto" w:val="clear"/>
            <w:vAlign w:val="center"/>
          </w:tcPr>
          <w:p>
            <w:pPr>
              <w:pStyle w:val="TableContents"/>
              <w:spacing w:before="0" w:after="283"/>
              <w:rPr>
                <w:sz w:val="4"/>
                <w:szCs w:val="4"/>
              </w:rPr>
            </w:pPr>
            <w:r>
              <w:rPr>
                <w:sz w:val="4"/>
                <w:szCs w:val="4"/>
              </w:rPr>
            </w:r>
          </w:p>
        </w:tc>
      </w:tr>
      <w:tr>
        <w:trPr/>
        <w:tc>
          <w:tcPr>
            <w:tcW w:w="1236" w:type="dxa"/>
            <w:tcBorders/>
            <w:shd w:fill="auto" w:val="clear"/>
            <w:vAlign w:val="center"/>
          </w:tcPr>
          <w:p>
            <w:pPr>
              <w:pStyle w:val="TableContents"/>
              <w:spacing w:lineRule="auto" w:line="288" w:before="0" w:after="0"/>
              <w:ind w:left="0" w:right="0" w:firstLine="1080"/>
              <w:rPr>
                <w:rFonts w:ascii="inherit" w:hAnsi="inherit"/>
                <w:sz w:val="17"/>
              </w:rPr>
            </w:pPr>
            <w:r>
              <w:rPr>
                <w:rFonts w:ascii="inherit" w:hAnsi="inherit"/>
                <w:sz w:val="17"/>
              </w:rPr>
              <w:t>b)</w:t>
            </w:r>
          </w:p>
        </w:tc>
        <w:tc>
          <w:tcPr>
            <w:tcW w:w="8969"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1226"/>
        <w:gridCol w:w="8979"/>
      </w:tblGrid>
      <w:tr>
        <w:trPr/>
        <w:tc>
          <w:tcPr>
            <w:tcW w:w="1226" w:type="dxa"/>
            <w:tcBorders/>
            <w:shd w:fill="auto" w:val="clear"/>
            <w:vAlign w:val="center"/>
          </w:tcPr>
          <w:p>
            <w:pPr>
              <w:pStyle w:val="TableContents"/>
              <w:spacing w:before="0" w:after="283"/>
              <w:rPr>
                <w:sz w:val="4"/>
                <w:szCs w:val="4"/>
              </w:rPr>
            </w:pPr>
            <w:r>
              <w:rPr>
                <w:sz w:val="4"/>
                <w:szCs w:val="4"/>
              </w:rPr>
            </w:r>
          </w:p>
        </w:tc>
        <w:tc>
          <w:tcPr>
            <w:tcW w:w="8979" w:type="dxa"/>
            <w:tcBorders/>
            <w:shd w:fill="auto" w:val="clear"/>
            <w:vAlign w:val="center"/>
          </w:tcPr>
          <w:p>
            <w:pPr>
              <w:pStyle w:val="TableContents"/>
              <w:spacing w:before="0" w:after="283"/>
              <w:rPr>
                <w:sz w:val="4"/>
                <w:szCs w:val="4"/>
              </w:rPr>
            </w:pPr>
            <w:r>
              <w:rPr>
                <w:sz w:val="4"/>
                <w:szCs w:val="4"/>
              </w:rPr>
            </w:r>
          </w:p>
        </w:tc>
      </w:tr>
      <w:tr>
        <w:trPr/>
        <w:tc>
          <w:tcPr>
            <w:tcW w:w="1226" w:type="dxa"/>
            <w:tcBorders/>
            <w:shd w:fill="auto" w:val="clear"/>
            <w:vAlign w:val="center"/>
          </w:tcPr>
          <w:p>
            <w:pPr>
              <w:pStyle w:val="TableContents"/>
              <w:spacing w:lineRule="auto" w:line="288" w:before="0" w:after="0"/>
              <w:ind w:left="0" w:right="0" w:firstLine="1080"/>
              <w:rPr>
                <w:rFonts w:ascii="inherit" w:hAnsi="inherit"/>
                <w:sz w:val="17"/>
              </w:rPr>
            </w:pPr>
            <w:r>
              <w:rPr>
                <w:rFonts w:ascii="inherit" w:hAnsi="inherit"/>
                <w:sz w:val="17"/>
              </w:rPr>
              <w:t>c)</w:t>
            </w:r>
          </w:p>
        </w:tc>
        <w:tc>
          <w:tcPr>
            <w:tcW w:w="8979"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1236"/>
        <w:gridCol w:w="8969"/>
      </w:tblGrid>
      <w:tr>
        <w:trPr/>
        <w:tc>
          <w:tcPr>
            <w:tcW w:w="1236" w:type="dxa"/>
            <w:tcBorders/>
            <w:shd w:fill="auto" w:val="clear"/>
            <w:vAlign w:val="center"/>
          </w:tcPr>
          <w:p>
            <w:pPr>
              <w:pStyle w:val="TableContents"/>
              <w:spacing w:before="0" w:after="283"/>
              <w:rPr>
                <w:sz w:val="4"/>
                <w:szCs w:val="4"/>
              </w:rPr>
            </w:pPr>
            <w:r>
              <w:rPr>
                <w:sz w:val="4"/>
                <w:szCs w:val="4"/>
              </w:rPr>
            </w:r>
          </w:p>
        </w:tc>
        <w:tc>
          <w:tcPr>
            <w:tcW w:w="8969" w:type="dxa"/>
            <w:tcBorders/>
            <w:shd w:fill="auto" w:val="clear"/>
            <w:vAlign w:val="center"/>
          </w:tcPr>
          <w:p>
            <w:pPr>
              <w:pStyle w:val="TableContents"/>
              <w:spacing w:before="0" w:after="283"/>
              <w:rPr>
                <w:sz w:val="4"/>
                <w:szCs w:val="4"/>
              </w:rPr>
            </w:pPr>
            <w:r>
              <w:rPr>
                <w:sz w:val="4"/>
                <w:szCs w:val="4"/>
              </w:rPr>
            </w:r>
          </w:p>
        </w:tc>
      </w:tr>
      <w:tr>
        <w:trPr/>
        <w:tc>
          <w:tcPr>
            <w:tcW w:w="1236" w:type="dxa"/>
            <w:tcBorders/>
            <w:shd w:fill="auto" w:val="clear"/>
            <w:vAlign w:val="center"/>
          </w:tcPr>
          <w:p>
            <w:pPr>
              <w:pStyle w:val="TableContents"/>
              <w:spacing w:lineRule="auto" w:line="288" w:before="0" w:after="0"/>
              <w:ind w:left="0" w:right="0" w:firstLine="1080"/>
              <w:jc w:val="left"/>
              <w:rPr>
                <w:rFonts w:ascii="inherit" w:hAnsi="inherit"/>
                <w:sz w:val="17"/>
              </w:rPr>
            </w:pPr>
            <w:r>
              <w:rPr>
                <w:rFonts w:ascii="inherit" w:hAnsi="inherit"/>
                <w:sz w:val="17"/>
              </w:rPr>
              <w:t>d)</w:t>
            </w:r>
          </w:p>
        </w:tc>
        <w:tc>
          <w:tcPr>
            <w:tcW w:w="8969"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517"/>
        <w:gridCol w:w="9688"/>
      </w:tblGrid>
      <w:tr>
        <w:trPr/>
        <w:tc>
          <w:tcPr>
            <w:tcW w:w="517" w:type="dxa"/>
            <w:tcBorders/>
            <w:shd w:fill="auto" w:val="clear"/>
            <w:vAlign w:val="center"/>
          </w:tcPr>
          <w:p>
            <w:pPr>
              <w:pStyle w:val="TableContents"/>
              <w:spacing w:before="0" w:after="283"/>
              <w:rPr>
                <w:sz w:val="4"/>
                <w:szCs w:val="4"/>
              </w:rPr>
            </w:pPr>
            <w:r>
              <w:rPr>
                <w:sz w:val="4"/>
                <w:szCs w:val="4"/>
              </w:rPr>
            </w:r>
          </w:p>
        </w:tc>
        <w:tc>
          <w:tcPr>
            <w:tcW w:w="9688" w:type="dxa"/>
            <w:tcBorders/>
            <w:shd w:fill="auto" w:val="clear"/>
            <w:vAlign w:val="center"/>
          </w:tcPr>
          <w:p>
            <w:pPr>
              <w:pStyle w:val="TableContents"/>
              <w:spacing w:before="0" w:after="283"/>
              <w:rPr>
                <w:sz w:val="4"/>
                <w:szCs w:val="4"/>
              </w:rPr>
            </w:pPr>
            <w:r>
              <w:rPr>
                <w:sz w:val="4"/>
                <w:szCs w:val="4"/>
              </w:rPr>
            </w:r>
          </w:p>
        </w:tc>
      </w:tr>
      <w:tr>
        <w:trPr/>
        <w:tc>
          <w:tcPr>
            <w:tcW w:w="517" w:type="dxa"/>
            <w:tcBorders/>
            <w:shd w:fill="auto" w:val="clear"/>
            <w:vAlign w:val="center"/>
          </w:tcPr>
          <w:p>
            <w:pPr>
              <w:pStyle w:val="TableContents"/>
              <w:spacing w:lineRule="auto" w:line="288" w:before="0" w:after="0"/>
              <w:ind w:left="0" w:right="0" w:firstLine="360"/>
              <w:jc w:val="left"/>
              <w:rPr>
                <w:rFonts w:ascii="inherit" w:hAnsi="inherit"/>
                <w:sz w:val="17"/>
              </w:rPr>
            </w:pPr>
            <w:r>
              <w:rPr>
                <w:rFonts w:ascii="inherit" w:hAnsi="inherit"/>
                <w:sz w:val="17"/>
              </w:rPr>
              <w:t>5.</w:t>
            </w:r>
          </w:p>
        </w:tc>
        <w:tc>
          <w:tcPr>
            <w:tcW w:w="9688"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1243"/>
        <w:gridCol w:w="8962"/>
      </w:tblGrid>
      <w:tr>
        <w:trPr/>
        <w:tc>
          <w:tcPr>
            <w:tcW w:w="1243" w:type="dxa"/>
            <w:tcBorders/>
            <w:shd w:fill="auto" w:val="clear"/>
            <w:vAlign w:val="center"/>
          </w:tcPr>
          <w:p>
            <w:pPr>
              <w:pStyle w:val="TableContents"/>
              <w:spacing w:before="0" w:after="283"/>
              <w:rPr>
                <w:sz w:val="4"/>
                <w:szCs w:val="4"/>
              </w:rPr>
            </w:pPr>
            <w:r>
              <w:rPr>
                <w:sz w:val="4"/>
                <w:szCs w:val="4"/>
              </w:rPr>
            </w:r>
          </w:p>
        </w:tc>
        <w:tc>
          <w:tcPr>
            <w:tcW w:w="8962" w:type="dxa"/>
            <w:tcBorders/>
            <w:shd w:fill="auto" w:val="clear"/>
            <w:vAlign w:val="center"/>
          </w:tcPr>
          <w:p>
            <w:pPr>
              <w:pStyle w:val="TableContents"/>
              <w:spacing w:before="0" w:after="283"/>
              <w:rPr>
                <w:sz w:val="4"/>
                <w:szCs w:val="4"/>
              </w:rPr>
            </w:pPr>
            <w:r>
              <w:rPr>
                <w:sz w:val="4"/>
                <w:szCs w:val="4"/>
              </w:rPr>
            </w:r>
          </w:p>
        </w:tc>
      </w:tr>
      <w:tr>
        <w:trPr/>
        <w:tc>
          <w:tcPr>
            <w:tcW w:w="1243" w:type="dxa"/>
            <w:tcBorders/>
            <w:shd w:fill="auto" w:val="clear"/>
            <w:vAlign w:val="center"/>
          </w:tcPr>
          <w:p>
            <w:pPr>
              <w:pStyle w:val="TableContents"/>
              <w:spacing w:lineRule="auto" w:line="288" w:before="0" w:after="0"/>
              <w:ind w:left="0" w:right="0" w:firstLine="1080"/>
              <w:jc w:val="left"/>
              <w:rPr>
                <w:rFonts w:ascii="inherit" w:hAnsi="inherit"/>
                <w:sz w:val="17"/>
              </w:rPr>
            </w:pPr>
            <w:r>
              <w:rPr>
                <w:rFonts w:ascii="inherit" w:hAnsi="inherit"/>
                <w:sz w:val="17"/>
              </w:rPr>
              <w:t>a)</w:t>
            </w:r>
          </w:p>
        </w:tc>
        <w:tc>
          <w:tcPr>
            <w:tcW w:w="8962"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1256"/>
        <w:gridCol w:w="8949"/>
      </w:tblGrid>
      <w:tr>
        <w:trPr/>
        <w:tc>
          <w:tcPr>
            <w:tcW w:w="1256" w:type="dxa"/>
            <w:tcBorders/>
            <w:shd w:fill="auto" w:val="clear"/>
            <w:vAlign w:val="center"/>
          </w:tcPr>
          <w:p>
            <w:pPr>
              <w:pStyle w:val="TableContents"/>
              <w:spacing w:before="0" w:after="283"/>
              <w:rPr>
                <w:sz w:val="4"/>
                <w:szCs w:val="4"/>
              </w:rPr>
            </w:pPr>
            <w:r>
              <w:rPr>
                <w:sz w:val="4"/>
                <w:szCs w:val="4"/>
              </w:rPr>
            </w:r>
          </w:p>
        </w:tc>
        <w:tc>
          <w:tcPr>
            <w:tcW w:w="8949" w:type="dxa"/>
            <w:tcBorders/>
            <w:shd w:fill="auto" w:val="clear"/>
            <w:vAlign w:val="center"/>
          </w:tcPr>
          <w:p>
            <w:pPr>
              <w:pStyle w:val="TableContents"/>
              <w:spacing w:before="0" w:after="283"/>
              <w:rPr>
                <w:sz w:val="4"/>
                <w:szCs w:val="4"/>
              </w:rPr>
            </w:pPr>
            <w:r>
              <w:rPr>
                <w:sz w:val="4"/>
                <w:szCs w:val="4"/>
              </w:rPr>
            </w:r>
          </w:p>
        </w:tc>
      </w:tr>
      <w:tr>
        <w:trPr/>
        <w:tc>
          <w:tcPr>
            <w:tcW w:w="1256" w:type="dxa"/>
            <w:tcBorders/>
            <w:shd w:fill="auto" w:val="clear"/>
            <w:vAlign w:val="center"/>
          </w:tcPr>
          <w:p>
            <w:pPr>
              <w:pStyle w:val="TableContents"/>
              <w:spacing w:lineRule="auto" w:line="288" w:before="0" w:after="0"/>
              <w:ind w:left="0" w:right="0" w:firstLine="1080"/>
              <w:jc w:val="left"/>
              <w:rPr>
                <w:rFonts w:ascii="inherit" w:hAnsi="inherit"/>
                <w:sz w:val="17"/>
              </w:rPr>
            </w:pPr>
            <w:r>
              <w:rPr>
                <w:rFonts w:ascii="inherit" w:hAnsi="inherit"/>
                <w:sz w:val="17"/>
              </w:rPr>
              <w:t>b)</w:t>
            </w:r>
          </w:p>
        </w:tc>
        <w:tc>
          <w:tcPr>
            <w:tcW w:w="8949"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any fraud, whether or not material, that involves management or other employees who have a significant role in the registrant's internal control over financial reporting.</w:t>
            </w:r>
          </w:p>
        </w:tc>
      </w:tr>
    </w:tbl>
    <w:p>
      <w:pPr>
        <w:pStyle w:val="TextBody"/>
        <w:spacing w:lineRule="auto" w:line="288" w:before="0" w:after="0"/>
        <w:jc w:val="left"/>
        <w:rPr/>
      </w:pPr>
      <w:r>
        <w:rPr/>
        <w:t> </w:t>
      </w:r>
    </w:p>
    <w:tbl>
      <w:tblPr>
        <w:tblW w:w="3995" w:type="dxa"/>
        <w:jc w:val="center"/>
        <w:tblInd w:w="0" w:type="dxa"/>
        <w:tblCellMar>
          <w:top w:w="0" w:type="dxa"/>
          <w:left w:w="0" w:type="dxa"/>
          <w:bottom w:w="0" w:type="dxa"/>
          <w:right w:w="0" w:type="dxa"/>
        </w:tblCellMar>
      </w:tblPr>
      <w:tblGrid>
        <w:gridCol w:w="515"/>
        <w:gridCol w:w="1055"/>
        <w:gridCol w:w="335"/>
        <w:gridCol w:w="2090"/>
      </w:tblGrid>
      <w:tr>
        <w:trPr/>
        <w:tc>
          <w:tcPr>
            <w:tcW w:w="3995" w:type="dxa"/>
            <w:gridSpan w:val="4"/>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0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10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May 1, 2019</w:t>
            </w:r>
          </w:p>
        </w:tc>
        <w:tc>
          <w:tcPr>
            <w:tcW w:w="335" w:type="dxa"/>
            <w:tcBorders/>
            <w:shd w:fill="auto" w:val="clear"/>
            <w:vAlign w:val="center"/>
          </w:tcPr>
          <w:p>
            <w:pPr>
              <w:pStyle w:val="TableContents"/>
              <w:spacing w:before="0" w:after="0"/>
              <w:ind w:left="0" w:right="0" w:firstLine="30"/>
              <w:rPr/>
            </w:pPr>
            <w:r>
              <w:rPr/>
              <w:t> </w:t>
            </w:r>
          </w:p>
        </w:tc>
        <w:tc>
          <w:tcPr>
            <w:tcW w:w="2090" w:type="dxa"/>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209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DAVID A. KIESKE</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rPr/>
            </w:pPr>
            <w:r>
              <w:rPr/>
              <w:t> </w:t>
            </w:r>
          </w:p>
        </w:tc>
        <w:tc>
          <w:tcPr>
            <w:tcW w:w="2090"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David A. Kieske</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rPr/>
            </w:pPr>
            <w:r>
              <w:rPr/>
              <w:t> </w:t>
            </w:r>
          </w:p>
        </w:tc>
        <w:tc>
          <w:tcPr>
            <w:tcW w:w="2090" w:type="dxa"/>
            <w:tcBorders/>
            <w:shd w:fill="auto" w:val="clear"/>
            <w:vAlign w:val="center"/>
          </w:tcPr>
          <w:p>
            <w:pPr>
              <w:pStyle w:val="TableContents"/>
              <w:spacing w:before="0" w:after="0"/>
              <w:jc w:val="center"/>
              <w:rPr>
                <w:rFonts w:ascii="inherit" w:hAnsi="inherit"/>
                <w:b/>
                <w:sz w:val="17"/>
              </w:rPr>
            </w:pPr>
            <w:r>
              <w:rPr>
                <w:rFonts w:ascii="inherit" w:hAnsi="inherit"/>
                <w:b/>
                <w:sz w:val="17"/>
              </w:rPr>
              <w:t>Chief Financial Officer</w:t>
            </w:r>
          </w:p>
        </w:tc>
      </w:tr>
    </w:tbl>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jc w:val="both"/>
        <w:rPr>
          <w:rFonts w:ascii="inherit" w:hAnsi="inherit"/>
          <w:sz w:val="17"/>
        </w:rPr>
      </w:pPr>
      <w:r>
        <w:rPr>
          <w:rFonts w:ascii="inherit" w:hAnsi="inherit"/>
          <w:sz w:val="17"/>
        </w:rPr>
      </w:r>
      <w:r>
        <w:br w:type="page"/>
      </w:r>
    </w:p>
    <w:p>
      <w:pPr>
        <w:pStyle w:val="TextBody"/>
        <w:spacing w:lineRule="auto" w:line="288" w:before="0" w:after="0"/>
        <w:jc w:val="right"/>
        <w:rPr>
          <w:rFonts w:ascii="inherit" w:hAnsi="inherit"/>
          <w:b/>
          <w:sz w:val="18"/>
        </w:rPr>
      </w:pPr>
      <w:bookmarkStart w:id="51" w:name="sD38B6194882B5B49B1BD210B272AA4E0"/>
      <w:bookmarkStart w:id="52" w:name="viciq1201910-qexh321.htm"/>
      <w:bookmarkStart w:id="53" w:name="ksviciq1201910qexh321"/>
      <w:bookmarkEnd w:id="51"/>
      <w:bookmarkEnd w:id="52"/>
      <w:bookmarkEnd w:id="53"/>
      <w:r>
        <w:rPr>
          <w:rFonts w:ascii="inherit" w:hAnsi="inherit"/>
          <w:b/>
          <w:sz w:val="18"/>
        </w:rPr>
        <w:t>Exhibit 32.1</w:t>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 xml:space="preserve">Certification of Principal Executive Officer </w:t>
      </w:r>
    </w:p>
    <w:p>
      <w:pPr>
        <w:pStyle w:val="TextBody"/>
        <w:spacing w:lineRule="auto" w:line="288" w:before="0" w:after="0"/>
        <w:jc w:val="both"/>
        <w:rPr>
          <w:rFonts w:ascii="inherit" w:hAnsi="inherit"/>
          <w:sz w:val="17"/>
        </w:rPr>
      </w:pPr>
      <w:r>
        <w:rPr>
          <w:rFonts w:ascii="inherit" w:hAnsi="inherit"/>
          <w:sz w:val="17"/>
        </w:rPr>
        <w:t xml:space="preserve">Pursuant to 18 U.S.C. § 1350, as created by Section 906 of the Sarbanes-Oxley Act of 2002, the undersigned officer of VICI Properties Inc. (the “Company”), hereby certifies, to such officer's knowledge, that: </w:t>
      </w:r>
    </w:p>
    <w:p>
      <w:pPr>
        <w:pStyle w:val="TextBody"/>
        <w:spacing w:lineRule="auto" w:line="288" w:before="0" w:after="0"/>
        <w:ind w:left="0" w:right="0" w:firstLine="450"/>
        <w:jc w:val="both"/>
        <w:rPr/>
      </w:pPr>
      <w:r>
        <w:rPr>
          <w:rFonts w:ascii="inherit" w:hAnsi="inherit"/>
          <w:sz w:val="17"/>
        </w:rPr>
        <w:t>(i)the accompanying Quarterly Report on Form 10-Q of the Company for the quarterly period ended March 31, 2019</w:t>
      </w:r>
      <w:r>
        <w:rPr/>
        <w:t xml:space="preserve"> </w:t>
      </w:r>
      <w:r>
        <w:rPr>
          <w:rFonts w:ascii="inherit" w:hAnsi="inherit"/>
          <w:sz w:val="17"/>
        </w:rPr>
        <w:t xml:space="preserve">(the “Report”) fully complies with the requirements of Section 13(a) or Section 15(d), as applicable, of the Securities Exchange Act of 1934, as amended; and </w:t>
      </w:r>
    </w:p>
    <w:p>
      <w:pPr>
        <w:pStyle w:val="TextBody"/>
        <w:spacing w:lineRule="auto" w:line="288" w:before="0" w:after="0"/>
        <w:ind w:left="0" w:right="0" w:firstLine="450"/>
        <w:jc w:val="both"/>
        <w:rPr>
          <w:rFonts w:ascii="inherit" w:hAnsi="inherit"/>
          <w:sz w:val="17"/>
        </w:rPr>
      </w:pPr>
      <w:r>
        <w:rPr>
          <w:rFonts w:ascii="inherit" w:hAnsi="inherit"/>
          <w:sz w:val="17"/>
        </w:rPr>
        <w:t xml:space="preserve">(ii)the information contained in the Report fairly presents, in all material respects, the financial condition and results of operations of the Company. </w:t>
      </w:r>
    </w:p>
    <w:p>
      <w:pPr>
        <w:pStyle w:val="TextBody"/>
        <w:spacing w:lineRule="auto" w:line="288" w:before="0" w:after="0"/>
        <w:jc w:val="both"/>
        <w:rPr>
          <w:rFonts w:ascii="inherit" w:hAnsi="inherit"/>
          <w:sz w:val="17"/>
        </w:rPr>
      </w:pPr>
      <w:r>
        <w:rPr>
          <w:rFonts w:ascii="inherit" w:hAnsi="inherit"/>
          <w:sz w:val="17"/>
        </w:rPr>
      </w:r>
    </w:p>
    <w:tbl>
      <w:tblPr>
        <w:tblW w:w="4040" w:type="dxa"/>
        <w:jc w:val="center"/>
        <w:tblInd w:w="0" w:type="dxa"/>
        <w:tblCellMar>
          <w:top w:w="0" w:type="dxa"/>
          <w:left w:w="0" w:type="dxa"/>
          <w:bottom w:w="0" w:type="dxa"/>
          <w:right w:w="0" w:type="dxa"/>
        </w:tblCellMar>
      </w:tblPr>
      <w:tblGrid>
        <w:gridCol w:w="515"/>
        <w:gridCol w:w="1055"/>
        <w:gridCol w:w="335"/>
        <w:gridCol w:w="2135"/>
      </w:tblGrid>
      <w:tr>
        <w:trPr/>
        <w:tc>
          <w:tcPr>
            <w:tcW w:w="4040" w:type="dxa"/>
            <w:gridSpan w:val="4"/>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13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10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May 1, 2019</w:t>
            </w:r>
          </w:p>
        </w:tc>
        <w:tc>
          <w:tcPr>
            <w:tcW w:w="335" w:type="dxa"/>
            <w:tcBorders/>
            <w:shd w:fill="auto" w:val="clear"/>
            <w:vAlign w:val="center"/>
          </w:tcPr>
          <w:p>
            <w:pPr>
              <w:pStyle w:val="TableContents"/>
              <w:spacing w:before="0" w:after="0"/>
              <w:ind w:left="0" w:right="0" w:firstLine="30"/>
              <w:rPr/>
            </w:pPr>
            <w:r>
              <w:rPr/>
              <w:t> </w:t>
            </w:r>
          </w:p>
        </w:tc>
        <w:tc>
          <w:tcPr>
            <w:tcW w:w="2135" w:type="dxa"/>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213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EDWARD B. PITONIAK</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rPr/>
            </w:pPr>
            <w:r>
              <w:rPr/>
              <w:t> </w:t>
            </w:r>
          </w:p>
        </w:tc>
        <w:tc>
          <w:tcPr>
            <w:tcW w:w="2135"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Edward B. Pitoniak</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rPr/>
            </w:pPr>
            <w:r>
              <w:rPr/>
              <w:t> </w:t>
            </w:r>
          </w:p>
        </w:tc>
        <w:tc>
          <w:tcPr>
            <w:tcW w:w="2135" w:type="dxa"/>
            <w:tcBorders/>
            <w:shd w:fill="auto" w:val="clear"/>
            <w:vAlign w:val="center"/>
          </w:tcPr>
          <w:p>
            <w:pPr>
              <w:pStyle w:val="TableContents"/>
              <w:spacing w:before="0" w:after="0"/>
              <w:jc w:val="center"/>
              <w:rPr>
                <w:rFonts w:ascii="inherit" w:hAnsi="inherit"/>
                <w:b/>
                <w:sz w:val="17"/>
              </w:rPr>
            </w:pPr>
            <w:r>
              <w:rPr>
                <w:rFonts w:ascii="inherit" w:hAnsi="inherit"/>
                <w:b/>
                <w:sz w:val="17"/>
              </w:rPr>
              <w:t>Chief Executive Officer</w:t>
            </w:r>
          </w:p>
        </w:tc>
      </w:tr>
    </w:tbl>
    <w:p>
      <w:pPr>
        <w:pStyle w:val="TextBody"/>
        <w:spacing w:lineRule="auto" w:line="288" w:before="0" w:after="0"/>
        <w:jc w:val="both"/>
        <w:rPr>
          <w:rFonts w:ascii="inherit" w:hAnsi="inherit"/>
          <w:sz w:val="17"/>
        </w:rPr>
      </w:pPr>
      <w:r>
        <w:rPr>
          <w:rFonts w:ascii="inherit" w:hAnsi="inherit"/>
          <w:sz w:val="17"/>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jc w:val="both"/>
        <w:rPr>
          <w:rFonts w:ascii="inherit" w:hAnsi="inherit"/>
          <w:sz w:val="17"/>
        </w:rPr>
      </w:pPr>
      <w:r>
        <w:rPr>
          <w:rFonts w:ascii="inherit" w:hAnsi="inherit"/>
          <w:sz w:val="17"/>
        </w:rPr>
      </w:r>
      <w:r>
        <w:br w:type="page"/>
      </w:r>
    </w:p>
    <w:p>
      <w:pPr>
        <w:pStyle w:val="TextBody"/>
        <w:spacing w:lineRule="auto" w:line="288" w:before="0" w:after="0"/>
        <w:jc w:val="right"/>
        <w:rPr>
          <w:rFonts w:ascii="inherit" w:hAnsi="inherit"/>
          <w:b/>
          <w:sz w:val="18"/>
        </w:rPr>
      </w:pPr>
      <w:bookmarkStart w:id="54" w:name="s80A64EEDB9245EAFAACE6F2B238ABEA9"/>
      <w:bookmarkStart w:id="55" w:name="viciq1201910-qexh322.htm"/>
      <w:bookmarkStart w:id="56" w:name="ksviciq1201910qexh322"/>
      <w:bookmarkEnd w:id="54"/>
      <w:bookmarkEnd w:id="55"/>
      <w:bookmarkEnd w:id="56"/>
      <w:r>
        <w:rPr>
          <w:rFonts w:ascii="inherit" w:hAnsi="inherit"/>
          <w:b/>
          <w:sz w:val="18"/>
        </w:rPr>
        <w:t>Exhibit 32.2</w:t>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 xml:space="preserve">Certification of Principal Financial Officer </w:t>
      </w:r>
    </w:p>
    <w:p>
      <w:pPr>
        <w:pStyle w:val="TextBody"/>
        <w:spacing w:lineRule="auto" w:line="288" w:before="0" w:after="0"/>
        <w:jc w:val="both"/>
        <w:rPr>
          <w:rFonts w:ascii="inherit" w:hAnsi="inherit"/>
          <w:sz w:val="17"/>
        </w:rPr>
      </w:pPr>
      <w:r>
        <w:rPr>
          <w:rFonts w:ascii="inherit" w:hAnsi="inherit"/>
          <w:sz w:val="17"/>
        </w:rPr>
        <w:t xml:space="preserve">Pursuant to 18 U.S.C. § 1350, as created by Section 906 of the Sarbanes-Oxley Act of 2002, the undersigned officer of VICI Properties Inc. (the “Company”), hereby certifies, to such officer's knowledge, that: </w:t>
      </w:r>
    </w:p>
    <w:p>
      <w:pPr>
        <w:pStyle w:val="TextBody"/>
        <w:spacing w:lineRule="auto" w:line="288" w:before="0" w:after="0"/>
        <w:ind w:left="0" w:right="0" w:firstLine="450"/>
        <w:jc w:val="both"/>
        <w:rPr/>
      </w:pPr>
      <w:r>
        <w:rPr>
          <w:rFonts w:ascii="inherit" w:hAnsi="inherit"/>
          <w:sz w:val="17"/>
        </w:rPr>
        <w:t>(i)the accompanying Quarterly Report on Form 10-Q of the Company for the quarterly period ended March 31, 2019</w:t>
      </w:r>
      <w:r>
        <w:rPr/>
        <w:t xml:space="preserve"> </w:t>
      </w:r>
      <w:r>
        <w:rPr>
          <w:rFonts w:ascii="inherit" w:hAnsi="inherit"/>
          <w:sz w:val="17"/>
        </w:rPr>
        <w:t xml:space="preserve">(the “Report”) fully complies with the requirements of Section 13(a) or Section 15(d), as applicable, of the Securities Exchange Act of 1934, as amended; and </w:t>
      </w:r>
    </w:p>
    <w:p>
      <w:pPr>
        <w:pStyle w:val="TextBody"/>
        <w:spacing w:lineRule="auto" w:line="288" w:before="0" w:after="0"/>
        <w:ind w:left="0" w:right="0" w:firstLine="450"/>
        <w:jc w:val="both"/>
        <w:rPr>
          <w:rFonts w:ascii="inherit" w:hAnsi="inherit"/>
          <w:sz w:val="17"/>
        </w:rPr>
      </w:pPr>
      <w:r>
        <w:rPr>
          <w:rFonts w:ascii="inherit" w:hAnsi="inherit"/>
          <w:sz w:val="17"/>
        </w:rPr>
        <w:t xml:space="preserve">(ii)the information contained in the Report fairly presents, in all material respects, the financial condition and results of operations of the Company. </w:t>
      </w:r>
    </w:p>
    <w:p>
      <w:pPr>
        <w:pStyle w:val="TextBody"/>
        <w:spacing w:lineRule="auto" w:line="288" w:before="0" w:after="0"/>
        <w:jc w:val="center"/>
        <w:rPr>
          <w:rFonts w:ascii="inherit" w:hAnsi="inherit"/>
          <w:sz w:val="17"/>
        </w:rPr>
      </w:pPr>
      <w:r>
        <w:rPr>
          <w:rFonts w:ascii="inherit" w:hAnsi="inherit"/>
          <w:sz w:val="17"/>
        </w:rPr>
      </w:r>
    </w:p>
    <w:tbl>
      <w:tblPr>
        <w:tblW w:w="3995" w:type="dxa"/>
        <w:jc w:val="center"/>
        <w:tblInd w:w="0" w:type="dxa"/>
        <w:tblCellMar>
          <w:top w:w="0" w:type="dxa"/>
          <w:left w:w="0" w:type="dxa"/>
          <w:bottom w:w="0" w:type="dxa"/>
          <w:right w:w="0" w:type="dxa"/>
        </w:tblCellMar>
      </w:tblPr>
      <w:tblGrid>
        <w:gridCol w:w="515"/>
        <w:gridCol w:w="1055"/>
        <w:gridCol w:w="335"/>
        <w:gridCol w:w="2090"/>
      </w:tblGrid>
      <w:tr>
        <w:trPr/>
        <w:tc>
          <w:tcPr>
            <w:tcW w:w="3995" w:type="dxa"/>
            <w:gridSpan w:val="4"/>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0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10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May 1, 2019</w:t>
            </w:r>
          </w:p>
        </w:tc>
        <w:tc>
          <w:tcPr>
            <w:tcW w:w="335" w:type="dxa"/>
            <w:tcBorders/>
            <w:shd w:fill="auto" w:val="clear"/>
            <w:vAlign w:val="center"/>
          </w:tcPr>
          <w:p>
            <w:pPr>
              <w:pStyle w:val="TableContents"/>
              <w:spacing w:before="0" w:after="0"/>
              <w:ind w:left="0" w:right="0" w:firstLine="30"/>
              <w:rPr/>
            </w:pPr>
            <w:r>
              <w:rPr/>
              <w:t> </w:t>
            </w:r>
          </w:p>
        </w:tc>
        <w:tc>
          <w:tcPr>
            <w:tcW w:w="2090" w:type="dxa"/>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209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DAVID A. KIESKE</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rPr/>
            </w:pPr>
            <w:r>
              <w:rPr/>
              <w:t> </w:t>
            </w:r>
          </w:p>
        </w:tc>
        <w:tc>
          <w:tcPr>
            <w:tcW w:w="2090"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David A. Kieske</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rPr/>
            </w:pPr>
            <w:r>
              <w:rPr/>
              <w:t> </w:t>
            </w:r>
          </w:p>
        </w:tc>
        <w:tc>
          <w:tcPr>
            <w:tcW w:w="2090" w:type="dxa"/>
            <w:tcBorders/>
            <w:shd w:fill="auto" w:val="clear"/>
            <w:vAlign w:val="center"/>
          </w:tcPr>
          <w:p>
            <w:pPr>
              <w:pStyle w:val="TableContents"/>
              <w:spacing w:before="0" w:after="0"/>
              <w:jc w:val="center"/>
              <w:rPr>
                <w:rFonts w:ascii="inherit" w:hAnsi="inherit"/>
                <w:b/>
                <w:sz w:val="17"/>
              </w:rPr>
            </w:pPr>
            <w:r>
              <w:rPr>
                <w:rFonts w:ascii="inherit" w:hAnsi="inherit"/>
                <w:b/>
                <w:sz w:val="17"/>
              </w:rPr>
              <w:t>Chief Financial Officer</w:t>
            </w:r>
          </w:p>
        </w:tc>
      </w:tr>
    </w:tbl>
    <w:p>
      <w:pPr>
        <w:pStyle w:val="TextBody"/>
        <w:spacing w:lineRule="auto" w:line="288" w:before="0" w:after="0"/>
        <w:jc w:val="both"/>
        <w:rPr>
          <w:rFonts w:ascii="inherit" w:hAnsi="inherit"/>
          <w:sz w:val="17"/>
        </w:rPr>
      </w:pPr>
      <w:r>
        <w:rPr>
          <w:rFonts w:ascii="inherit" w:hAnsi="inherit"/>
          <w:sz w:val="17"/>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w:t>
      </w:r>
    </w:p>
    <w:p>
      <w:pPr>
        <w:pStyle w:val="TextBody"/>
        <w:spacing w:before="0" w:after="0"/>
        <w:rPr/>
      </w:pPr>
      <w:r>
        <w:rPr/>
      </w:r>
    </w:p>
    <w:p>
      <w:pPr>
        <w:pStyle w:val="TextBody"/>
        <w:spacing w:lineRule="auto" w:line="288" w:before="0" w:after="283"/>
        <w:jc w:val="both"/>
        <w:rPr>
          <w:rFonts w:ascii="inherit" w:hAnsi="inherit"/>
          <w:sz w:val="17"/>
        </w:rPr>
      </w:pPr>
      <w:r>
        <w:rPr>
          <w:rFonts w:ascii="inherit" w:hAnsi="inherit"/>
          <w:sz w:val="17"/>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46</Pages>
  <Words>22271</Words>
  <CharactersWithSpaces>143057</CharactersWithSpaces>
  <Paragraphs>3738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