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w:t>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w:t>
      </w:r>
    </w:p>
    <w:tbl>
      <w:tblPr>
        <w:tblW w:w="9930" w:type="dxa"/>
        <w:jc w:val="center"/>
        <w:tblInd w:w="0" w:type="dxa"/>
        <w:tblLayout w:type="fixed"/>
        <w:tblCellMar>
          <w:top w:w="28" w:type="dxa"/>
          <w:left w:w="28" w:type="dxa"/>
          <w:bottom w:w="28" w:type="dxa"/>
          <w:right w:w="28" w:type="dxa"/>
        </w:tblCellMar>
      </w:tblPr>
      <w:tblGrid>
        <w:gridCol w:w="124"/>
        <w:gridCol w:w="109"/>
        <w:gridCol w:w="109"/>
        <w:gridCol w:w="109"/>
        <w:gridCol w:w="2773"/>
        <w:gridCol w:w="2773"/>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2025</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or</w:t>
      </w:r>
    </w:p>
    <w:tbl>
      <w:tblPr>
        <w:tblW w:w="9930" w:type="dxa"/>
        <w:jc w:val="center"/>
        <w:tblInd w:w="0" w:type="dxa"/>
        <w:tblLayout w:type="fixed"/>
        <w:tblCellMar>
          <w:top w:w="28" w:type="dxa"/>
          <w:left w:w="28" w:type="dxa"/>
          <w:bottom w:w="28" w:type="dxa"/>
          <w:right w:w="28" w:type="dxa"/>
        </w:tblCellMar>
      </w:tblPr>
      <w:tblGrid>
        <w:gridCol w:w="124"/>
        <w:gridCol w:w="109"/>
        <w:gridCol w:w="109"/>
        <w:gridCol w:w="109"/>
        <w:gridCol w:w="2773"/>
        <w:gridCol w:w="2773"/>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_________ to __________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001-38372 (VICI Properties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333-264352-01 (VICI Properties L.P.)</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 xml:space="preserve">VICI Properties Inc. </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VICI Properties L.P.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w:t>
      </w:r>
    </w:p>
    <w:tbl>
      <w:tblPr>
        <w:tblW w:w="9268" w:type="dxa"/>
        <w:jc w:val="center"/>
        <w:tblInd w:w="0" w:type="dxa"/>
        <w:tblLayout w:type="fixed"/>
        <w:tblCellMar>
          <w:top w:w="28" w:type="dxa"/>
          <w:left w:w="28" w:type="dxa"/>
          <w:bottom w:w="28" w:type="dxa"/>
          <w:right w:w="28" w:type="dxa"/>
        </w:tblCellMar>
      </w:tblPr>
      <w:tblGrid>
        <w:gridCol w:w="1648"/>
        <w:gridCol w:w="1450"/>
        <w:gridCol w:w="1462"/>
        <w:gridCol w:w="654"/>
        <w:gridCol w:w="654"/>
        <w:gridCol w:w="656"/>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(VICI Properties Inc.)</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81-4177147</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(VICI Properties L.P.)</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35-2576503</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535 Madison Avenue, 28th Floor New York, New York 10022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(646) 949-4631 </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w:t>
      </w:r>
    </w:p>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881" w:type="dxa"/>
        <w:jc w:val="left"/>
        <w:tblInd w:w="0" w:type="dxa"/>
        <w:tblLayout w:type="fixed"/>
        <w:tblCellMar>
          <w:top w:w="28" w:type="dxa"/>
          <w:left w:w="28" w:type="dxa"/>
          <w:bottom w:w="28" w:type="dxa"/>
          <w:right w:w="28" w:type="dxa"/>
        </w:tblCellMar>
      </w:tblPr>
      <w:tblGrid>
        <w:gridCol w:w="861"/>
        <w:gridCol w:w="757"/>
        <w:gridCol w:w="766"/>
        <w:gridCol w:w="109"/>
        <w:gridCol w:w="109"/>
        <w:gridCol w:w="109"/>
        <w:gridCol w:w="454"/>
        <w:gridCol w:w="454"/>
        <w:gridCol w:w="456"/>
        <w:gridCol w:w="109"/>
        <w:gridCol w:w="109"/>
        <w:gridCol w:w="109"/>
        <w:gridCol w:w="1019"/>
        <w:gridCol w:w="1019"/>
        <w:gridCol w:w="1441"/>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VICI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7091" w:type="dxa"/>
        <w:jc w:val="left"/>
        <w:tblInd w:w="0" w:type="dxa"/>
        <w:tblLayout w:type="fixed"/>
        <w:tblCellMar>
          <w:top w:w="28" w:type="dxa"/>
          <w:left w:w="28" w:type="dxa"/>
          <w:bottom w:w="28" w:type="dxa"/>
          <w:right w:w="28" w:type="dxa"/>
        </w:tblCellMar>
      </w:tblPr>
      <w:tblGrid>
        <w:gridCol w:w="1206"/>
        <w:gridCol w:w="1060"/>
        <w:gridCol w:w="1064"/>
        <w:gridCol w:w="109"/>
        <w:gridCol w:w="109"/>
        <w:gridCol w:w="109"/>
        <w:gridCol w:w="1005"/>
        <w:gridCol w:w="1005"/>
        <w:gridCol w:w="142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erif" w:hAnsi="Times New Roman;serif"/>
                <w:b w:val="false"/>
                <w:color w:val="000000"/>
                <w:sz w:val="18"/>
              </w:rPr>
              <w:t>VICI Properties Inc. Yes  </w:t>
            </w:r>
            <w:r>
              <w:rPr>
                <w:color w:val="000000"/>
              </w:rPr>
              <w:t>☒    </w:t>
            </w:r>
            <w:r>
              <w:rPr>
                <w:rFonts w:ascii="Times New Roman;serif" w:hAnsi="Times New Roman;serif"/>
                <w:b w:val="false"/>
                <w:color w:val="000000"/>
                <w:sz w:val="18"/>
              </w:rPr>
              <w:t>No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18"/>
              </w:rPr>
              <w:t>VICI Properties L.P.  Yes  </w:t>
            </w:r>
            <w:r>
              <w:rPr>
                <w:color w:val="000000"/>
              </w:rPr>
              <w:t>☒    </w:t>
            </w:r>
            <w:r>
              <w:rPr>
                <w:rFonts w:ascii="Times New Roman;serif" w:hAnsi="Times New Roman;serif"/>
                <w:b w:val="false"/>
                <w:color w:val="000000"/>
                <w:sz w:val="18"/>
              </w:rPr>
              <w:t>No  </w:t>
            </w:r>
            <w:r>
              <w:rPr>
                <w:color w:val="000000"/>
              </w:rPr>
              <w:t>☐</w:t>
            </w:r>
          </w:p>
        </w:tc>
      </w:tr>
    </w:tbl>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p>
    <w:tbl>
      <w:tblPr>
        <w:tblW w:w="7091" w:type="dxa"/>
        <w:jc w:val="left"/>
        <w:tblInd w:w="0" w:type="dxa"/>
        <w:tblLayout w:type="fixed"/>
        <w:tblCellMar>
          <w:top w:w="28" w:type="dxa"/>
          <w:left w:w="28" w:type="dxa"/>
          <w:bottom w:w="28" w:type="dxa"/>
          <w:right w:w="28" w:type="dxa"/>
        </w:tblCellMar>
      </w:tblPr>
      <w:tblGrid>
        <w:gridCol w:w="1206"/>
        <w:gridCol w:w="1060"/>
        <w:gridCol w:w="1064"/>
        <w:gridCol w:w="109"/>
        <w:gridCol w:w="109"/>
        <w:gridCol w:w="109"/>
        <w:gridCol w:w="1005"/>
        <w:gridCol w:w="1005"/>
        <w:gridCol w:w="142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erif" w:hAnsi="Times New Roman;serif"/>
                <w:b w:val="false"/>
                <w:color w:val="000000"/>
                <w:sz w:val="18"/>
              </w:rPr>
              <w:t>VICI Properties Inc. Yes  </w:t>
            </w:r>
            <w:r>
              <w:rPr>
                <w:color w:val="000000"/>
              </w:rPr>
              <w:t>☒    </w:t>
            </w:r>
            <w:r>
              <w:rPr>
                <w:rFonts w:ascii="Times New Roman;serif" w:hAnsi="Times New Roman;serif"/>
                <w:b w:val="false"/>
                <w:color w:val="000000"/>
                <w:sz w:val="18"/>
              </w:rPr>
              <w:t>No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18"/>
              </w:rPr>
              <w:t>VICI Properties L.P.  Yes  </w:t>
            </w:r>
            <w:r>
              <w:rPr>
                <w:color w:val="000000"/>
              </w:rPr>
              <w:t>☒    </w:t>
            </w:r>
            <w:r>
              <w:rPr>
                <w:rFonts w:ascii="Times New Roman;serif" w:hAnsi="Times New Roman;serif"/>
                <w:b w:val="false"/>
                <w:color w:val="000000"/>
                <w:sz w:val="18"/>
              </w:rPr>
              <w:t>No  </w:t>
            </w:r>
            <w:r>
              <w:rPr>
                <w:color w:val="000000"/>
              </w:rPr>
              <w:t>☐</w:t>
            </w:r>
          </w:p>
        </w:tc>
      </w:tr>
    </w:tbl>
    <w:p>
      <w:pPr>
        <w:pStyle w:val="TextBody"/>
        <w:bidi w:val="0"/>
        <w:spacing w:lineRule="auto" w:line="288" w:before="6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9544" w:type="dxa"/>
        <w:jc w:val="left"/>
        <w:tblInd w:w="0" w:type="dxa"/>
        <w:tblLayout w:type="fixed"/>
        <w:tblCellMar>
          <w:top w:w="28" w:type="dxa"/>
          <w:left w:w="28" w:type="dxa"/>
          <w:bottom w:w="28" w:type="dxa"/>
          <w:right w:w="28" w:type="dxa"/>
        </w:tblCellMar>
      </w:tblPr>
      <w:tblGrid>
        <w:gridCol w:w="640"/>
        <w:gridCol w:w="563"/>
        <w:gridCol w:w="567"/>
        <w:gridCol w:w="129"/>
        <w:gridCol w:w="129"/>
        <w:gridCol w:w="129"/>
        <w:gridCol w:w="678"/>
        <w:gridCol w:w="678"/>
        <w:gridCol w:w="683"/>
        <w:gridCol w:w="129"/>
        <w:gridCol w:w="129"/>
        <w:gridCol w:w="129"/>
        <w:gridCol w:w="109"/>
        <w:gridCol w:w="109"/>
        <w:gridCol w:w="109"/>
        <w:gridCol w:w="584"/>
        <w:gridCol w:w="584"/>
        <w:gridCol w:w="586"/>
        <w:gridCol w:w="131"/>
        <w:gridCol w:w="131"/>
        <w:gridCol w:w="131"/>
        <w:gridCol w:w="678"/>
        <w:gridCol w:w="678"/>
        <w:gridCol w:w="683"/>
        <w:gridCol w:w="131"/>
        <w:gridCol w:w="131"/>
        <w:gridCol w:w="186"/>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58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VICI Properties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VICI Properties L.P.</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4932"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671"/>
        <w:gridCol w:w="671"/>
        <w:gridCol w:w="953"/>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erif" w:hAnsi="Times New Roman;serif"/>
                <w:b w:val="false"/>
                <w:color w:val="000000"/>
                <w:sz w:val="18"/>
              </w:rPr>
              <w:t>VICI Properties Inc.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VICI Properties L.P.  ☐ </w:t>
            </w:r>
          </w:p>
        </w:tc>
      </w:tr>
    </w:tbl>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w:t>
      </w:r>
    </w:p>
    <w:tbl>
      <w:tblPr>
        <w:tblW w:w="6882" w:type="dxa"/>
        <w:jc w:val="left"/>
        <w:tblInd w:w="0" w:type="dxa"/>
        <w:tblLayout w:type="fixed"/>
        <w:tblCellMar>
          <w:top w:w="28" w:type="dxa"/>
          <w:left w:w="28" w:type="dxa"/>
          <w:bottom w:w="28" w:type="dxa"/>
          <w:right w:w="28" w:type="dxa"/>
        </w:tblCellMar>
      </w:tblPr>
      <w:tblGrid>
        <w:gridCol w:w="1184"/>
        <w:gridCol w:w="1042"/>
        <w:gridCol w:w="1044"/>
        <w:gridCol w:w="109"/>
        <w:gridCol w:w="109"/>
        <w:gridCol w:w="109"/>
        <w:gridCol w:w="961"/>
        <w:gridCol w:w="961"/>
        <w:gridCol w:w="1363"/>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erif" w:hAnsi="Times New Roman;serif"/>
                <w:b w:val="false"/>
                <w:color w:val="000000"/>
                <w:sz w:val="18"/>
              </w:rPr>
              <w:t>VICI Properties Inc. Yes   </w:t>
            </w:r>
            <w:r>
              <w:rPr>
                <w:color w:val="000000"/>
              </w:rPr>
              <w:t>☐   </w:t>
            </w:r>
            <w:r>
              <w:rPr>
                <w:rFonts w:ascii="Times New Roman;serif" w:hAnsi="Times New Roman;serif"/>
                <w:b w:val="false"/>
                <w:color w:val="000000"/>
                <w:sz w:val="18"/>
              </w:rPr>
              <w:t>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VICI Properties L.P.  Yes  ☐   No  ☒ </w:t>
            </w:r>
          </w:p>
        </w:tc>
      </w:tr>
    </w:tbl>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As of July 29, 2025, VICI Properties Inc. had 1,066,369,778 shares of common stock, $0.01 par value per share, outstanding. VICI Properties L.P. has no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This report combines the quarterly reports on Form 10-Q for the three and six months ended June 30, 2025 of VICI Properties Inc. and VICI Properties L.P. Unless stated otherwise or the context otherwise requires, references to “VICI” mean VICI Properties Inc. and its consolidated subsidiaries, including VICI Properties OP LLC (“VICI OP”), and references to “VICI LP” mean VICI Properties L.P. and its consolidated subsidiaries. Unless stated otherwise or the context otherwise requires, the terms “the Company,” “we,” “our” and “us” mean VICI and VICI LP, including, collectively, their consolidated subsidiaries.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order to highlight the differences between VICI and VICI LP, the separate sections in this report for VICI and VICI LP described below specifically refer to VICI and VICI LP. In the sections that combine disclosure of VICI and VICI LP, this report refers to actions or holdings of VICI and VICI LP as being “our” actions or holdings. Although VICI LP is the entity that generally, directly or indirectly, enters into contracts and joint ventures, holds assets and incurs debt, we believe that references to “we,” “us” or “our” in this context are appropriate because the business is one enterprise and we operate substantially all of our business and own, either directly or through subsidiaries, substantially all of our assets through VICI LP.</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VICI is a real estate investment trust (“REIT”) that is the sole owner of VICI Properties GP LLC, the sole general partner of VICI LP. As of June 30, 2025, VICI owns 100% of the limited liability company interests of VICI Properties HoldCo LLC (“HoldCo”), which in turn owns approximately 98.9% of the limited liability company interest of VICI OP (such interests, “VICI OP Units”), our operating partnership, which in turns owns 100% of the limited partnership interest in VICI LP. The balance of the VICI OP Units not held by HoldCo are held by third-party unit holders.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diagram details VICI’s organizational structure as of June 30, 2025.</w:t>
      </w:r>
    </w:p>
    <w:p>
      <w:pPr>
        <w:pStyle w:val="TextBody"/>
        <w:bidi w:val="0"/>
        <w:spacing w:before="180" w:after="283"/>
        <w:jc w:val="center"/>
        <w:rPr/>
      </w:pPr>
      <w:r>
        <w:rPr/>
        <w:drawing>
          <wp:inline distT="0" distB="0" distL="0" distR="0">
            <wp:extent cx="4762500" cy="29337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762500" cy="2933700"/>
                    </a:xfrm>
                    <a:prstGeom prst="rect">
                      <a:avLst/>
                    </a:prstGeom>
                  </pic:spPr>
                </pic:pic>
              </a:graphicData>
            </a:graphic>
          </wp:inline>
        </w:drawing>
      </w:r>
      <w:bookmarkStart w:id="0" w:name="i-1"/>
      <w:bookmarkEnd w:id="0"/>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believe combining the quarterly reports on Form 10-Q of VICI and VICI LP into this single report: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enhances investors’ understanding of VICI and VICI LP by enabling investors to view the business as a whole in the same manner as management views and operates the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eliminates duplicative disclosure and provides a more streamlined and readable presentation;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creates time and cost efficiencies through the preparation of one combined report instead of two separate reports.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operate VICI and VICI LP as one business. Because VICI LP is managed by VICI, and VICI conducts substantially all of its operations and owns, either directly or through subsidiaries, substantially all of its assets indirectly through VICI LP, VICI’s executive officers are VICI LP’s executive officers, although, as a partnership, VICI LP does not have a board of directors.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it is important to understand the few differences between VICI and VICI LP in the context of how VICI and VICI LP operate as a consolidated company. VICI is a REIT whose only material assets are its indirect interest in VICI LP, through which it conducts its real property business. VICI also conducts its golf course business through a taxable REIT subsidiary (a “TRS”), VICI Golf LLC, a Delaware limited liability company (“VICI Golf”). As a result, VICI does not conduct business itself other than issuing public equity from time to time and does not directly incur any material indebtedness, rather VICI LP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84785"/>
                <wp:effectExtent l="0" t="0" r="0" b="0"/>
                <wp:wrapNone/>
                <wp:docPr id="3" name="Frame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holds substantially all of our assets, except for those held in VICI Golf. Except for net proceeds from public equity issuances by VICI, VICI LP generates all capital required by the Company’s business, which sources include VICI LP’s operations and its direct or indirect incurrence of indebtedness.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consolidates VICI LP for financial reporting purposes, and VICI does not have material assets other than its indirect investment in VICI LP. Therefore, while there are some areas of difference between the unaudited consolidated financial statements of VICI and those of VICI LP, the assets and liabilities of VICI and VICI LP are materially the same on their respective financial statements. As of June 30, 2025, the primary areas of difference between the unaudited consolidated financial statements of VICI and those of VICI LP were cash and cash equivalents, stockholders’ equity and partners’ capital, non-controlling interests and golf operations, which include the assets and liabilities and income and expenses of VICI Golf.</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 help investors understand the differences between VICI and VICI LP, this report provides: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separate consolidated financial statements for VICI and VICI LP;</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single set of notes to such consolidated financial statements that includes separate discussions of stockholders’ equity or partners’ equity and per share and per unit data, as applicable;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a combined Management’s Discussion and Analysis of Financial Condition and Results of Operations section that also includes discrete information related to each entity, as applicable;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separate Part I, Item 4. Controls and Procedures sections;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separate Part II, Item 2. Issuer Purchases of Equity Securities sections related to each entity;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separate Exhibits 31 and 32 certifications for each of VICI and VICI LP in order to establish that the requisite certifications have been made and that VICI and VICI LP are each compliant with Rule 13a-14(a) or Rule 15d-14(a) of the Securities Exchange Act of 1934 and 18 U.S.C. §1350.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separate discussions of VICI and VICI LP in this report should be read in conjunction with each other to understand our results on a consolidated basis and how management operates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84785"/>
                <wp:effectExtent l="0" t="0" r="0" b="0"/>
                <wp:wrapNone/>
                <wp:docPr id="4" name="Frame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left"/>
        <w:rPr/>
      </w:pPr>
      <w:hyperlink w:anchor="if570836a181f43958dee02a390db0eaf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15"/>
        <w:gridCol w:w="266"/>
        <w:gridCol w:w="266"/>
        <w:gridCol w:w="599"/>
        <w:gridCol w:w="599"/>
        <w:gridCol w:w="599"/>
        <w:gridCol w:w="2376"/>
        <w:gridCol w:w="2082"/>
        <w:gridCol w:w="2006"/>
        <w:gridCol w:w="322"/>
        <w:gridCol w:w="266"/>
        <w:gridCol w:w="409"/>
      </w:tblGrid>
      <w:tr>
        <w:trPr/>
        <w:tc>
          <w:tcPr>
            <w:tcW w:w="41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VICI PROPERTIES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VICI PROPERTIES L.P.</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FORM 10-Q</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FOR THE QUARTER ENDED JUNE 30, 2025</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TABLE OF CONTENTS</w:t>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3">
              <w:r>
                <w:rPr>
                  <w:rStyle w:val="InternetLink"/>
                  <w:rFonts w:ascii="Times New Roman;serif" w:hAnsi="Times New Roman;serif"/>
                  <w:b/>
                  <w:color w:val="0000FF"/>
                  <w:sz w:val="20"/>
                  <w:u w:val="single"/>
                </w:rPr>
                <w:t>PART I.</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3">
              <w:r>
                <w:rPr>
                  <w:rStyle w:val="InternetLink"/>
                  <w:rFonts w:ascii="Times New Roman;serif" w:hAnsi="Times New Roman;serif"/>
                  <w:b/>
                  <w:color w:val="0000FF"/>
                  <w:sz w:val="20"/>
                  <w:u w:val="single"/>
                </w:rPr>
                <w:t>FINANCIAL INFORMATION</w:t>
              </w:r>
            </w:hyperlink>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3">
              <w:r>
                <w:rPr>
                  <w:rStyle w:val="InternetLink"/>
                  <w:rFonts w:ascii="Times New Roman;serif" w:hAnsi="Times New Roman;serif"/>
                  <w:b w:val="false"/>
                  <w:color w:val="0000FF"/>
                  <w:sz w:val="20"/>
                  <w:u w:val="single"/>
                </w:rPr>
                <w:t>Item 1.</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3">
              <w:r>
                <w:rPr>
                  <w:rStyle w:val="InternetLink"/>
                  <w:rFonts w:ascii="Times New Roman;serif" w:hAnsi="Times New Roman;serif"/>
                  <w:b w:val="false"/>
                  <w:color w:val="0000FF"/>
                  <w:sz w:val="20"/>
                  <w:u w:val="single"/>
                </w:rPr>
                <w:t>Financial Statements of VICI Properties Inc. (Unaudited)</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13">
              <w:r>
                <w:rPr>
                  <w:rStyle w:val="InternetLink"/>
                  <w:rFonts w:ascii="Times New Roman;serif" w:hAnsi="Times New Roman;serif"/>
                  <w:b w:val="false"/>
                  <w:color w:val="0000FF"/>
                  <w:sz w:val="20"/>
                  <w:u w:val="single"/>
                </w:rPr>
                <w:t>5</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9">
              <w:r>
                <w:rPr>
                  <w:rStyle w:val="InternetLink"/>
                  <w:rFonts w:ascii="Times New Roman;serif" w:hAnsi="Times New Roman;serif"/>
                  <w:b w:val="false"/>
                  <w:color w:val="0000FF"/>
                  <w:sz w:val="20"/>
                  <w:u w:val="single"/>
                </w:rPr>
                <w:t>Consolidated Balance Sheets as of June 30, 2025 and December 31, 2024</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19">
              <w:r>
                <w:rPr>
                  <w:rStyle w:val="InternetLink"/>
                  <w:rFonts w:ascii="Times New Roman;serif" w:hAnsi="Times New Roman;serif"/>
                  <w:b w:val="false"/>
                  <w:color w:val="0000FF"/>
                  <w:sz w:val="20"/>
                  <w:u w:val="single"/>
                </w:rPr>
                <w:t>5</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22">
              <w:r>
                <w:rPr>
                  <w:rStyle w:val="InternetLink"/>
                  <w:rFonts w:ascii="Times New Roman;serif" w:hAnsi="Times New Roman;serif"/>
                  <w:b w:val="false"/>
                  <w:color w:val="0000FF"/>
                  <w:sz w:val="20"/>
                  <w:u w:val="single"/>
                </w:rPr>
                <w:t>Consolidated Statements of Operations and Comprehensive Income for the Three and Six Months Ended June 30, 2025 and 2024</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22">
              <w:r>
                <w:rPr>
                  <w:rStyle w:val="InternetLink"/>
                  <w:rFonts w:ascii="Times New Roman;serif" w:hAnsi="Times New Roman;serif"/>
                  <w:b w:val="false"/>
                  <w:color w:val="0000FF"/>
                  <w:sz w:val="20"/>
                  <w:u w:val="single"/>
                </w:rPr>
                <w:t>6</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25">
              <w:r>
                <w:rPr>
                  <w:rStyle w:val="InternetLink"/>
                  <w:rFonts w:ascii="Times New Roman;serif" w:hAnsi="Times New Roman;serif"/>
                  <w:b w:val="false"/>
                  <w:color w:val="0000FF"/>
                  <w:sz w:val="20"/>
                  <w:u w:val="single"/>
                </w:rPr>
                <w:t>Consolidated Statements of Stockholders’ Equity for the Three and Six Months Ended June 30, 2025 and 2024</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25">
              <w:r>
                <w:rPr>
                  <w:rStyle w:val="InternetLink"/>
                  <w:rFonts w:ascii="Times New Roman;serif" w:hAnsi="Times New Roman;serif"/>
                  <w:b w:val="false"/>
                  <w:color w:val="0000FF"/>
                  <w:sz w:val="20"/>
                  <w:u w:val="single"/>
                </w:rPr>
                <w:t>7</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28">
              <w:r>
                <w:rPr>
                  <w:rStyle w:val="InternetLink"/>
                  <w:rFonts w:ascii="Times New Roman;serif" w:hAnsi="Times New Roman;serif"/>
                  <w:b w:val="false"/>
                  <w:color w:val="0000FF"/>
                  <w:sz w:val="20"/>
                  <w:u w:val="single"/>
                </w:rPr>
                <w:t>Consolidated Statements of Cash Flows for the Six Months Ended June 30, 2025 and 2024</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28">
              <w:r>
                <w:rPr>
                  <w:rStyle w:val="InternetLink"/>
                  <w:rFonts w:ascii="Times New Roman;serif" w:hAnsi="Times New Roman;serif"/>
                  <w:b w:val="false"/>
                  <w:color w:val="0000FF"/>
                  <w:sz w:val="20"/>
                  <w:u w:val="single"/>
                </w:rPr>
                <w:t>9</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31">
              <w:r>
                <w:rPr>
                  <w:rStyle w:val="InternetLink"/>
                  <w:rFonts w:ascii="Times New Roman;serif" w:hAnsi="Times New Roman;serif"/>
                  <w:b w:val="false"/>
                  <w:color w:val="0000FF"/>
                  <w:sz w:val="20"/>
                  <w:u w:val="single"/>
                </w:rPr>
                <w:t>Financial Statements of VICI Properties L.P. (Unaudited)</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31">
              <w:r>
                <w:rPr>
                  <w:rStyle w:val="InternetLink"/>
                  <w:rFonts w:ascii="Times New Roman;serif" w:hAnsi="Times New Roman;serif"/>
                  <w:b w:val="false"/>
                  <w:color w:val="0000FF"/>
                  <w:sz w:val="20"/>
                  <w:u w:val="single"/>
                </w:rPr>
                <w:t>11</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34">
              <w:r>
                <w:rPr>
                  <w:rStyle w:val="InternetLink"/>
                  <w:rFonts w:ascii="Times New Roman;serif" w:hAnsi="Times New Roman;serif"/>
                  <w:b w:val="false"/>
                  <w:color w:val="0000FF"/>
                  <w:sz w:val="20"/>
                  <w:u w:val="single"/>
                </w:rPr>
                <w:t>Consolidated Balance Sheets as of June 30, 2025 and December 31, 2024</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34">
              <w:r>
                <w:rPr>
                  <w:rStyle w:val="InternetLink"/>
                  <w:rFonts w:ascii="Times New Roman;serif" w:hAnsi="Times New Roman;serif"/>
                  <w:b w:val="false"/>
                  <w:color w:val="0000FF"/>
                  <w:sz w:val="20"/>
                  <w:u w:val="single"/>
                </w:rPr>
                <w:t>11</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37">
              <w:r>
                <w:rPr>
                  <w:rStyle w:val="InternetLink"/>
                  <w:rFonts w:ascii="Times New Roman;serif" w:hAnsi="Times New Roman;serif"/>
                  <w:b w:val="false"/>
                  <w:color w:val="0000FF"/>
                  <w:sz w:val="20"/>
                  <w:u w:val="single"/>
                </w:rPr>
                <w:t>Consolidated Statements of Operations and Comprehensive Income for the Three and Six Months Ended June 30, 2025 and 2024</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37">
              <w:r>
                <w:rPr>
                  <w:rStyle w:val="InternetLink"/>
                  <w:rFonts w:ascii="Times New Roman;serif" w:hAnsi="Times New Roman;serif"/>
                  <w:b w:val="false"/>
                  <w:color w:val="0000FF"/>
                  <w:sz w:val="20"/>
                  <w:u w:val="single"/>
                </w:rPr>
                <w:t>12</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40">
              <w:r>
                <w:rPr>
                  <w:rStyle w:val="InternetLink"/>
                  <w:rFonts w:ascii="Times New Roman;serif" w:hAnsi="Times New Roman;serif"/>
                  <w:b w:val="false"/>
                  <w:color w:val="0000FF"/>
                  <w:sz w:val="20"/>
                  <w:u w:val="single"/>
                </w:rPr>
                <w:t>Consolidated Statements of Partners’ Capital for the Three and Six Months Ended June 30, 2025 and 2024</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40">
              <w:r>
                <w:rPr>
                  <w:rStyle w:val="InternetLink"/>
                  <w:rFonts w:ascii="Times New Roman;serif" w:hAnsi="Times New Roman;serif"/>
                  <w:b w:val="false"/>
                  <w:color w:val="0000FF"/>
                  <w:sz w:val="20"/>
                  <w:u w:val="single"/>
                </w:rPr>
                <w:t>13</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43">
              <w:r>
                <w:rPr>
                  <w:rStyle w:val="InternetLink"/>
                  <w:rFonts w:ascii="Times New Roman;serif" w:hAnsi="Times New Roman;serif"/>
                  <w:b w:val="false"/>
                  <w:color w:val="0000FF"/>
                  <w:sz w:val="20"/>
                  <w:u w:val="single"/>
                </w:rPr>
                <w:t>Consolidated Statements of Cash Flows for the Six Months Ended June 30, 2025 and 2024</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43">
              <w:r>
                <w:rPr>
                  <w:rStyle w:val="InternetLink"/>
                  <w:rFonts w:ascii="Times New Roman;serif" w:hAnsi="Times New Roman;serif"/>
                  <w:b w:val="false"/>
                  <w:color w:val="0000FF"/>
                  <w:sz w:val="20"/>
                  <w:u w:val="single"/>
                </w:rPr>
                <w:t>15</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46">
              <w:r>
                <w:rPr>
                  <w:rStyle w:val="InternetLink"/>
                  <w:rFonts w:ascii="Times New Roman;serif" w:hAnsi="Times New Roman;serif"/>
                  <w:b w:val="false"/>
                  <w:color w:val="0000FF"/>
                  <w:sz w:val="20"/>
                  <w:u w:val="single"/>
                </w:rPr>
                <w:t>Notes to Consolidated Financial Statements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46">
              <w:r>
                <w:rPr>
                  <w:rStyle w:val="InternetLink"/>
                  <w:rFonts w:ascii="Times New Roman;serif" w:hAnsi="Times New Roman;serif"/>
                  <w:b w:val="false"/>
                  <w:color w:val="0000FF"/>
                  <w:sz w:val="20"/>
                  <w:u w:val="single"/>
                </w:rPr>
                <w:t>17</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94">
              <w:r>
                <w:rPr>
                  <w:rStyle w:val="InternetLink"/>
                  <w:rFonts w:ascii="Times New Roman;serif" w:hAnsi="Times New Roman;serif"/>
                  <w:b w:val="false"/>
                  <w:color w:val="0000FF"/>
                  <w:sz w:val="20"/>
                  <w:u w:val="single"/>
                </w:rPr>
                <w:t>Item 2.</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94">
              <w:r>
                <w:rPr>
                  <w:rStyle w:val="InternetLink"/>
                  <w:rFonts w:ascii="Times New Roman;serif" w:hAnsi="Times New Roman;serif"/>
                  <w:b w:val="false"/>
                  <w:color w:val="0000FF"/>
                  <w:sz w:val="20"/>
                  <w:u w:val="single"/>
                </w:rPr>
                <w:t>44</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97">
              <w:r>
                <w:rPr>
                  <w:rStyle w:val="InternetLink"/>
                  <w:rFonts w:ascii="Times New Roman;serif" w:hAnsi="Times New Roman;serif"/>
                  <w:b w:val="false"/>
                  <w:color w:val="0000FF"/>
                  <w:sz w:val="20"/>
                  <w:u w:val="single"/>
                </w:rPr>
                <w:t>Item 3.</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97">
              <w:r>
                <w:rPr>
                  <w:rStyle w:val="InternetLink"/>
                  <w:rFonts w:ascii="Times New Roman;serif" w:hAnsi="Times New Roman;serif"/>
                  <w:b w:val="false"/>
                  <w:color w:val="0000FF"/>
                  <w:sz w:val="20"/>
                  <w:u w:val="single"/>
                </w:rPr>
                <w:t>Quantitative and Qualitative Disclosures About Market Risk</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97">
              <w:r>
                <w:rPr>
                  <w:rStyle w:val="InternetLink"/>
                  <w:rFonts w:ascii="Times New Roman;serif" w:hAnsi="Times New Roman;serif"/>
                  <w:b w:val="false"/>
                  <w:color w:val="0000FF"/>
                  <w:sz w:val="20"/>
                  <w:u w:val="single"/>
                </w:rPr>
                <w:t>58</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00">
              <w:r>
                <w:rPr>
                  <w:rStyle w:val="InternetLink"/>
                  <w:rFonts w:ascii="Times New Roman;serif" w:hAnsi="Times New Roman;serif"/>
                  <w:b w:val="false"/>
                  <w:color w:val="0000FF"/>
                  <w:sz w:val="20"/>
                  <w:u w:val="single"/>
                </w:rPr>
                <w:t>Item 4.</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00">
              <w:r>
                <w:rPr>
                  <w:rStyle w:val="InternetLink"/>
                  <w:rFonts w:ascii="Times New Roman;serif" w:hAnsi="Times New Roman;serif"/>
                  <w:b w:val="false"/>
                  <w:color w:val="0000FF"/>
                  <w:sz w:val="20"/>
                  <w:u w:val="single"/>
                </w:rPr>
                <w:t>Controls and Procedures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100">
              <w:r>
                <w:rPr>
                  <w:rStyle w:val="InternetLink"/>
                  <w:rFonts w:ascii="Times New Roman;serif" w:hAnsi="Times New Roman;serif"/>
                  <w:b w:val="false"/>
                  <w:color w:val="0000FF"/>
                  <w:sz w:val="20"/>
                  <w:u w:val="single"/>
                </w:rPr>
                <w:t>59</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03">
              <w:r>
                <w:rPr>
                  <w:rStyle w:val="InternetLink"/>
                  <w:rFonts w:ascii="Times New Roman;serif" w:hAnsi="Times New Roman;serif"/>
                  <w:b/>
                  <w:color w:val="0000FF"/>
                  <w:sz w:val="20"/>
                  <w:u w:val="single"/>
                </w:rPr>
                <w:t>PART II.</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03">
              <w:r>
                <w:rPr>
                  <w:rStyle w:val="InternetLink"/>
                  <w:rFonts w:ascii="Times New Roman;serif" w:hAnsi="Times New Roman;serif"/>
                  <w:b/>
                  <w:color w:val="0000FF"/>
                  <w:sz w:val="20"/>
                  <w:u w:val="single"/>
                </w:rPr>
                <w:t>OTHER INFORMATION</w:t>
              </w:r>
            </w:hyperlink>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06">
              <w:r>
                <w:rPr>
                  <w:rStyle w:val="InternetLink"/>
                  <w:rFonts w:ascii="Times New Roman;serif" w:hAnsi="Times New Roman;serif"/>
                  <w:b w:val="false"/>
                  <w:color w:val="0000FF"/>
                  <w:sz w:val="20"/>
                  <w:u w:val="single"/>
                </w:rPr>
                <w:t>Item 1.</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06">
              <w:r>
                <w:rPr>
                  <w:rStyle w:val="InternetLink"/>
                  <w:rFonts w:ascii="Times New Roman;serif" w:hAnsi="Times New Roman;serif"/>
                  <w:b w:val="false"/>
                  <w:color w:val="0000FF"/>
                  <w:sz w:val="20"/>
                  <w:u w:val="single"/>
                </w:rPr>
                <w:t>Legal Proceedings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106">
              <w:r>
                <w:rPr>
                  <w:rStyle w:val="InternetLink"/>
                  <w:rFonts w:ascii="Times New Roman;serif" w:hAnsi="Times New Roman;serif"/>
                  <w:b w:val="false"/>
                  <w:color w:val="0000FF"/>
                  <w:sz w:val="20"/>
                  <w:u w:val="single"/>
                </w:rPr>
                <w:t>60</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09">
              <w:r>
                <w:rPr>
                  <w:rStyle w:val="InternetLink"/>
                  <w:rFonts w:ascii="Times New Roman;serif" w:hAnsi="Times New Roman;serif"/>
                  <w:b w:val="false"/>
                  <w:color w:val="0000FF"/>
                  <w:sz w:val="20"/>
                  <w:u w:val="single"/>
                </w:rPr>
                <w:t>Item 1A.</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09">
              <w:r>
                <w:rPr>
                  <w:rStyle w:val="InternetLink"/>
                  <w:rFonts w:ascii="Times New Roman;serif" w:hAnsi="Times New Roman;serif"/>
                  <w:b w:val="false"/>
                  <w:color w:val="0000FF"/>
                  <w:sz w:val="20"/>
                  <w:u w:val="single"/>
                </w:rPr>
                <w:t>Risk Factors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109">
              <w:r>
                <w:rPr>
                  <w:rStyle w:val="InternetLink"/>
                  <w:rFonts w:ascii="Times New Roman;serif" w:hAnsi="Times New Roman;serif"/>
                  <w:b w:val="false"/>
                  <w:color w:val="0000FF"/>
                  <w:sz w:val="20"/>
                  <w:u w:val="single"/>
                </w:rPr>
                <w:t>60</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12">
              <w:r>
                <w:rPr>
                  <w:rStyle w:val="InternetLink"/>
                  <w:rFonts w:ascii="Times New Roman;serif" w:hAnsi="Times New Roman;serif"/>
                  <w:b w:val="false"/>
                  <w:color w:val="0000FF"/>
                  <w:sz w:val="20"/>
                  <w:u w:val="single"/>
                </w:rPr>
                <w:t>Item 2.</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12">
              <w:r>
                <w:rPr>
                  <w:rStyle w:val="InternetLink"/>
                  <w:rFonts w:ascii="Times New Roman;serif" w:hAnsi="Times New Roman;serif"/>
                  <w:b w:val="false"/>
                  <w:color w:val="0000FF"/>
                  <w:sz w:val="20"/>
                  <w:u w:val="single"/>
                </w:rPr>
                <w:t>Unregistered Sales of Equity Securities and Use of Proceeds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112">
              <w:r>
                <w:rPr>
                  <w:rStyle w:val="InternetLink"/>
                  <w:rFonts w:ascii="Times New Roman;serif" w:hAnsi="Times New Roman;serif"/>
                  <w:b w:val="false"/>
                  <w:color w:val="0000FF"/>
                  <w:sz w:val="20"/>
                  <w:u w:val="single"/>
                </w:rPr>
                <w:t>60</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15">
              <w:r>
                <w:rPr>
                  <w:rStyle w:val="InternetLink"/>
                  <w:rFonts w:ascii="Times New Roman;serif" w:hAnsi="Times New Roman;serif"/>
                  <w:b w:val="false"/>
                  <w:color w:val="0000FF"/>
                  <w:sz w:val="20"/>
                  <w:u w:val="single"/>
                </w:rPr>
                <w:t>Item 3.</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15">
              <w:r>
                <w:rPr>
                  <w:rStyle w:val="InternetLink"/>
                  <w:rFonts w:ascii="Times New Roman;serif" w:hAnsi="Times New Roman;serif"/>
                  <w:b w:val="false"/>
                  <w:color w:val="0000FF"/>
                  <w:sz w:val="20"/>
                  <w:u w:val="single"/>
                </w:rPr>
                <w:t>Defaults Upon Senior Securities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115">
              <w:r>
                <w:rPr>
                  <w:rStyle w:val="InternetLink"/>
                  <w:rFonts w:ascii="Times New Roman;serif" w:hAnsi="Times New Roman;serif"/>
                  <w:b w:val="false"/>
                  <w:color w:val="0000FF"/>
                  <w:sz w:val="20"/>
                  <w:u w:val="single"/>
                </w:rPr>
                <w:t>60</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18">
              <w:r>
                <w:rPr>
                  <w:rStyle w:val="InternetLink"/>
                  <w:rFonts w:ascii="Times New Roman;serif" w:hAnsi="Times New Roman;serif"/>
                  <w:b w:val="false"/>
                  <w:color w:val="0000FF"/>
                  <w:sz w:val="20"/>
                  <w:u w:val="single"/>
                </w:rPr>
                <w:t>Item 4.</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18">
              <w:r>
                <w:rPr>
                  <w:rStyle w:val="InternetLink"/>
                  <w:rFonts w:ascii="Times New Roman;serif" w:hAnsi="Times New Roman;serif"/>
                  <w:b w:val="false"/>
                  <w:color w:val="0000FF"/>
                  <w:sz w:val="20"/>
                  <w:u w:val="single"/>
                </w:rPr>
                <w:t>Mine Safety Disclosures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118">
              <w:r>
                <w:rPr>
                  <w:rStyle w:val="InternetLink"/>
                  <w:rFonts w:ascii="Times New Roman;serif" w:hAnsi="Times New Roman;serif"/>
                  <w:b w:val="false"/>
                  <w:color w:val="0000FF"/>
                  <w:sz w:val="20"/>
                  <w:u w:val="single"/>
                </w:rPr>
                <w:t>60</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21">
              <w:r>
                <w:rPr>
                  <w:rStyle w:val="InternetLink"/>
                  <w:rFonts w:ascii="Times New Roman;serif" w:hAnsi="Times New Roman;serif"/>
                  <w:b w:val="false"/>
                  <w:color w:val="0000FF"/>
                  <w:sz w:val="20"/>
                  <w:u w:val="single"/>
                </w:rPr>
                <w:t>Item 5</w:t>
              </w:r>
            </w:hyperlink>
            <w:r>
              <w:rPr>
                <w:rFonts w:ascii="Times New Roman;serif" w:hAnsi="Times New Roman;serif"/>
                <w:b w:val="false"/>
                <w:color w:val="000000"/>
                <w:sz w:val="20"/>
              </w:rPr>
              <w:t>.</w:t>
            </w:r>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21">
              <w:r>
                <w:rPr>
                  <w:rStyle w:val="InternetLink"/>
                  <w:rFonts w:ascii="Times New Roman;serif" w:hAnsi="Times New Roman;serif"/>
                  <w:b w:val="false"/>
                  <w:color w:val="0000FF"/>
                  <w:sz w:val="20"/>
                  <w:u w:val="single"/>
                </w:rPr>
                <w:t>Other Information</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121">
              <w:r>
                <w:rPr>
                  <w:rStyle w:val="InternetLink"/>
                  <w:rFonts w:ascii="Times New Roman;serif" w:hAnsi="Times New Roman;serif"/>
                  <w:b w:val="false"/>
                  <w:color w:val="0000FF"/>
                  <w:sz w:val="20"/>
                  <w:u w:val="single"/>
                </w:rPr>
                <w:t>61</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24">
              <w:r>
                <w:rPr>
                  <w:rStyle w:val="InternetLink"/>
                  <w:rFonts w:ascii="Times New Roman;serif" w:hAnsi="Times New Roman;serif"/>
                  <w:b w:val="false"/>
                  <w:color w:val="0000FF"/>
                  <w:sz w:val="20"/>
                  <w:u w:val="single"/>
                </w:rPr>
                <w:t>Item 6.</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24">
              <w:r>
                <w:rPr>
                  <w:rStyle w:val="InternetLink"/>
                  <w:rFonts w:ascii="Times New Roman;serif" w:hAnsi="Times New Roman;serif"/>
                  <w:b w:val="false"/>
                  <w:color w:val="0000FF"/>
                  <w:sz w:val="20"/>
                  <w:u w:val="single"/>
                </w:rPr>
                <w:t>Exhibits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124">
              <w:r>
                <w:rPr>
                  <w:rStyle w:val="InternetLink"/>
                  <w:rFonts w:ascii="Times New Roman;serif" w:hAnsi="Times New Roman;serif"/>
                  <w:b w:val="false"/>
                  <w:color w:val="0000FF"/>
                  <w:sz w:val="20"/>
                  <w:u w:val="single"/>
                </w:rPr>
                <w:t>61</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8"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f570836a181f43958dee02a390db0eaf_127">
              <w:r>
                <w:rPr>
                  <w:rStyle w:val="InternetLink"/>
                  <w:rFonts w:ascii="Times New Roman;serif" w:hAnsi="Times New Roman;serif"/>
                  <w:b/>
                  <w:color w:val="0000FF"/>
                  <w:sz w:val="20"/>
                  <w:u w:val="single"/>
                </w:rPr>
                <w:t>Signatures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70836a181f43958dee02a390db0eaf_127">
              <w:r>
                <w:rPr>
                  <w:rStyle w:val="InternetLink"/>
                  <w:rFonts w:ascii="Times New Roman;serif" w:hAnsi="Times New Roman;serif"/>
                  <w:b w:val="false"/>
                  <w:color w:val="0000FF"/>
                  <w:sz w:val="20"/>
                  <w:u w:val="single"/>
                </w:rPr>
                <w:t>62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5" name="Frame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440"/>
        <w:jc w:val="both"/>
        <w:rPr>
          <w:rFonts w:ascii="Times New Roman;serif" w:hAnsi="Times New Roman;serif"/>
          <w:b/>
          <w:color w:val="000000"/>
          <w:sz w:val="24"/>
        </w:rPr>
      </w:pPr>
      <w:r>
        <w:rPr>
          <w:rFonts w:ascii="Times New Roman;serif" w:hAnsi="Times New Roman;serif"/>
          <w:b/>
          <w:color w:val="000000"/>
          <w:sz w:val="24"/>
        </w:rPr>
        <w:t>PART I        FINANCIAL INFORMATION</w:t>
      </w:r>
    </w:p>
    <w:p>
      <w:pPr>
        <w:pStyle w:val="TextBody"/>
        <w:bidi w:val="0"/>
        <w:spacing w:lineRule="auto" w:line="288" w:before="0" w:after="0"/>
        <w:ind w:left="0" w:right="0" w:hanging="1440"/>
        <w:jc w:val="both"/>
        <w:rPr>
          <w:rFonts w:ascii="Times New Roman;serif" w:hAnsi="Times New Roman;serif"/>
          <w:b/>
          <w:color w:val="000000"/>
          <w:sz w:val="24"/>
        </w:rPr>
      </w:pPr>
      <w:r>
        <w:rPr>
          <w:rFonts w:ascii="Times New Roman;serif" w:hAnsi="Times New Roman;serif"/>
          <w:b/>
          <w:color w:val="000000"/>
          <w:sz w:val="24"/>
        </w:rPr>
        <w:t>Item 1.        Financial Statements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share and per share data)</w:t>
      </w:r>
    </w:p>
    <w:p>
      <w:pPr>
        <w:pStyle w:val="TextBody"/>
        <w:bidi w:val="0"/>
        <w:spacing w:before="0" w:after="0"/>
        <w:ind w:left="0" w:right="0" w:hanging="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744"/>
        <w:gridCol w:w="2098"/>
        <w:gridCol w:w="2131"/>
        <w:gridCol w:w="211"/>
        <w:gridCol w:w="1081"/>
        <w:gridCol w:w="109"/>
        <w:gridCol w:w="109"/>
        <w:gridCol w:w="109"/>
        <w:gridCol w:w="109"/>
        <w:gridCol w:w="219"/>
        <w:gridCol w:w="1123"/>
        <w:gridCol w:w="162"/>
      </w:tblGrid>
      <w:tr>
        <w:trPr/>
        <w:tc>
          <w:tcPr>
            <w:tcW w:w="2744"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portfolio:</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23,686,926 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23,581,101 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18,430,320 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1,651,533 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524,615 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46,054,023 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45,368,940 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16,922,273 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16,732,889 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deferred revenue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and distributions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1,004,340 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18,609,911 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18,417,139 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Commitments and contingent liabilities (Note 10)</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Stockholders’ 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$0.01 par value, 1,350,000,000 shares authorized and 1,056,705,763 and 1,056,366,685 shares issued and outstanding at June 30, 2025 and December 31, 2024, respectively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$0.01 par value, 50,000,000 shares authorized and no shares outstanding at June 30, 2025 and December 31, 2024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24,515,601 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24,515,417 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1,867,400 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VICI stockholders’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27,024,451 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26,537,955 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413,846 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27,444,112 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26,951,801 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46,054,023 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45,368,940 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w:t>
      </w:r>
    </w:p>
    <w:p>
      <w:pPr>
        <w:pStyle w:val="TextBody"/>
        <w:bidi w:val="0"/>
        <w:spacing w:lineRule="auto" w:line="288" w:before="60" w:after="283"/>
        <w:jc w:val="both"/>
        <w:rPr/>
      </w:pPr>
      <w:r>
        <w:rPr>
          <w:rFonts w:ascii="Times New Roman;serif" w:hAnsi="Times New Roman;serif"/>
          <w:b w:val="false"/>
          <w:i/>
          <w:color w:val="000000"/>
          <w:sz w:val="16"/>
        </w:rPr>
        <w:t xml:space="preserve">Note: As of June 30, 2025 and December 31, 2024, our Investments in leases - sales-type, Investments in leases - financing receivables, Investments in loans and securities, and Other assets (sales-type sub-leases) are net of allowance for credit losses of $817.6 million, $751.6 million, $40.8 million and $21.3 million, respectively, and $802.7 million, $737.1 million, $25.0 million and $20.6 million, respectively. Refer to </w:t>
      </w:r>
      <w:hyperlink w:anchor="if570836a181f43958dee02a390db0eaf_64">
        <w:r>
          <w:rPr>
            <w:rStyle w:val="InternetLink"/>
            <w:rFonts w:ascii="Times New Roman;serif" w:hAnsi="Times New Roman;serif"/>
            <w:b w:val="false"/>
            <w:i/>
            <w:color w:val="0000FF"/>
            <w:sz w:val="16"/>
            <w:u w:val="single"/>
          </w:rPr>
          <w:t>Note 5 - Allowance for Credit Losses</w:t>
        </w:r>
      </w:hyperlink>
      <w:r>
        <w:rPr>
          <w:color w:val="000000"/>
        </w:rPr>
        <w:t xml:space="preserve"> </w:t>
      </w:r>
      <w:r>
        <w:rPr>
          <w:rFonts w:ascii="Times New Roman;serif" w:hAnsi="Times New Roman;serif"/>
          <w:b w:val="false"/>
          <w:i/>
          <w:color w:val="000000"/>
          <w:sz w:val="16"/>
        </w:rPr>
        <w:t>for further details.</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OPERATIONS AND COMPREHENSIVE INCOME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381"/>
        <w:gridCol w:w="1003"/>
        <w:gridCol w:w="1013"/>
        <w:gridCol w:w="271"/>
        <w:gridCol w:w="1065"/>
        <w:gridCol w:w="109"/>
        <w:gridCol w:w="109"/>
        <w:gridCol w:w="109"/>
        <w:gridCol w:w="109"/>
        <w:gridCol w:w="271"/>
        <w:gridCol w:w="1065"/>
        <w:gridCol w:w="109"/>
        <w:gridCol w:w="109"/>
        <w:gridCol w:w="109"/>
        <w:gridCol w:w="109"/>
        <w:gridCol w:w="237"/>
        <w:gridCol w:w="1099"/>
        <w:gridCol w:w="109"/>
        <w:gridCol w:w="109"/>
        <w:gridCol w:w="109"/>
        <w:gridCol w:w="109"/>
        <w:gridCol w:w="237"/>
        <w:gridCol w:w="1099"/>
        <w:gridCol w:w="156"/>
      </w:tblGrid>
      <w:tr>
        <w:trPr/>
        <w:tc>
          <w:tcPr>
            <w:tcW w:w="138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revenues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1,908,484 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Operating expenses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1,357,352 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1,352,556 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1,331,318 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xml:space="preserve">Net income per common share </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Weighted average number of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1,056,222,836 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1,042,650,713 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1,056,118,206 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1,042,530,017 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1,057,270,580 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1,042,959,627 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1,056,852,269 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1,043,137,980 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Other comprehensive income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1,352,556 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derivative gain to 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cash flow hedges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1,346,791 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common stockholders</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868,734 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1,325,659 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STOCKHOLDERS’ EQUITY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share and per share data)</w:t>
      </w:r>
    </w:p>
    <w:tbl>
      <w:tblPr>
        <w:tblW w:w="11640" w:type="dxa"/>
        <w:jc w:val="center"/>
        <w:tblInd w:w="0" w:type="dxa"/>
        <w:tblLayout w:type="fixed"/>
        <w:tblCellMar>
          <w:top w:w="28" w:type="dxa"/>
          <w:left w:w="28" w:type="dxa"/>
          <w:bottom w:w="28" w:type="dxa"/>
          <w:right w:w="28" w:type="dxa"/>
        </w:tblCellMar>
      </w:tblPr>
      <w:tblGrid>
        <w:gridCol w:w="666"/>
        <w:gridCol w:w="282"/>
        <w:gridCol w:w="283"/>
        <w:gridCol w:w="196"/>
        <w:gridCol w:w="646"/>
        <w:gridCol w:w="109"/>
        <w:gridCol w:w="109"/>
        <w:gridCol w:w="109"/>
        <w:gridCol w:w="109"/>
        <w:gridCol w:w="196"/>
        <w:gridCol w:w="961"/>
        <w:gridCol w:w="109"/>
        <w:gridCol w:w="109"/>
        <w:gridCol w:w="109"/>
        <w:gridCol w:w="109"/>
        <w:gridCol w:w="228"/>
        <w:gridCol w:w="859"/>
        <w:gridCol w:w="129"/>
        <w:gridCol w:w="109"/>
        <w:gridCol w:w="109"/>
        <w:gridCol w:w="109"/>
        <w:gridCol w:w="196"/>
        <w:gridCol w:w="871"/>
        <w:gridCol w:w="109"/>
        <w:gridCol w:w="109"/>
        <w:gridCol w:w="109"/>
        <w:gridCol w:w="109"/>
        <w:gridCol w:w="196"/>
        <w:gridCol w:w="961"/>
        <w:gridCol w:w="109"/>
        <w:gridCol w:w="109"/>
        <w:gridCol w:w="109"/>
        <w:gridCol w:w="109"/>
        <w:gridCol w:w="237"/>
        <w:gridCol w:w="891"/>
        <w:gridCol w:w="133"/>
        <w:gridCol w:w="109"/>
        <w:gridCol w:w="109"/>
        <w:gridCol w:w="109"/>
        <w:gridCol w:w="196"/>
        <w:gridCol w:w="961"/>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VICI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24,515,417 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144,574 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26,537,955 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413,846 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26,951,801 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and distributions declared ($0.4325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(464,869)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24,512,026 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132,452 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26,609,169 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413,496 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27,022,665 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878,368 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and distributions declared ($0.4325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24,515,601 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136,107 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27,024,451 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419,661 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27,444,112 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STOCKHOLDERS’ EQUITY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share and per share data)</w:t>
      </w:r>
    </w:p>
    <w:p>
      <w:pPr>
        <w:pStyle w:val="TextBody"/>
        <w:bidi w:val="0"/>
        <w:spacing w:before="180" w:after="283"/>
        <w:jc w:val="both"/>
        <w:rPr/>
      </w:pPr>
      <w:r>
        <w:rPr/>
      </w:r>
    </w:p>
    <w:tbl>
      <w:tblPr>
        <w:tblW w:w="11640" w:type="dxa"/>
        <w:jc w:val="center"/>
        <w:tblInd w:w="0" w:type="dxa"/>
        <w:tblLayout w:type="fixed"/>
        <w:tblCellMar>
          <w:top w:w="28" w:type="dxa"/>
          <w:left w:w="28" w:type="dxa"/>
          <w:bottom w:w="28" w:type="dxa"/>
          <w:right w:w="28" w:type="dxa"/>
        </w:tblCellMar>
      </w:tblPr>
      <w:tblGrid>
        <w:gridCol w:w="666"/>
        <w:gridCol w:w="282"/>
        <w:gridCol w:w="283"/>
        <w:gridCol w:w="196"/>
        <w:gridCol w:w="646"/>
        <w:gridCol w:w="109"/>
        <w:gridCol w:w="109"/>
        <w:gridCol w:w="109"/>
        <w:gridCol w:w="109"/>
        <w:gridCol w:w="196"/>
        <w:gridCol w:w="961"/>
        <w:gridCol w:w="109"/>
        <w:gridCol w:w="109"/>
        <w:gridCol w:w="109"/>
        <w:gridCol w:w="109"/>
        <w:gridCol w:w="228"/>
        <w:gridCol w:w="859"/>
        <w:gridCol w:w="129"/>
        <w:gridCol w:w="109"/>
        <w:gridCol w:w="109"/>
        <w:gridCol w:w="109"/>
        <w:gridCol w:w="196"/>
        <w:gridCol w:w="871"/>
        <w:gridCol w:w="109"/>
        <w:gridCol w:w="109"/>
        <w:gridCol w:w="109"/>
        <w:gridCol w:w="109"/>
        <w:gridCol w:w="196"/>
        <w:gridCol w:w="961"/>
        <w:gridCol w:w="109"/>
        <w:gridCol w:w="109"/>
        <w:gridCol w:w="109"/>
        <w:gridCol w:w="109"/>
        <w:gridCol w:w="237"/>
        <w:gridCol w:w="891"/>
        <w:gridCol w:w="133"/>
        <w:gridCol w:w="109"/>
        <w:gridCol w:w="109"/>
        <w:gridCol w:w="109"/>
        <w:gridCol w:w="196"/>
        <w:gridCol w:w="961"/>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VICI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24,125,872 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25,255,931 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401,843 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25,657,774 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and distributions declared ($0.4150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(440,607)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2024</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24,124,875 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156,640 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25,414,824 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403,734 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25,818,558 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752,753 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and distributions declared ($0.4150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(440,684)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24,128,989 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148,211 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25,718,896 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407,417 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26,126,313 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tbl>
      <w:tblPr>
        <w:tblW w:w="9864" w:type="dxa"/>
        <w:jc w:val="center"/>
        <w:tblInd w:w="0" w:type="dxa"/>
        <w:tblLayout w:type="fixed"/>
        <w:tblCellMar>
          <w:top w:w="28" w:type="dxa"/>
          <w:left w:w="28" w:type="dxa"/>
          <w:bottom w:w="28" w:type="dxa"/>
          <w:right w:w="28" w:type="dxa"/>
        </w:tblCellMar>
      </w:tblPr>
      <w:tblGrid>
        <w:gridCol w:w="2497"/>
        <w:gridCol w:w="2198"/>
        <w:gridCol w:w="2205"/>
        <w:gridCol w:w="211"/>
        <w:gridCol w:w="976"/>
        <w:gridCol w:w="109"/>
        <w:gridCol w:w="109"/>
        <w:gridCol w:w="109"/>
        <w:gridCol w:w="109"/>
        <w:gridCol w:w="211"/>
        <w:gridCol w:w="976"/>
        <w:gridCol w:w="154"/>
      </w:tblGrid>
      <w:tr>
        <w:trPr/>
        <w:tc>
          <w:tcPr>
            <w:tcW w:w="2497"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cash flows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leasing and financing adjustments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original issue discount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settlement of 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Payment-in-kind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repayments of loans and securities and receipts of deferred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transaction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Revolving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senior unsecured notes offerings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senior unsecured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stock for tax withholding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(867,623)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8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(808,412)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(912,936)</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p>
      <w:pPr>
        <w:pStyle w:val="TextBody"/>
        <w:bidi w:val="0"/>
        <w:spacing w:before="180" w:after="283"/>
        <w:jc w:val="both"/>
        <w:rPr/>
      </w:pPr>
      <w:r>
        <w:rPr/>
      </w:r>
    </w:p>
    <w:tbl>
      <w:tblPr>
        <w:tblW w:w="9294" w:type="dxa"/>
        <w:jc w:val="center"/>
        <w:tblInd w:w="0" w:type="dxa"/>
        <w:tblLayout w:type="fixed"/>
        <w:tblCellMar>
          <w:top w:w="28" w:type="dxa"/>
          <w:left w:w="28" w:type="dxa"/>
          <w:bottom w:w="28" w:type="dxa"/>
          <w:right w:w="28" w:type="dxa"/>
        </w:tblCellMar>
      </w:tblPr>
      <w:tblGrid>
        <w:gridCol w:w="2401"/>
        <w:gridCol w:w="2108"/>
        <w:gridCol w:w="2121"/>
        <w:gridCol w:w="211"/>
        <w:gridCol w:w="826"/>
        <w:gridCol w:w="109"/>
        <w:gridCol w:w="109"/>
        <w:gridCol w:w="109"/>
        <w:gridCol w:w="109"/>
        <w:gridCol w:w="211"/>
        <w:gridCol w:w="826"/>
        <w:gridCol w:w="154"/>
      </w:tblGrid>
      <w:tr>
        <w:trPr/>
        <w:tc>
          <w:tcPr>
            <w:tcW w:w="2401"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Effect of exchange rate changes on cash, cash equivalents and restricted cash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interest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non-cash investing and financing activity: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Dividends and distributions declared, not paid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stock-based compensation subject to repurchase for tax withholding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capitalized transaction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change in Investments in leases - financing receivables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unit and per unit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09"/>
        <w:gridCol w:w="2110"/>
        <w:gridCol w:w="2143"/>
        <w:gridCol w:w="211"/>
        <w:gridCol w:w="1081"/>
        <w:gridCol w:w="109"/>
        <w:gridCol w:w="109"/>
        <w:gridCol w:w="109"/>
        <w:gridCol w:w="109"/>
        <w:gridCol w:w="220"/>
        <w:gridCol w:w="1132"/>
        <w:gridCol w:w="163"/>
      </w:tblGrid>
      <w:tr>
        <w:trPr/>
        <w:tc>
          <w:tcPr>
            <w:tcW w:w="2709"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portfolio:</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23,686,926 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23,581,101 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18,430,320 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456,899 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1,015,180 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45,967,465 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45,285,760 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16,922,273 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16,732,889 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deferred revenue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461,954 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990,577 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18,595,100 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18,400,872 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Commitments and contingent liabilities (Note 10)</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Partners’ Capital</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Partners’ capital, 1,068,937,136 and 1,068,598,058 operating partnership units issued and outstanding as of June 30, 2025 and December 31, 2024,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27,130,572 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26,634,873 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VICI LP’s capital</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27,265,917 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26,778,772 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capital attributable to partners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27,372,365 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26,884,888 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partners’ capital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45,967,465 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45,285,760 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w:t>
      </w:r>
    </w:p>
    <w:p>
      <w:pPr>
        <w:pStyle w:val="TextBody"/>
        <w:bidi w:val="0"/>
        <w:spacing w:lineRule="auto" w:line="288" w:before="60" w:after="283"/>
        <w:jc w:val="both"/>
        <w:rPr/>
      </w:pPr>
      <w:r>
        <w:rPr>
          <w:rFonts w:ascii="Times New Roman;serif" w:hAnsi="Times New Roman;serif"/>
          <w:b w:val="false"/>
          <w:i/>
          <w:color w:val="000000"/>
          <w:sz w:val="16"/>
        </w:rPr>
        <w:t xml:space="preserve">Note: As of June 30, 2025 and December 31, 2024, our Investments in leases - sales-type, Investments in leases - financing receivables, Investments in loans and securities, and Other assets (sales-type sub-leases) are net of allowance for credit losses of $817.6 million, $751.6 million, $40.8 million and $21.3 million, respectively, and $802.7 million, $737.1 million, $25.0 million and $20.6 million, respectively. Refer to </w:t>
      </w:r>
      <w:hyperlink w:anchor="if570836a181f43958dee02a390db0eaf_64">
        <w:r>
          <w:rPr>
            <w:rStyle w:val="InternetLink"/>
            <w:rFonts w:ascii="Times New Roman;serif" w:hAnsi="Times New Roman;serif"/>
            <w:b w:val="false"/>
            <w:i/>
            <w:color w:val="0000FF"/>
            <w:sz w:val="16"/>
            <w:u w:val="single"/>
          </w:rPr>
          <w:t>Note 5 - Allowance for Credit Losses</w:t>
        </w:r>
      </w:hyperlink>
      <w:r>
        <w:rPr>
          <w:color w:val="000000"/>
        </w:rPr>
        <w:t xml:space="preserve"> </w:t>
      </w:r>
      <w:r>
        <w:rPr>
          <w:rFonts w:ascii="Times New Roman;serif" w:hAnsi="Times New Roman;serif"/>
          <w:b w:val="false"/>
          <w:i/>
          <w:color w:val="000000"/>
          <w:sz w:val="16"/>
        </w:rPr>
        <w:t>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OPERATIONS AND COMPREHENSIVE INCOME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1453"/>
        <w:gridCol w:w="1118"/>
        <w:gridCol w:w="1129"/>
        <w:gridCol w:w="271"/>
        <w:gridCol w:w="1065"/>
        <w:gridCol w:w="109"/>
        <w:gridCol w:w="109"/>
        <w:gridCol w:w="109"/>
        <w:gridCol w:w="109"/>
        <w:gridCol w:w="237"/>
        <w:gridCol w:w="930"/>
        <w:gridCol w:w="124"/>
        <w:gridCol w:w="109"/>
        <w:gridCol w:w="109"/>
        <w:gridCol w:w="109"/>
        <w:gridCol w:w="237"/>
        <w:gridCol w:w="1099"/>
        <w:gridCol w:w="109"/>
        <w:gridCol w:w="109"/>
        <w:gridCol w:w="109"/>
        <w:gridCol w:w="109"/>
        <w:gridCol w:w="211"/>
        <w:gridCol w:w="976"/>
        <w:gridCol w:w="156"/>
      </w:tblGrid>
      <w:tr>
        <w:trPr/>
        <w:tc>
          <w:tcPr>
            <w:tcW w:w="145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945,347 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1,886,732 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Operating 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(205,777)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751,324 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1,349,317 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748,982 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1,346,022 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partners</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746,179 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1,340,321 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Net income per Partnership unit</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Weighted average number of Partnership units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1,068,454,209 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1,054,882,086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1,068,349,579 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1,054,761,390</w:t>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1,069,501,953 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1,055,191,000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1,069,083,642 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1,055,369,353</w:t>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Other comprehensive income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partners</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1,340,321 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derivative gain to 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cash flow hedges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partners</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737,622 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1,334,556 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3" name="Frame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PARTNERS’ CAPITAL</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1056"/>
        <w:gridCol w:w="786"/>
        <w:gridCol w:w="789"/>
        <w:gridCol w:w="205"/>
        <w:gridCol w:w="1007"/>
        <w:gridCol w:w="113"/>
        <w:gridCol w:w="109"/>
        <w:gridCol w:w="109"/>
        <w:gridCol w:w="109"/>
        <w:gridCol w:w="430"/>
        <w:gridCol w:w="1624"/>
        <w:gridCol w:w="243"/>
        <w:gridCol w:w="109"/>
        <w:gridCol w:w="109"/>
        <w:gridCol w:w="109"/>
        <w:gridCol w:w="310"/>
        <w:gridCol w:w="1170"/>
        <w:gridCol w:w="174"/>
        <w:gridCol w:w="109"/>
        <w:gridCol w:w="109"/>
        <w:gridCol w:w="109"/>
        <w:gridCol w:w="196"/>
        <w:gridCol w:w="961"/>
        <w:gridCol w:w="160"/>
      </w:tblGrid>
      <w:tr>
        <w:trPr/>
        <w:tc>
          <w:tcPr>
            <w:tcW w:w="105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26,634,873 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143,899 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106,116 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26,884,888 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547,827 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550,217 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(462,174)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(462,174)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(6,345)</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cash flow hedges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26,716,498 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131,640 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105,809 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26,953,947 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871,916 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875,259 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(462,365)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(462,365)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(6,386)</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27,130,572 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135,345 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106,448 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27,372,365 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PARTNERS’ CAPITAL</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1056"/>
        <w:gridCol w:w="786"/>
        <w:gridCol w:w="789"/>
        <w:gridCol w:w="205"/>
        <w:gridCol w:w="1007"/>
        <w:gridCol w:w="113"/>
        <w:gridCol w:w="109"/>
        <w:gridCol w:w="109"/>
        <w:gridCol w:w="109"/>
        <w:gridCol w:w="430"/>
        <w:gridCol w:w="1624"/>
        <w:gridCol w:w="243"/>
        <w:gridCol w:w="109"/>
        <w:gridCol w:w="109"/>
        <w:gridCol w:w="109"/>
        <w:gridCol w:w="310"/>
        <w:gridCol w:w="1170"/>
        <w:gridCol w:w="174"/>
        <w:gridCol w:w="109"/>
        <w:gridCol w:w="109"/>
        <w:gridCol w:w="109"/>
        <w:gridCol w:w="196"/>
        <w:gridCol w:w="961"/>
        <w:gridCol w:w="160"/>
      </w:tblGrid>
      <w:tr>
        <w:trPr/>
        <w:tc>
          <w:tcPr>
            <w:tcW w:w="105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2023</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25,288,647 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153,350 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105,632 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25,547,629 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594,142 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597,040 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(440,283)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(440,283)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(6,046)</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cash flow hedges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(3,644)</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2024</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25,441,302 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156,142 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105,900 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25,703,344 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746,179 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748,982 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(438,049)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(438,049)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(6,384)</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2024</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25,753,822 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147,585 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106,010 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26,007,417 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5" name="Frame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tbl>
      <w:tblPr>
        <w:tblW w:w="9864" w:type="dxa"/>
        <w:jc w:val="left"/>
        <w:tblInd w:w="0" w:type="dxa"/>
        <w:tblLayout w:type="fixed"/>
        <w:tblCellMar>
          <w:top w:w="28" w:type="dxa"/>
          <w:left w:w="28" w:type="dxa"/>
          <w:bottom w:w="28" w:type="dxa"/>
          <w:right w:w="28" w:type="dxa"/>
        </w:tblCellMar>
      </w:tblPr>
      <w:tblGrid>
        <w:gridCol w:w="2497"/>
        <w:gridCol w:w="2198"/>
        <w:gridCol w:w="2205"/>
        <w:gridCol w:w="211"/>
        <w:gridCol w:w="976"/>
        <w:gridCol w:w="109"/>
        <w:gridCol w:w="109"/>
        <w:gridCol w:w="109"/>
        <w:gridCol w:w="109"/>
        <w:gridCol w:w="211"/>
        <w:gridCol w:w="976"/>
        <w:gridCol w:w="154"/>
      </w:tblGrid>
      <w:tr>
        <w:trPr/>
        <w:tc>
          <w:tcPr>
            <w:tcW w:w="2497"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cash flows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leasing and financing adjustments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original issue discount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settlement of 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Payment-in-kind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repayments of loans and securities and receipts of deferred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transaction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(714,594)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Parent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Parent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(877,628)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Revolving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senior unsecured notes offerings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senior unsecured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stock for tax withholding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8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(742,910)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(912,789)</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tbl>
      <w:tblPr>
        <w:tblW w:w="8994" w:type="dxa"/>
        <w:jc w:val="left"/>
        <w:tblInd w:w="0" w:type="dxa"/>
        <w:tblLayout w:type="fixed"/>
        <w:tblCellMar>
          <w:top w:w="28" w:type="dxa"/>
          <w:left w:w="28" w:type="dxa"/>
          <w:bottom w:w="28" w:type="dxa"/>
          <w:right w:w="28" w:type="dxa"/>
        </w:tblCellMar>
      </w:tblPr>
      <w:tblGrid>
        <w:gridCol w:w="2292"/>
        <w:gridCol w:w="2013"/>
        <w:gridCol w:w="2025"/>
        <w:gridCol w:w="211"/>
        <w:gridCol w:w="826"/>
        <w:gridCol w:w="109"/>
        <w:gridCol w:w="109"/>
        <w:gridCol w:w="109"/>
        <w:gridCol w:w="109"/>
        <w:gridCol w:w="211"/>
        <w:gridCol w:w="826"/>
        <w:gridCol w:w="154"/>
      </w:tblGrid>
      <w:tr>
        <w:trPr/>
        <w:tc>
          <w:tcPr>
            <w:tcW w:w="2292"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interest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non-cash investing and financing activity: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capitalized transaction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change in Investments in leases - financing receivables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 these notes, the words the “Company,” “VICI,” “we,” “our,” and “us” refer to VICI Properties Inc. and its subsidiaries, including VICI LP, on a consolidated basis, unless otherwise stated or the context requires otherwise.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We refer to (i) our Condensed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 — Business and Organization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Business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primarily engaged in the business of owning and acquiring gaming, hospitality, wellness, entertainment and leisure destinations, subject to long-term triple-net leases. As of June 30, 2025, we own 93 experiential assets across a geographically diverse portfolio consisting of 54 gaming properties and 39 other experiential properties across the United States and Canada, including Caesars Palace Las Vegas, MGM Grand and the Venetian Resort Las Vegas (the “Venetian Resort”). Our gaming and entertainment facilities are leased to leading brands that seek to drive consumer loyalty and value with guests through superior services, experiences, products and continuous innovation. VICI also owns four championship golf courses, which are managed by Cabot-Managed Properties and are located near certain of our properties.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VICI Properties Inc., the parent company, is a Maryland corporation and internally managed REIT for U.S. federal income tax purposes. Our real property business, which represents the substantial majority of our assets, is conducted through VICI OP and indirectly through VICI LP, and our golf course business, VICI Golf, is conducted through a direct wholly owned TRS of VICI. As a REIT, we generally will not be subject to U.S. federal income taxes on our taxable income to the extent that we annually distribute all of our net taxable income to stockholders and maintain our qualification as a REIT.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2 — Summary of Significant Accounting Policies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The Financial Statements, including the notes thereto, are unaudited and condense or exclude some of the disclosures and information normally required in audited financial statements. </w:t>
      </w:r>
    </w:p>
    <w:p>
      <w:pPr>
        <w:pStyle w:val="TextBody"/>
        <w:bidi w:val="0"/>
        <w:spacing w:lineRule="auto" w:line="288" w:before="180" w:after="283"/>
        <w:jc w:val="both"/>
        <w:rPr/>
      </w:pPr>
      <w:r>
        <w:rPr>
          <w:rFonts w:ascii="Times New Roman;serif" w:hAnsi="Times New Roman;serif"/>
          <w:b w:val="false"/>
          <w:color w:val="000000"/>
          <w:sz w:val="20"/>
        </w:rPr>
        <w:t xml:space="preserve">We believe the disclosures made are adequate to prevent the information presented from being misleading. However, the accompanying unaudited Financial Statements and related notes should be read in conjunction with our audited financial statements and notes thereto included in our most recent </w:t>
      </w:r>
      <w:hyperlink r:id="rId3">
        <w:r>
          <w:rPr>
            <w:rStyle w:val="InternetLink"/>
            <w:rFonts w:ascii="Times New Roman;serif" w:hAnsi="Times New Roman;serif"/>
            <w:b w:val="false"/>
            <w:color w:val="0000FF"/>
            <w:sz w:val="20"/>
            <w:u w:val="single"/>
          </w:rPr>
          <w:t>Annual Report on Form 10-K</w:t>
        </w:r>
      </w:hyperlink>
      <w:r>
        <w:rPr>
          <w:rFonts w:ascii="Times New Roman;serif" w:hAnsi="Times New Roman;serif"/>
          <w:b w:val="false"/>
          <w:color w:val="000000"/>
          <w:sz w:val="20"/>
        </w:rPr>
        <w:t>, as updated from time to time in our other filings with the SEC.</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adjustments considered necessary for a fair statement of results for the interim period have been included and are of a normal and recurring nature. Certain prior period amounts have been reclassified to conform to the current period presentation.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Operating results for the three and six months ended June 30, 2025 are not necessarily indicative of the results that may be expected for the year ending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Financial Statements include our accounts and the accounts of VICI LP, and the subsidiaries in which we or VICI LP has a controlling interest. All intercompany account balances and transactions have been eliminated in consolidation. We consolidate all subsidiaries in which we have a controlling financial interest and variable interest entities for which we or one of our consolidated subsidiaries is the primary beneficiary.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present non-controlling interests and classify such interests as a component of consolidated stockholders’ equity or partners’ capital, separate from VICI stockholders’ equity and VICI LP partners’ capital. As of June 30, 2025, VICI’s non-controlling interests were comprised of (i) an approximately 1.1% third-party ownership of VICI OP in the form of VICI OP Units, (ii) a 20% third-party ownership of Harrah’s Joliet LandCo LLC, the entity that owns the Harrah’s Joliet facility and is the lessor under the related lease agreement with Caesars Entertainment, Inc. (together with, as the context requires, its subsidiaries, “Caesars”) for such facility (the “Joliet Lease”) and (iii) a third-party minority equity interest, in the form of Class A Units, of VICI Bowl HoldCo LLC (“Lucky Strike OP Units”), the entity that (a) owns the portfolio of bowling entertainment centers leased to Lucky Strike Entertainment Corporation (“Lucky Strike Entertainment”) and (b) is the lessor under the related Lucky Strike Entertainment master lease agreement, which interest entitles the non-controlling interest holder to a preferred return that currently approximates 4.1% of the entity’s cash flows.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LP’s non-controlling interests are the third-party ownership interests in Harrah’s Joliet LandCo LLC and VICI Bowl HoldCo LLC referenced above.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Reportable Segments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operations consist of real estate investment activities, which represent substantially all of our business. The operating results are regularly reviewed, on a consolidated basis, by the Chief Operating Decision Maker (“CODM”) and are considered to be one operating segment. Accordingly, all operations have been considered to represent one reportable segment.</w:t>
      </w:r>
    </w:p>
    <w:p>
      <w:pPr>
        <w:pStyle w:val="TextBody"/>
        <w:bidi w:val="0"/>
        <w:spacing w:lineRule="auto" w:line="288" w:before="180" w:after="283"/>
        <w:jc w:val="both"/>
        <w:rPr/>
      </w:pPr>
      <w:r>
        <w:rPr>
          <w:rFonts w:ascii="Times New Roman;serif" w:hAnsi="Times New Roman;serif"/>
          <w:b w:val="false"/>
          <w:color w:val="000000"/>
          <w:sz w:val="20"/>
        </w:rPr>
        <w:t xml:space="preserve">Refer to </w:t>
      </w:r>
      <w:hyperlink w:anchor="if570836a181f43958dee02a390db0eaf_91">
        <w:r>
          <w:rPr>
            <w:rStyle w:val="InternetLink"/>
            <w:rFonts w:ascii="Times New Roman;serif" w:hAnsi="Times New Roman;serif"/>
            <w:b w:val="false"/>
            <w:color w:val="0000FF"/>
            <w:sz w:val="20"/>
            <w:u w:val="single"/>
          </w:rPr>
          <w:t>Note 14 - Segment Information</w:t>
        </w:r>
      </w:hyperlink>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Cash consists of cash-on-hand and cash-in-bank. Highly liquid investments with an original maturity of three months or less from the date of purchase are considered cash equivalents and are carried at cost, which approximates fair value. As of June 30, 2025 and December 31, 2024, we did not have any restricted cash.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with an original maturity of greater than three months and less than one year from the date of purchase are considered short-term investments and are stated at fair value.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 for sale securities. Interest on our short-term investments is recognized as interest income in our Statement of Operations. We did not have any short-term investments as of June 30, 2025 and December 31, 2024.</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Purchase Accounting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assess all of our property acquisitions under ASC 805 “Business Combinations” (“ASC 805”) to determine if such acquisitions should be accounted for as a business combination or an asset acquisition. Under ASC 805, an acquisition does not qualify as a business combination when (i) substantially all of the fair value is concentrated in a single identifiable asset or group of similar identifiable assets, (ii) the acquisition does not include a substantive process in the form of an acquired workforce, or (iii) the acquisition does not include an acquired contract that cannot be replaced without significant cost, effort or delay. Generally, and to date, all of our acquisitions have been determined to be asset acquisitions and, in accordance with ASC 805-50, all applicable transaction costs are capitalized as part of the purchase price of the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allocate the purchase price, including the costs incurred to acquire the assets, to the identifiable assets acquired and liabilities assumed, as applicable, using their relative fair value. Generally, the assets acquired are comprised of land, building and site improvements, and in certain instances existing leases and/or debt. Further, since all the components of our leases are classified as sales-type leases or financing receivables, as further described below, the assets acquired are transferred into the net investment in lease or financing receivable, as applicable.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Investments in Leases - Sales-type, Net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each lease component of the property, generally comprised of land and building, to determine the classification. If the lease component is determined to be a direct financing or sales-type lease, we record a net investment in the lease, which is equal to the sum of the lease receivable and the unguaranteed residual asset, discounted at the rate implicit in the lease, net of allowance for credit losses.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long-term nature of our leases, the land and building components of an investment generally have the same lease classification.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Investments in Leases - Financing Receivables, Net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ASC 842, for transactions in which we enter into a contract to acquire an asset and lease it back to the seller under a lease classified as a sales-type lease (i.e., a sale leaseback transaction), control of the asset is not considered to have transferred to us. As a result, we do not recognize the net investment in the lease but instead recognize a financial asset in accordance with ASC 310 “Receivables” (“ASC 310”); however, the accounting for the financing receivable under ASC 310 is materially consistent with the accounting for our investments in leases - sales-type under ASC 842. </w:t>
      </w:r>
    </w:p>
    <w:p>
      <w:pPr>
        <w:pStyle w:val="TextBody"/>
        <w:bidi w:val="0"/>
        <w:spacing w:lineRule="auto" w:line="276" w:before="180" w:after="283"/>
        <w:jc w:val="both"/>
        <w:rPr>
          <w:rFonts w:ascii="Times New Roman;serif" w:hAnsi="Times New Roman;serif"/>
          <w:b/>
          <w:i/>
          <w:color w:val="000000"/>
          <w:sz w:val="20"/>
        </w:rPr>
      </w:pPr>
      <w:r>
        <w:rPr>
          <w:rFonts w:ascii="Times New Roman;serif" w:hAnsi="Times New Roman;serif"/>
          <w:b/>
          <w:i/>
          <w:color w:val="000000"/>
          <w:sz w:val="20"/>
        </w:rPr>
        <w:t>Lease Term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assess the noncancelable lease term under ASC 842, which includes any reasonably certain renewal periods. All of our lease agreements provide for an initial term, with one or more tenant renewal options.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relation to our gaming assets and certain other irreplaceable real estate, we generally conclude that the lease term includes all of the periods covered by extension options as it is reasonably certain our tenants will renew the lease agreements. In these situations, we believe our tenants are economically compelled to renew the lease agreements due to the importance of our real estate to the operation of their business, the significant capital they have invested and are required to invest in our properties under the terms of the lease agreements and the lack of suitable replacement assets.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Income from Leases and Lease Financing Receivables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the related income from our sales-type leases and lease financing receivables on an effective interest basis at a constant rate of return over the terms of the applicable leases. As a result, the cash payments accounted for under sales-type leases and lease financing receivables will not equal income from our lease agreements. Rather, a portion of the cash rent we receive is recorded as Income from sales-type leases or Income from lease financing receivables, loans and securities, as applicable, in our Statement of Operations and a portion is recorded as a change to Investments in leases - sales-type, net or Investments in leases - financing receivables, net, as applicable.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Initial direct costs incurred in connection with entering into investments classified as sales-type leases are included in the balance of the net investment in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Loan origination fees and costs incurred in connection with entering into investments classified as lease financing receivables are included in the balance of the net investment and such amounts will be recognized as a reduction to Income from investments in loans and lease financing receivables over the life of the lease using the effective interest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Investments in Loans and Securities, net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in loans are held-for-investment and are carried at historical cost, inclusive of unamortized loan origination costs and fees and net of allowances for credit losses. Income is recognized on an effective interest basis at a constant rate of return over the life of the related loan.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classify our investments in securities on the date of acquisition of the investment as either trading, available-for-sale or held-to-maturity. We classify our debt securities as held-to-maturity, as we have the intent and ability to hold this security until maturity, the accounting of which is materially consistent with that of our Investments in loans.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ASC 326 “Financial Instruments-Credit Losses” (“ASC 326”) requires that we measure and record current expected credit losses (“CECL”) for the majority of our investments, the scope of which includes our Investments in leases - sales-type, Investments in leases - financing receivables and Investments in loans and securities.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Investments in Leases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relation to our lease portfolio, we have elected to use a discounted cash flow model to estimate the allowance for credit losses, or CECL allowance, for our Investments in leases - sales-type and Investments in leases - financing receivables, which comprise the substantial majority of our CECL allowance. This model requires us to develop cash flows that project estimated credit losses over the life of the lease and discount these cash flows at the investment’s effective interest rate. We then record a CECL allowance equal to the difference between the amortized cost basis of the investment and the present value of the expected credit loss cash flows.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Expected losses within our cash flows are determined by estimating the probability of default (“PD”) and loss given default (“LGD”) of our tenants and their parent guarantors, as applicable, over the life of each individual lease or financial investment. We have engaged a nationally recognized data analytics firm to assist us with estimating both the PD and LGD of our tenants and their parent guarantors, as applicable.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and parent guarantor, as applicable, and applied to a projection of economic conditions over a two-year term. The PD and LGD for the Long-Term Period are estimated using the average historical default rates and historical loss rates, respectively, of public companies over approximately the past 40 years that have similar credit profiles or characteristics to our tenants and their parent guarantors, as applicable. We are unable to use our historical data to estimate losses as we have no loss history to date.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Investments in Loans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relation to our loan portfolio, we engage a nationally recognized data analytics firm to provide loan level market data and a forward-looking commercial real estate loss forecasting tool. The credit loss model generates the PD and LGD using sub-market loan-level data and the estimated fair value of collateral to generate net operating income and forecast the expected loss for each loan.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Unfunded Commitments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required to estimate a CECL allowance related to contractual commitments to extend credit, such as future funding commitments under a revolving credit facility, delayed draw term loan, construction loan or through commitments made to our tenants to fund the development and construction of improvements at our properties. We estimate the amount that we will fund for each contractual commitment based on (i) discussions with our borrowers and tenants, (ii) our borrowers’ and tenants’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the respective investments subject to the CECL model. The CECL allowance related to these future commitments is recorded as a component of Other liabilities on our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Presentation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initial CECL allowance is recorded as a reduction to our net Investments in leases - sales-type, Investments in leases - financing receivables, Investments in loans and securities and Sales-type sub-leases (included in Other assets) on our Balance Sheets.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results in a non-cash charge to the Statement of Operations for the relevant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Write-offs of our investments in leases and loans are deducted from the allowance in the period in which they are deemed uncollectible. Recoveries of amounts previously written off are recorded when received. There were no charge-offs or recoveries for the three and six months ended June 30, 2025 and 2024.</w:t>
      </w:r>
    </w:p>
    <w:p>
      <w:pPr>
        <w:pStyle w:val="TextBody"/>
        <w:bidi w:val="0"/>
        <w:spacing w:lineRule="auto" w:line="288" w:before="180" w:after="283"/>
        <w:jc w:val="both"/>
        <w:rPr/>
      </w:pPr>
      <w:r>
        <w:rPr>
          <w:rFonts w:ascii="Times New Roman;serif" w:hAnsi="Times New Roman;serif"/>
          <w:b w:val="false"/>
          <w:color w:val="000000"/>
          <w:sz w:val="20"/>
        </w:rPr>
        <w:t xml:space="preserve">Refer to </w:t>
      </w:r>
      <w:hyperlink w:anchor="if570836a181f43958dee02a390db0eaf_64">
        <w:r>
          <w:rPr>
            <w:rStyle w:val="InternetLink"/>
            <w:rFonts w:ascii="Times New Roman;serif" w:hAnsi="Times New Roman;serif"/>
            <w:b w:val="false"/>
            <w:color w:val="0000FF"/>
            <w:sz w:val="20"/>
            <w:u w:val="single"/>
          </w:rPr>
          <w:t>Note 5 - Allowance for Credit Losses</w:t>
        </w:r>
      </w:hyperlink>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Foreign Currency Translation and Remeasurement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investments in our Canadian gaming assets and certain of our loans are denominated in foreign currencies and, accordingly, we translate the financial statements of the subsidiaries that own such assets into U.S. Dollars (“USD” or “US$”) when we consolidate their financial results and position. Generally, assets and liabilities are translated at the exchange rate in effect at the date of the Balance Sheet and the resulting translation adjustments are included in Accumulated other comprehensive income in the Balance Sheets. Certain balance sheet items, primarily equity and capital-related accounts, are reflected at the historical exchange rate. Income Statement accounts are translated using the average exchange rate for the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and certain of our consolidated subsidiaries have intercompany and third-party debt that is denominated in foreign currencies, which are neither our nor our consolidated subsidiaries’ functional currency of USD. When the debt and related operating receivables and/or payables are remeasured to the functional currency of the entity, a gain or loss can result. The resulting adjustment is reflected in Other losses in the Statement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Other Income and Other 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primarily represents sub-lease income related to certain ground and use leases. Under the lease agreements, the tenants are required to pay all costs associated with such ground and use leases and provides for their direct payment to the landlord. This income and the related expense are recorded on a gross basis in our Statement of Operations as required under GAAP as we are the primary obligor under these certain ground and use leases. </w:t>
      </w:r>
    </w:p>
    <w:p>
      <w:pPr>
        <w:pStyle w:val="TextBody"/>
        <w:bidi w:val="0"/>
        <w:spacing w:lineRule="auto" w:line="276" w:before="180" w:after="283"/>
        <w:jc w:val="left"/>
        <w:rPr>
          <w:rFonts w:ascii="Times New Roman;serif" w:hAnsi="Times New Roman;serif"/>
          <w:b/>
          <w:i/>
          <w:color w:val="000000"/>
          <w:sz w:val="20"/>
        </w:rPr>
      </w:pPr>
      <w:r>
        <w:rPr>
          <w:rFonts w:ascii="Times New Roman;serif" w:hAnsi="Times New Roman;serif"/>
          <w:b/>
          <w:i/>
          <w:color w:val="000000"/>
          <w:sz w:val="20"/>
        </w:rPr>
        <w:t xml:space="preserve">Fair Value Measurements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pStyle w:val="TextBody"/>
        <w:bidi w:val="0"/>
        <w:spacing w:lineRule="auto" w:line="288" w:before="180" w:after="283"/>
        <w:jc w:val="both"/>
        <w:rPr/>
      </w:pPr>
      <w:r>
        <w:rPr>
          <w:rFonts w:ascii="Times New Roman;serif" w:hAnsi="Times New Roman;serif"/>
          <w:b w:val="false"/>
          <w:color w:val="000000"/>
          <w:sz w:val="20"/>
        </w:rPr>
        <w:t xml:space="preserve">Refer to </w:t>
      </w:r>
      <w:hyperlink w:anchor="if570836a181f43958dee02a390db0eaf_76">
        <w:r>
          <w:rPr>
            <w:rStyle w:val="InternetLink"/>
            <w:rFonts w:ascii="Times New Roman;serif" w:hAnsi="Times New Roman;serif"/>
            <w:b w:val="false"/>
            <w:color w:val="0000FF"/>
            <w:sz w:val="20"/>
            <w:u w:val="single"/>
          </w:rPr>
          <w:t>Note 9 - Fair Value</w:t>
        </w:r>
      </w:hyperlink>
      <w:r>
        <w:rPr>
          <w:color w:val="000000"/>
        </w:rPr>
        <w:t xml:space="preserve"> </w:t>
      </w:r>
      <w:r>
        <w:rPr>
          <w:rFonts w:ascii="Times New Roman;serif" w:hAnsi="Times New Roman;serif"/>
          <w:b w:val="false"/>
          <w:color w:val="000000"/>
          <w:sz w:val="20"/>
        </w:rPr>
        <w:t xml:space="preserve">for further information.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Derivative Financial Instruments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record our derivative financial instruments as either Other assets or Other liabilities on our Balance Sheet at fair value.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risk management objectives, strategy for undertaking the hedge transaction and our evaluation of the effectiveness of its hedged transaction.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 quarterly basis, we also assess whether the derivative we designated in each hedging relationship is expected to be, and has been, highly effective in offsetting changes in the value or cash flows of the hedged transactions.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previously recorded in Accumulated other comprehensive income is recognized in earnings when the hedged transactions affect earnings. Changes in the fair value of our derivative instruments that qualify as hedges are reported as a component of Accumulated other comprehensive income in our Balance Sheet with a corresponding change in Unrealized (loss) gain on cash flow hedges within Other comprehensive income on our Statement of Operations.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use derivative instruments to mitigate the effects of interest rate volatility, whether from variable rate debt or future forecasted transactions, which could unfavorably impact our future earnings and forecasted cash flows. We do not use derivative instruments for speculative or trading purposes.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Concentrations of Credit Risk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MGM Resorts International (together with, as the context requires, its subsidiaries, “MGM”) and Caesars are the guarantors of all of the lease payment obligations of the tenants under the applicable leases of the properties that they each respectively lease from us. Revenue from our lease agreements with MGM represented 38% of our lease revenues for each of the three and six months ended June 30, 2025 and 2024. Contractual rent from our lease agreements with MGM represented 36% of our total contractual rent for each of the three and six months ended June 30, 2025 and 2024. Revenue from our lease agreements with Caesars represented 36% of our lease revenues for each of the three and six months ended June 30, 2025 and 2024. Contractual rent from our lease agreements with Caesars represented 37% of our total contractual rent for each of the three and six months ended June 30, 2025 and 38% of our total contractual rent for each of the three and six months ended June 30,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Additionally, our properties on the Las Vegas Strip generated approximately 49% of our lease revenues for each of the three and six months ended June 30, 2025 and 48% of our lease revenues for each of the three and six months ended June 30, 2024. Other than having two tenants from which we derive and will continue to derive a substantial portion of our revenue and our concentration in the Las Vegas market, we do not believe there are any other significant concentrations of credit risk.</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(“ASU 2023-09”). ASU 2023-09 requires entities to disclose additional information with respect to the effective tax rate reconciliation and to disclose the disaggregation by jurisdiction of income tax expense and income taxes paid. ASU 2023-09 is effective for fiscal years beginning after December 15, 2024, with early adoption permitted. We are currently evaluating the impact of ASU 2023-09 on our Financial Statements.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Recent Tax Legislation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Organization for Economic Co-operation and Development (“OECD”) has proposed a global minimum tax of 15% of reported profits (“Pillar Two”) that has been agreed upon in principle by over 140 countries. During 2023, many countries incorporated Pillar Two model rules into their laws. The model rules provide a framework for applying the minimum tax and some countries have adopted Pillar Two effective January 1, 2024; however, countries must individually enact Pillar Two, which may result in variation in the application of the model rules and timelines.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effective July 4, 2025, certain changes to U.S. tax law were approved that may impact us and our stockholders. Among other changes, this legislation (i) permanently extended the 20% deduction for “qualified REIT dividends” for individuals and other non-corporate taxpayers under Section 199A of the Internal Revenue Code (the “Code”), (ii) increased the percentage limit under the REIT asset test applicable to TRSs from 20% to 25% for taxable years beginning after December 31, 2025, and (iii) increased the basis on which the 30% interest deduction limit under Section 163(j) of the Code applies by excluding depreciation, amortization and depletion from the definition of “adjusted taxable income” (i.e. based on EBITDA rather than EBIT) for taxable years beginning after December 31, 2024.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have evaluated both Pillar Two and the changes to the tax law and we do not expect them to have a material impact on our Financial Statements. However, there remains some uncertainty as to the final Pillar Two model rules. We will continue to monitor the United States and global legislative actions related to Pillar Two for potential impacts.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3 — Real Estate Transactions </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2025 Activity</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Real Estate Debt Investments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real estate debt investment activity during the six months ended June 30, 2025: </w:t>
      </w:r>
    </w:p>
    <w:tbl>
      <w:tblPr>
        <w:tblW w:w="10205" w:type="dxa"/>
        <w:jc w:val="left"/>
        <w:tblInd w:w="0" w:type="dxa"/>
        <w:tblLayout w:type="fixed"/>
        <w:tblCellMar>
          <w:top w:w="28" w:type="dxa"/>
          <w:left w:w="28" w:type="dxa"/>
          <w:bottom w:w="28" w:type="dxa"/>
          <w:right w:w="28" w:type="dxa"/>
        </w:tblCellMar>
      </w:tblPr>
      <w:tblGrid>
        <w:gridCol w:w="561"/>
        <w:gridCol w:w="465"/>
        <w:gridCol w:w="437"/>
        <w:gridCol w:w="109"/>
        <w:gridCol w:w="109"/>
        <w:gridCol w:w="109"/>
        <w:gridCol w:w="304"/>
        <w:gridCol w:w="1194"/>
        <w:gridCol w:w="157"/>
        <w:gridCol w:w="109"/>
        <w:gridCol w:w="109"/>
        <w:gridCol w:w="109"/>
        <w:gridCol w:w="109"/>
        <w:gridCol w:w="109"/>
        <w:gridCol w:w="458"/>
        <w:gridCol w:w="441"/>
        <w:gridCol w:w="443"/>
        <w:gridCol w:w="109"/>
        <w:gridCol w:w="109"/>
        <w:gridCol w:w="109"/>
        <w:gridCol w:w="1327"/>
        <w:gridCol w:w="1327"/>
        <w:gridCol w:w="1892"/>
      </w:tblGrid>
      <w:tr>
        <w:trPr/>
        <w:tc>
          <w:tcPr>
            <w:tcW w:w="56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Collateral</w:t>
            </w:r>
          </w:p>
        </w:tc>
      </w:tr>
      <w:tr>
        <w:trPr/>
        <w:tc>
          <w:tcPr>
            <w:tcW w:w="1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Beverly Hills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Mezzanine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 experiential lifestyle hub in Beverly Hills, California</w:t>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Fork Casino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personal property and revenues of the North Fork Mono Casino &amp; Resort located near Madera, California</w:t>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960,000 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One Beverly Hills Mezzanine Loan</w:t>
      </w:r>
    </w:p>
    <w:p>
      <w:pPr>
        <w:pStyle w:val="TextBody"/>
        <w:bidi w:val="0"/>
        <w:spacing w:lineRule="auto" w:line="288" w:before="160" w:after="283"/>
        <w:jc w:val="both"/>
        <w:rPr/>
      </w:pPr>
      <w:r>
        <w:rPr>
          <w:rFonts w:ascii="Times New Roman;serif" w:hAnsi="Times New Roman;serif"/>
          <w:b w:val="false"/>
          <w:color w:val="000000"/>
          <w:sz w:val="20"/>
        </w:rPr>
        <w:t xml:space="preserve">On February 19, 2025, we purchased a $300.0 million interest in an existing mezzanine loan related to the development of One Beverly Hills, a landmark 17.5-acre luxury experiential lifestyle hub in Beverly Hills, California. On June 23, 2025, we purchased an additional $150.0 million interest in the existing mezzanine loan, </w:t>
      </w:r>
      <w:r>
        <w:rPr>
          <w:rFonts w:ascii="Times New Roman;serif" w:hAnsi="Times New Roman;serif"/>
          <w:b w:val="false"/>
          <w:color w:val="231F20"/>
          <w:sz w:val="20"/>
        </w:rPr>
        <w:t>concurrent with a commensurate increase in the total size of the mezzanine loan</w:t>
      </w:r>
      <w:r>
        <w:rPr>
          <w:rFonts w:ascii="Times New Roman;serif" w:hAnsi="Times New Roman;serif"/>
          <w:b w:val="false"/>
          <w:color w:val="000000"/>
          <w:sz w:val="20"/>
        </w:rPr>
        <w:t xml:space="preserve">. One Beverly Hills is being developed by Cain International and will be anchored by Aman Beverly Hills, featuring an Aman Hotel and Aman-branded residences, and include a full-scale refurbishment of The Beverly Hilton, additional retail, food and beverage offerings, and 10 acres of botanical gardens and open space. Construction of the development has commenced and is expected to be completed in phases in late 2027 and 2028.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mezzanine loan has an initial maturity in March 2026 and one 12-month extension option, subject to certain conditions. Under the provisions of the existing mezzanine loan, interest is paid-in-kind and added to the outstanding principal balance. We funded each of the investments with a combination of cash on hand and a draw under the Revolving Credit Facility (as defined below).</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North Fork Casino Loan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4, 2025, we provided a commitment of up to $510.0 million of a $725.0 million delayed draw term loan facility (the “Term Loan Arrangement”) to the North Fork Rancheria Economic Development Authority, a wholly owned entity of the North Fork Rancheria of Mono Indians of California. Proceeds from the Term Loan Arrangement will be used for the development of the North Fork Mono Casino &amp; Resort (“North Fork”) located near Madera, California, which will be developed and managed by affiliates of Red Rock Resorts, Inc. (“Red Rock Resorts”). The Term Loan Arrangement consists of a $340.0 million Term Loan A, of which we have committed up to $125.0 million, and a $385.0 million Term Loan B, of which we have committed up to the full $385.0 million, for a total commitment of $510.0 million. The Term Loan A has an initial term of five years and the Term Loan B has an initial term of six years. The project is expected to be funded in accordance with a construction draw schedule.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4"/>
        </w:rPr>
      </w:pPr>
      <w:r>
        <w:rPr>
          <w:rFonts w:ascii="Times New Roman;serif" w:hAnsi="Times New Roman;serif"/>
          <w:b/>
          <w:color w:val="000000"/>
          <w:sz w:val="24"/>
        </w:rPr>
        <w:t xml:space="preserve">Note 4 — Real Estate Portfolio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our real estate portfolio consisted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Investments in leases – sales-type, representing our investment in 26 casino assets leased on a triple-net basis to our tenants under ten separate lease agreements;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Investments in leases – financing receivables, representing our investment in 28 casino assets and 39 other experiential properties leased on a triple-net basis to our tenants under ten separate lease agreements;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Investments in loans and securities, representing our 18 debt investments in senior secured and mezzanine loans, preferred equity and the senior secured notes;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Land, representing our investment in certain underdeveloped or undeveloped land adjacent to the Las Vegas strip and non-operating, vacant land parcels.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balances of our real estate portfolio as of June 30, 2025 and December 31, 2024:</w:t>
      </w:r>
    </w:p>
    <w:tbl>
      <w:tblPr>
        <w:tblW w:w="7637" w:type="dxa"/>
        <w:jc w:val="left"/>
        <w:tblInd w:w="0" w:type="dxa"/>
        <w:tblLayout w:type="fixed"/>
        <w:tblCellMar>
          <w:top w:w="28" w:type="dxa"/>
          <w:left w:w="28" w:type="dxa"/>
          <w:bottom w:w="28" w:type="dxa"/>
          <w:right w:w="28" w:type="dxa"/>
        </w:tblCellMar>
      </w:tblPr>
      <w:tblGrid>
        <w:gridCol w:w="1565"/>
        <w:gridCol w:w="1375"/>
        <w:gridCol w:w="1379"/>
        <w:gridCol w:w="211"/>
        <w:gridCol w:w="1081"/>
        <w:gridCol w:w="109"/>
        <w:gridCol w:w="109"/>
        <w:gridCol w:w="109"/>
        <w:gridCol w:w="109"/>
        <w:gridCol w:w="232"/>
        <w:gridCol w:w="1189"/>
        <w:gridCol w:w="169"/>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Investments in leases – sales-type, net </w:t>
            </w:r>
            <w:r>
              <w:rPr>
                <w:rFonts w:ascii="Times New Roman;serif" w:hAnsi="Times New Roman;serif"/>
                <w:b w:val="false"/>
                <w:i/>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23,686,926 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23,581,101 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Investments in leases – financing receivables, net </w:t>
            </w:r>
            <w:r>
              <w:rPr>
                <w:rFonts w:ascii="Times New Roman;serif" w:hAnsi="Times New Roman;serif"/>
                <w:b w:val="false"/>
                <w:i/>
                <w:color w:val="000000"/>
                <w:sz w:val="13"/>
              </w:rPr>
              <w:t>(1)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18,430,320 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in leases, net</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42,264,510 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42,011,421 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 portfolio</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44,783,346 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43,813,681 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At lease inception (or upon modification), we determine the estimated residual values of the leased property (not guaranteed) under the respective lease agreements, which has a material impact on the determination of the rate implicit in the lease and the lease classification. As of June 30, 2025 and December 31, 2024, the estimated residual value of the leased properties under our lease agreements was $16.5 billion and $16.4 billion, respectively.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Investments in Leases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our income from sales-type leases and lease financing receivables:</w:t>
      </w:r>
    </w:p>
    <w:tbl>
      <w:tblPr>
        <w:tblW w:w="10205" w:type="dxa"/>
        <w:jc w:val="left"/>
        <w:tblInd w:w="0" w:type="dxa"/>
        <w:tblLayout w:type="fixed"/>
        <w:tblCellMar>
          <w:top w:w="28" w:type="dxa"/>
          <w:left w:w="28" w:type="dxa"/>
          <w:bottom w:w="28" w:type="dxa"/>
          <w:right w:w="28" w:type="dxa"/>
        </w:tblCellMar>
      </w:tblPr>
      <w:tblGrid>
        <w:gridCol w:w="1595"/>
        <w:gridCol w:w="1347"/>
        <w:gridCol w:w="1351"/>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595"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 – fixed 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973,185 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from sales-type leases – contingent rent </w:t>
            </w:r>
            <w:r>
              <w:rPr>
                <w:rFonts w:ascii="Times New Roman;serif" w:hAnsi="Times New Roman;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lease financing receivables – fixed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755,986 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from lease financing receivables – contingent rent</w:t>
            </w:r>
            <w:r>
              <w:rPr>
                <w:color w:val="000000"/>
              </w:rPr>
              <w:t xml:space="preserve"> </w:t>
            </w:r>
            <w:r>
              <w:rPr>
                <w:rFonts w:ascii="Times New Roman;serif" w:hAnsi="Times New Roman;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1,787,471 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Non-cash adjustment </w:t>
            </w:r>
            <w:r>
              <w:rPr>
                <w:rFonts w:ascii="Times New Roman;serif" w:hAnsi="Times New Roman;serif"/>
                <w:b w:val="false"/>
                <w:i/>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contractual lease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1,520,426 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At lease inception (or upon modification), we determine the minimum lease payments under ASC 842,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(2) Amounts represent the non-cash adjustment to the minimum lease payments from sales-type leases and lease financing receivables in order to recognize income on an effective interest basis at a constant rate of return over the term of the leases.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At June 30, 2025, minimum lease payments owed to us for each of the five succeeding years and thereafter under sales-type leases and our leases accounted for as financing receivables, are as follows:</w:t>
      </w:r>
    </w:p>
    <w:tbl>
      <w:tblPr>
        <w:tblW w:w="7480" w:type="dxa"/>
        <w:jc w:val="left"/>
        <w:tblInd w:w="0" w:type="dxa"/>
        <w:tblLayout w:type="fixed"/>
        <w:tblCellMar>
          <w:top w:w="28" w:type="dxa"/>
          <w:left w:w="28" w:type="dxa"/>
          <w:bottom w:w="28" w:type="dxa"/>
          <w:right w:w="28" w:type="dxa"/>
        </w:tblCellMar>
      </w:tblPr>
      <w:tblGrid>
        <w:gridCol w:w="554"/>
        <w:gridCol w:w="487"/>
        <w:gridCol w:w="488"/>
        <w:gridCol w:w="109"/>
        <w:gridCol w:w="109"/>
        <w:gridCol w:w="109"/>
        <w:gridCol w:w="211"/>
        <w:gridCol w:w="1081"/>
        <w:gridCol w:w="109"/>
        <w:gridCol w:w="109"/>
        <w:gridCol w:w="109"/>
        <w:gridCol w:w="109"/>
        <w:gridCol w:w="109"/>
        <w:gridCol w:w="109"/>
        <w:gridCol w:w="271"/>
        <w:gridCol w:w="1389"/>
        <w:gridCol w:w="140"/>
        <w:gridCol w:w="109"/>
        <w:gridCol w:w="109"/>
        <w:gridCol w:w="109"/>
        <w:gridCol w:w="211"/>
        <w:gridCol w:w="1186"/>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1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Minimum Lease Payments </w:t>
            </w:r>
            <w:r>
              <w:rPr>
                <w:rFonts w:ascii="Times New Roman;serif" w:hAnsi="Times New Roman;serif"/>
                <w:b/>
                <w:i/>
                <w:color w:val="000000"/>
                <w:sz w:val="12"/>
              </w:rPr>
              <w:t>(1) (2)</w:t>
            </w:r>
          </w:p>
        </w:tc>
        <w:tc>
          <w:tcPr>
            <w:tcW w:w="1878" w:type="dxa"/>
            <w:gridSpan w:val="6"/>
            <w:tcBorders/>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Investments in Leases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6"/>
            <w:tcBorders/>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Sales-Type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Financing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18"/>
              </w:rPr>
            </w:pPr>
            <w:r>
              <w:rPr>
                <w:rFonts w:ascii="Times New Roman;serif" w:hAnsi="Times New Roman;serif"/>
                <w:b/>
                <w:color w:val="000000"/>
                <w:sz w:val="18"/>
              </w:rPr>
              <w:t xml:space="preserve">Total </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630,759 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1,516,847 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1,278,848 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1,302,691 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1,327,251 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1,352,290 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79,935,052 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88,469,537 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168,404,589 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88,168,573 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94,361,376 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182,529,949 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Minimum lease payments do not include contingent rent, as discussed above, that may be received under the lease agreements.</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(2) The minimum lease payments include the non-cancelable lease term and any tenant renewal options that we determined were reasonably assured, consistent with our conclusions under ASC 842 and ASC 310.</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Lease Provisions</w:t>
      </w:r>
    </w:p>
    <w:p>
      <w:pPr>
        <w:pStyle w:val="TextBody"/>
        <w:bidi w:val="0"/>
        <w:spacing w:lineRule="auto" w:line="288" w:before="180" w:after="283"/>
        <w:jc w:val="both"/>
        <w:rPr/>
      </w:pPr>
      <w:r>
        <w:rPr>
          <w:rFonts w:ascii="Times New Roman;serif" w:hAnsi="Times New Roman;serif"/>
          <w:b w:val="false"/>
          <w:color w:val="000000"/>
          <w:sz w:val="20"/>
        </w:rPr>
        <w:t>As of June 30, 2025, we owned 93 assets leased under 18 separate lease agreements with our tenants, certain of which are master lease agreements governing multiple properties and certain of which are for single assets. Our lease agreements are generally long-term in nature with initial terms ranging from 15 to 32 years and are structured with several tenant renewal options extending the term of the lease for another 5 to 30 years. As of June 30, 2025, our lease agreements had a</w:t>
      </w:r>
      <w:r>
        <w:rPr>
          <w:color w:val="000000"/>
          <w:shd w:fill="FFFFFF" w:val="clear"/>
        </w:rPr>
        <w:t xml:space="preserve"> </w:t>
      </w:r>
      <w:r>
        <w:rPr>
          <w:rFonts w:ascii="Times New Roman;serif" w:hAnsi="Times New Roman;serif"/>
          <w:b w:val="false"/>
          <w:color w:val="000000"/>
          <w:sz w:val="20"/>
          <w:shd w:fill="FFFFFF" w:val="clear"/>
        </w:rPr>
        <w:t>weighted average lease term based on contractual rent, including extension options, of approximately 40.2 years.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of our lease agreements provide for annual base rent escalations, which may be fixed or variable over the life of the lease. The rent escalation provisions range from providing for a flat annual increase of 1% to 2% to an annual increase of 1% in the earlier years and the greater of 2% or CPI in later years, which may be subject to a maximum CPI-based cap with respect to each annual rent increase. Additionally, certain of our lease agreements provide for a variable rent component in which a portion of the annual rent, generally ranging from 20% to 30%, is subject to adjustment based on the revenues of the underlying asset in specified periods.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material lease provisions of our leases with Caesars and MGM, our two most significant tenants (each, as may be amended from time to time, and each individually, as defined in the respective header):</w:t>
      </w:r>
    </w:p>
    <w:tbl>
      <w:tblPr>
        <w:tblW w:w="10205" w:type="dxa"/>
        <w:jc w:val="left"/>
        <w:tblInd w:w="0" w:type="dxa"/>
        <w:tblLayout w:type="fixed"/>
        <w:tblCellMar>
          <w:top w:w="28" w:type="dxa"/>
          <w:left w:w="28" w:type="dxa"/>
          <w:bottom w:w="28" w:type="dxa"/>
          <w:right w:w="28" w:type="dxa"/>
        </w:tblCellMar>
      </w:tblPr>
      <w:tblGrid>
        <w:gridCol w:w="638"/>
        <w:gridCol w:w="416"/>
        <w:gridCol w:w="417"/>
        <w:gridCol w:w="109"/>
        <w:gridCol w:w="109"/>
        <w:gridCol w:w="109"/>
        <w:gridCol w:w="744"/>
        <w:gridCol w:w="555"/>
        <w:gridCol w:w="558"/>
        <w:gridCol w:w="109"/>
        <w:gridCol w:w="109"/>
        <w:gridCol w:w="109"/>
        <w:gridCol w:w="593"/>
        <w:gridCol w:w="511"/>
        <w:gridCol w:w="512"/>
        <w:gridCol w:w="109"/>
        <w:gridCol w:w="109"/>
        <w:gridCol w:w="109"/>
        <w:gridCol w:w="625"/>
        <w:gridCol w:w="495"/>
        <w:gridCol w:w="497"/>
        <w:gridCol w:w="109"/>
        <w:gridCol w:w="109"/>
        <w:gridCol w:w="109"/>
        <w:gridCol w:w="109"/>
        <w:gridCol w:w="109"/>
        <w:gridCol w:w="109"/>
        <w:gridCol w:w="109"/>
        <w:gridCol w:w="553"/>
        <w:gridCol w:w="553"/>
        <w:gridCol w:w="794"/>
      </w:tblGrid>
      <w:tr>
        <w:trPr/>
        <w:tc>
          <w:tcPr>
            <w:tcW w:w="63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MGM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Regional Master Lease and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Caesars Las Vegas </w:t>
              <w:br/>
              <w:t>Master Lease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MGM Grand/</w:t>
              <w:br/>
              <w:t>Mandalay Bay Lease</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Lease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 years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term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4/30/2047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2/28/2050</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Renewal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ten-year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 five-year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 five-year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Two, ten-year terms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5/1/25 - 4/30/26 </w:t>
              <w:br/>
              <w:t>(Lease Year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11/1/24 - 10/31/25</w:t>
              <w:br/>
              <w:t>(Lease Year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11/1/24 - 10/31/25 </w:t>
              <w:br/>
              <w:t>(Lease Year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3/1/25 - 2/28/26 (Lease Year 6)</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annual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$774,682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$725,489 </w:t>
            </w:r>
            <w:r>
              <w:rPr>
                <w:rFonts w:ascii="Times New Roman;serif" w:hAnsi="Times New Roman;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$495,418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$322,392 </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Annual escalator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years 2-10 - 2%</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Lease years 11-end of term - &gt; 2% / change in CPI (capped at 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&gt; 2% / change in CPI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&gt; 2% / change in CPI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years 2-15 - 2%</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years 16-end of term – &gt;2% / change in CPI (capped at 3%)</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rent adjustment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Years 11 &amp; 16</w:t>
            </w:r>
            <w:r>
              <w:rPr>
                <w:rFonts w:ascii="Times New Roman;serif" w:hAnsi="Times New Roman;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Years 11 &amp; 16</w:t>
            </w:r>
            <w:r>
              <w:rPr>
                <w:rFonts w:ascii="Times New Roman;serif" w:hAnsi="Times New Roman;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rent adjustment calculation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4% of revenue increase/decrease:</w:t>
            </w:r>
          </w:p>
          <w:p>
            <w:pPr>
              <w:pStyle w:val="TableContents"/>
              <w:bidi w:val="0"/>
              <w:spacing w:lineRule="auto" w:line="240" w:before="0" w:after="0"/>
              <w:jc w:val="left"/>
              <w:rPr/>
            </w:pPr>
            <w:r>
              <w:rPr>
                <w:rFonts w:ascii="Times New Roman;serif" w:hAnsi="Times New Roman;serif"/>
                <w:b/>
                <w:color w:val="000000"/>
                <w:sz w:val="20"/>
              </w:rPr>
              <w:t>Year 11</w:t>
            </w:r>
            <w:r>
              <w:rPr>
                <w:rFonts w:ascii="Times New Roman;serif" w:hAnsi="Times New Roman;serif"/>
                <w:b w:val="false"/>
                <w:color w:val="000000"/>
                <w:sz w:val="20"/>
              </w:rPr>
              <w:t>: Avg. of years 8-10 less avg. of years 5-7</w:t>
            </w:r>
          </w:p>
          <w:p>
            <w:pPr>
              <w:pStyle w:val="TableContents"/>
              <w:bidi w:val="0"/>
              <w:spacing w:lineRule="auto" w:line="240" w:before="0" w:after="0"/>
              <w:jc w:val="left"/>
              <w:rPr/>
            </w:pPr>
            <w:r>
              <w:rPr>
                <w:rFonts w:ascii="Times New Roman;serif" w:hAnsi="Times New Roman;serif"/>
                <w:b/>
                <w:color w:val="000000"/>
                <w:sz w:val="20"/>
              </w:rPr>
              <w:t>Year 16</w:t>
            </w:r>
            <w:r>
              <w:rPr>
                <w:rFonts w:ascii="Times New Roman;serif" w:hAnsi="Times New Roman;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4% of revenue increase/decrease:</w:t>
            </w:r>
          </w:p>
          <w:p>
            <w:pPr>
              <w:pStyle w:val="TableContents"/>
              <w:bidi w:val="0"/>
              <w:spacing w:lineRule="auto" w:line="240" w:before="0" w:after="0"/>
              <w:jc w:val="left"/>
              <w:rPr/>
            </w:pPr>
            <w:r>
              <w:rPr>
                <w:rFonts w:ascii="Times New Roman;serif" w:hAnsi="Times New Roman;serif"/>
                <w:b/>
                <w:color w:val="000000"/>
                <w:sz w:val="20"/>
              </w:rPr>
              <w:t>Year 11</w:t>
            </w:r>
            <w:r>
              <w:rPr>
                <w:rFonts w:ascii="Times New Roman;serif" w:hAnsi="Times New Roman;serif"/>
                <w:b w:val="false"/>
                <w:color w:val="000000"/>
                <w:sz w:val="20"/>
              </w:rPr>
              <w:t>: Avg. of years 8-10 less avg. of years 5-7</w:t>
            </w:r>
          </w:p>
          <w:p>
            <w:pPr>
              <w:pStyle w:val="TableContents"/>
              <w:bidi w:val="0"/>
              <w:spacing w:lineRule="auto" w:line="240" w:before="0" w:after="0"/>
              <w:jc w:val="left"/>
              <w:rPr/>
            </w:pPr>
            <w:r>
              <w:rPr>
                <w:rFonts w:ascii="Times New Roman;serif" w:hAnsi="Times New Roman;serif"/>
                <w:b/>
                <w:color w:val="000000"/>
                <w:sz w:val="20"/>
              </w:rPr>
              <w:t>Year 16</w:t>
            </w:r>
            <w:r>
              <w:rPr>
                <w:rFonts w:ascii="Times New Roman;serif" w:hAnsi="Times New Roman;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56"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(1) Current annual rent with respect to the Joliet Lease is presented prior to accounting for the non-controlling interest, or rent payable, to the 20% third-party ownership of Harrah’s Joliet LandCo LLC. After adjusting for the 20% non-controlling interest, combined current annual rent under the Caesars Regional Master Lease and Joliet Lease is $716.0 million. </w:t>
      </w:r>
    </w:p>
    <w:p>
      <w:pPr>
        <w:pStyle w:val="TextBody"/>
        <w:bidi w:val="0"/>
        <w:spacing w:lineRule="auto" w:line="256" w:before="0" w:after="0"/>
        <w:jc w:val="both"/>
        <w:rPr>
          <w:rFonts w:ascii="Times New Roman;serif" w:hAnsi="Times New Roman;serif"/>
          <w:b w:val="false"/>
          <w:i/>
          <w:color w:val="000000"/>
          <w:sz w:val="16"/>
        </w:rPr>
      </w:pPr>
      <w:r>
        <w:rPr>
          <w:rFonts w:ascii="Times New Roman;serif" w:hAnsi="Times New Roman;serif"/>
          <w:b w:val="false"/>
          <w:i/>
          <w:color w:val="000000"/>
          <w:sz w:val="16"/>
        </w:rPr>
        <w:t>(2) Any amounts representing rents in excess of the CPI floors specified above are considered contingent rent in accordance with GAAP.</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(3) Variable rent is not subject to the annual escalator.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Capital Expenditure Requirements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 The following table summarizes the capital expenditure requirements of our tenants under their respective lease agreements:</w:t>
      </w:r>
    </w:p>
    <w:tbl>
      <w:tblPr>
        <w:tblW w:w="10205" w:type="dxa"/>
        <w:jc w:val="left"/>
        <w:tblInd w:w="0" w:type="dxa"/>
        <w:tblLayout w:type="fixed"/>
        <w:tblCellMar>
          <w:top w:w="28" w:type="dxa"/>
          <w:left w:w="28" w:type="dxa"/>
          <w:bottom w:w="28" w:type="dxa"/>
          <w:right w:w="28" w:type="dxa"/>
        </w:tblCellMar>
      </w:tblPr>
      <w:tblGrid>
        <w:gridCol w:w="494"/>
        <w:gridCol w:w="434"/>
        <w:gridCol w:w="439"/>
        <w:gridCol w:w="109"/>
        <w:gridCol w:w="109"/>
        <w:gridCol w:w="109"/>
        <w:gridCol w:w="503"/>
        <w:gridCol w:w="503"/>
        <w:gridCol w:w="505"/>
        <w:gridCol w:w="109"/>
        <w:gridCol w:w="109"/>
        <w:gridCol w:w="109"/>
        <w:gridCol w:w="431"/>
        <w:gridCol w:w="394"/>
        <w:gridCol w:w="396"/>
        <w:gridCol w:w="109"/>
        <w:gridCol w:w="109"/>
        <w:gridCol w:w="109"/>
        <w:gridCol w:w="662"/>
        <w:gridCol w:w="577"/>
        <w:gridCol w:w="580"/>
        <w:gridCol w:w="109"/>
        <w:gridCol w:w="109"/>
        <w:gridCol w:w="109"/>
        <w:gridCol w:w="109"/>
        <w:gridCol w:w="109"/>
        <w:gridCol w:w="555"/>
        <w:gridCol w:w="507"/>
        <w:gridCol w:w="509"/>
        <w:gridCol w:w="364"/>
        <w:gridCol w:w="339"/>
        <w:gridCol w:w="487"/>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Caesars Regional Master Lease and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Caesars Las Vegas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MGM Grand/ Mandalay Bay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Venetian Lease</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All Other Gaming Leases </w:t>
            </w:r>
            <w:r>
              <w:rPr>
                <w:rFonts w:ascii="Times New Roman;serif" w:hAnsi="Times New Roman;serif"/>
                <w:b/>
                <w:i/>
                <w:color w:val="000000"/>
                <w:sz w:val="13"/>
              </w:rPr>
              <w:t>(1)</w:t>
            </w:r>
          </w:p>
        </w:tc>
      </w:tr>
      <w:tr>
        <w:trPr/>
        <w:tc>
          <w:tcPr>
            <w:tcW w:w="1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Yearly minimum expenditure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 of net revenues </w:t>
            </w:r>
            <w:r>
              <w:rPr>
                <w:rFonts w:ascii="Times New Roman;serif" w:hAnsi="Times New Roman;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 of net revenues </w:t>
            </w:r>
            <w:r>
              <w:rPr>
                <w:rFonts w:ascii="Times New Roman;serif" w:hAnsi="Times New Roman;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 of net revenues based on 5-year rolling test, 1.5% monthly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 of net revenues based on rolling three-year basis</w:t>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 of net revenues</w:t>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Rolling three-year minimum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$286 million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$84 million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Represents the tenants under our other gaming lease agreements not specifically outlined in the table, as specified in the respective lease agreements.</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(2) The leases with Caesars require a $107.5 million floor on annual capital expenditures for Caesars Palace Las Vegas, Harrah’s Joliet and the Caesars Regional Master Lease properties in the aggregate. Additionally, annual building &amp; improvement capital improvements must be equal to or greater than 1% of prior year net revenues.</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(3) Certain tenants under our leases with Caesars, as applicable, are required to spend $380.3 million on capital expenditures (excluding gaming equipment) over a rolling three-year period, with $286.0 million allocated to the regional assets, $84.0 million allocated to Caesars Palace Las Vegas and the remaining balance of $10.3 million to facilities (other than the Harrah’s Las Vegas Facility) covered by any Caesars lease in such proportion as such tenants may elect. Additionally, the tenants under the Caesars Regional Master Lease and Joliet Lease are required to spend a minimum of $531.9 million on capital expenditures (including gaming equipment) across certain of its affiliates and other assets, together with the $380.3 million requirement.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Investments in Loans and Securities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our investments in loans and securities as of June 30, 2025 and December 31, 2024:</w:t>
      </w:r>
    </w:p>
    <w:tbl>
      <w:tblPr>
        <w:tblW w:w="10205" w:type="dxa"/>
        <w:jc w:val="left"/>
        <w:tblInd w:w="0" w:type="dxa"/>
        <w:tblLayout w:type="fixed"/>
        <w:tblCellMar>
          <w:top w:w="28" w:type="dxa"/>
          <w:left w:w="28" w:type="dxa"/>
          <w:bottom w:w="28" w:type="dxa"/>
          <w:right w:w="28" w:type="dxa"/>
        </w:tblCellMar>
      </w:tblPr>
      <w:tblGrid>
        <w:gridCol w:w="124"/>
        <w:gridCol w:w="109"/>
        <w:gridCol w:w="596"/>
        <w:gridCol w:w="471"/>
        <w:gridCol w:w="461"/>
        <w:gridCol w:w="109"/>
        <w:gridCol w:w="109"/>
        <w:gridCol w:w="109"/>
        <w:gridCol w:w="216"/>
        <w:gridCol w:w="1001"/>
        <w:gridCol w:w="111"/>
        <w:gridCol w:w="109"/>
        <w:gridCol w:w="109"/>
        <w:gridCol w:w="109"/>
        <w:gridCol w:w="218"/>
        <w:gridCol w:w="1011"/>
        <w:gridCol w:w="112"/>
        <w:gridCol w:w="109"/>
        <w:gridCol w:w="109"/>
        <w:gridCol w:w="109"/>
        <w:gridCol w:w="283"/>
        <w:gridCol w:w="1111"/>
        <w:gridCol w:w="147"/>
        <w:gridCol w:w="109"/>
        <w:gridCol w:w="109"/>
        <w:gridCol w:w="109"/>
        <w:gridCol w:w="391"/>
        <w:gridCol w:w="286"/>
        <w:gridCol w:w="715"/>
        <w:gridCol w:w="109"/>
        <w:gridCol w:w="109"/>
        <w:gridCol w:w="109"/>
        <w:gridCol w:w="349"/>
        <w:gridCol w:w="349"/>
        <w:gridCol w:w="5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7"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Carrying Value </w:t>
            </w:r>
            <w:r>
              <w:rPr>
                <w:rFonts w:ascii="Times New Roman;serif" w:hAnsi="Times New Roman;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Future Funding Commitments </w:t>
            </w:r>
            <w:r>
              <w:rPr>
                <w:rFonts w:ascii="Times New Roman;serif" w:hAnsi="Times New Roman;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Interest Rate </w:t>
            </w:r>
            <w:r>
              <w:rPr>
                <w:rFonts w:ascii="Times New Roman;serif" w:hAnsi="Times New Roman;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Term </w:t>
            </w:r>
            <w:r>
              <w:rPr>
                <w:rFonts w:ascii="Times New Roman;serif" w:hAnsi="Times New Roman;serif"/>
                <w:b/>
                <w:i/>
                <w:color w:val="000000"/>
                <w:sz w:val="12"/>
              </w:rPr>
              <w:t>(4)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Senior Secured Notes </w:t>
            </w:r>
            <w:r>
              <w:rPr>
                <w:rFonts w:ascii="Times New Roman;serif" w:hAnsi="Times New Roman;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81,688 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947,713 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930,756 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556,887 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 Loans and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1,356,605 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232,292 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2,408,843 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2,369,049 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789,179 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years</w:t>
            </w:r>
          </w:p>
        </w:tc>
      </w:tr>
    </w:tbl>
    <w:tbl>
      <w:tblPr>
        <w:tblW w:w="10205" w:type="dxa"/>
        <w:jc w:val="left"/>
        <w:tblInd w:w="0" w:type="dxa"/>
        <w:tblLayout w:type="fixed"/>
        <w:tblCellMar>
          <w:top w:w="28" w:type="dxa"/>
          <w:left w:w="28" w:type="dxa"/>
          <w:bottom w:w="28" w:type="dxa"/>
          <w:right w:w="28" w:type="dxa"/>
        </w:tblCellMar>
      </w:tblPr>
      <w:tblGrid>
        <w:gridCol w:w="124"/>
        <w:gridCol w:w="109"/>
        <w:gridCol w:w="596"/>
        <w:gridCol w:w="471"/>
        <w:gridCol w:w="461"/>
        <w:gridCol w:w="109"/>
        <w:gridCol w:w="109"/>
        <w:gridCol w:w="109"/>
        <w:gridCol w:w="216"/>
        <w:gridCol w:w="1001"/>
        <w:gridCol w:w="111"/>
        <w:gridCol w:w="109"/>
        <w:gridCol w:w="109"/>
        <w:gridCol w:w="109"/>
        <w:gridCol w:w="218"/>
        <w:gridCol w:w="1011"/>
        <w:gridCol w:w="112"/>
        <w:gridCol w:w="109"/>
        <w:gridCol w:w="109"/>
        <w:gridCol w:w="109"/>
        <w:gridCol w:w="283"/>
        <w:gridCol w:w="1111"/>
        <w:gridCol w:w="147"/>
        <w:gridCol w:w="109"/>
        <w:gridCol w:w="109"/>
        <w:gridCol w:w="109"/>
        <w:gridCol w:w="391"/>
        <w:gridCol w:w="286"/>
        <w:gridCol w:w="715"/>
        <w:gridCol w:w="109"/>
        <w:gridCol w:w="109"/>
        <w:gridCol w:w="109"/>
        <w:gridCol w:w="349"/>
        <w:gridCol w:w="349"/>
        <w:gridCol w:w="5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7"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Carrying Value </w:t>
            </w:r>
            <w:r>
              <w:rPr>
                <w:rFonts w:ascii="Times New Roman;serif" w:hAnsi="Times New Roman;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Future Funding Commitments </w:t>
            </w:r>
            <w:r>
              <w:rPr>
                <w:rFonts w:ascii="Times New Roman;serif" w:hAnsi="Times New Roman;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Interest Rate </w:t>
            </w:r>
            <w:r>
              <w:rPr>
                <w:rFonts w:ascii="Times New Roman;serif" w:hAnsi="Times New Roman;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Term </w:t>
            </w:r>
            <w:r>
              <w:rPr>
                <w:rFonts w:ascii="Times New Roman;serif" w:hAnsi="Times New Roman;serif"/>
                <w:b/>
                <w:i/>
                <w:color w:val="000000"/>
                <w:sz w:val="12"/>
              </w:rPr>
              <w:t>(4)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Senior Secured Notes </w:t>
            </w:r>
            <w:r>
              <w:rPr>
                <w:rFonts w:ascii="Times New Roman;serif" w:hAnsi="Times New Roman;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81,857 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684,686 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674,200 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308,776 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 Loans and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895,476 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239,748 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1,678,147 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1,651,533 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548,524 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years</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76" w:before="0" w:after="0"/>
        <w:jc w:val="both"/>
        <w:rPr>
          <w:rFonts w:ascii="Times New Roman;serif" w:hAnsi="Times New Roman;serif"/>
          <w:b w:val="false"/>
          <w:i/>
          <w:color w:val="000000"/>
          <w:sz w:val="16"/>
        </w:rPr>
      </w:pPr>
      <w:r>
        <w:rPr>
          <w:rFonts w:ascii="Times New Roman;serif" w:hAnsi="Times New Roman;serif"/>
          <w:b w:val="false"/>
          <w:i/>
          <w:color w:val="000000"/>
          <w:sz w:val="16"/>
        </w:rPr>
        <w:t>(1) Carrying value includes unamortized loan origination costs and are net of allowance for credit losses.</w:t>
      </w:r>
    </w:p>
    <w:p>
      <w:pPr>
        <w:pStyle w:val="TextBody"/>
        <w:bidi w:val="0"/>
        <w:spacing w:lineRule="auto" w:line="276" w:before="0" w:after="0"/>
        <w:jc w:val="both"/>
        <w:rPr>
          <w:rFonts w:ascii="Times New Roman;serif" w:hAnsi="Times New Roman;serif"/>
          <w:b w:val="false"/>
          <w:i/>
          <w:color w:val="000000"/>
          <w:sz w:val="16"/>
        </w:rPr>
      </w:pPr>
      <w:r>
        <w:rPr>
          <w:rFonts w:ascii="Times New Roman;serif" w:hAnsi="Times New Roman;serif"/>
          <w:b w:val="false"/>
          <w:i/>
          <w:color w:val="000000"/>
          <w:sz w:val="16"/>
        </w:rPr>
        <w:t>(2) Our future funding commitments are subject to our borrowers’ compliance with the financial covenants and other applicable provisions of each respective loan agreement.</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(3) The weighted average interest rate is based on current outstanding principal balance and SOFR, as applicable for floating rate loans, as of June 30, 2025 and December 31, 2024.</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(4) Assumes all extension options are exercised; however, our loans may be repaid, subject to certain conditions, prior to such date.</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(5) Represents our investment in the Hard Rock Ottawa Notes, which are accounted for as held-to-maturity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activity of our investments in loans and securities for the six months ended June 30, 2025 and 2024:</w:t>
      </w:r>
    </w:p>
    <w:tbl>
      <w:tblPr>
        <w:tblW w:w="5423" w:type="dxa"/>
        <w:jc w:val="left"/>
        <w:tblInd w:w="0" w:type="dxa"/>
        <w:tblLayout w:type="fixed"/>
        <w:tblCellMar>
          <w:top w:w="28" w:type="dxa"/>
          <w:left w:w="28" w:type="dxa"/>
          <w:bottom w:w="28" w:type="dxa"/>
          <w:right w:w="28" w:type="dxa"/>
        </w:tblCellMar>
      </w:tblPr>
      <w:tblGrid>
        <w:gridCol w:w="891"/>
        <w:gridCol w:w="783"/>
        <w:gridCol w:w="785"/>
        <w:gridCol w:w="211"/>
        <w:gridCol w:w="976"/>
        <w:gridCol w:w="109"/>
        <w:gridCol w:w="109"/>
        <w:gridCol w:w="109"/>
        <w:gridCol w:w="109"/>
        <w:gridCol w:w="211"/>
        <w:gridCol w:w="97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668" w:type="dxa"/>
            <w:gridSpan w:val="6"/>
            <w:tcBorders/>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Beginning Balance January 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1,144,177 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fundings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Payment-in-kind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CECL allowance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Ending Balance June 30,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Note 5 — Allowance for Credit Losses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ASC 326, we are required to estimate and record a non-cash allowance for current expected credit losses, or CECL allowance, related to our historical and any future investments in sales-type leases, lease financing receivables, loans and securities classified as held-to-maturity.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detail the allowance for credit losses as of June 30, 2025 and December 31, 2024:</w:t>
      </w:r>
    </w:p>
    <w:tbl>
      <w:tblPr>
        <w:tblW w:w="10205" w:type="dxa"/>
        <w:jc w:val="left"/>
        <w:tblInd w:w="0" w:type="dxa"/>
        <w:tblLayout w:type="fixed"/>
        <w:tblCellMar>
          <w:top w:w="28" w:type="dxa"/>
          <w:left w:w="28" w:type="dxa"/>
          <w:bottom w:w="28" w:type="dxa"/>
          <w:right w:w="28" w:type="dxa"/>
        </w:tblCellMar>
      </w:tblPr>
      <w:tblGrid>
        <w:gridCol w:w="1033"/>
        <w:gridCol w:w="897"/>
        <w:gridCol w:w="860"/>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499"/>
        <w:gridCol w:w="455"/>
        <w:gridCol w:w="1329"/>
      </w:tblGrid>
      <w:tr>
        <w:trPr/>
        <w:tc>
          <w:tcPr>
            <w:tcW w:w="103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Allowance </w:t>
            </w:r>
            <w:r>
              <w:rPr>
                <w:rFonts w:ascii="Times New Roman;serif" w:hAnsi="Times New Roman;serif"/>
                <w:b/>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as a % of Amortized Cost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24,504,530 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23,686,926 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19,329,214 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47,108,229 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(1,631,320)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45,476,909 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033"/>
        <w:gridCol w:w="897"/>
        <w:gridCol w:w="860"/>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499"/>
        <w:gridCol w:w="455"/>
        <w:gridCol w:w="1329"/>
      </w:tblGrid>
      <w:tr>
        <w:trPr/>
        <w:tc>
          <w:tcPr>
            <w:tcW w:w="103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Allowance </w:t>
            </w:r>
            <w:r>
              <w:rPr>
                <w:rFonts w:ascii="Times New Roman;serif" w:hAnsi="Times New Roman;serif"/>
                <w:b/>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as a % of Amortized Cost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24,383,843 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19,167,432 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46,091,179 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44,505,730 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76"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(1) The total allowance excludes the CECL allowance for unfunded commitments of our loans and for unfunded commitments made to our tenants to fund the development and construction of improvements at our properties. As of June 30, 2025 and December 31, 2024, such allowance is $11.9 million and $9.5 million, respectively, and is recorded in Other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300" w:after="283"/>
        <w:jc w:val="both"/>
        <w:rPr>
          <w:rFonts w:ascii="Times New Roman;serif" w:hAnsi="Times New Roman;serif"/>
          <w:b w:val="false"/>
          <w:color w:val="000000"/>
          <w:sz w:val="20"/>
        </w:rPr>
      </w:pPr>
      <w:r>
        <w:rPr>
          <w:rFonts w:ascii="Times New Roman;serif" w:hAnsi="Times New Roman;serif"/>
          <w:b w:val="false"/>
          <w:color w:val="000000"/>
          <w:sz w:val="20"/>
        </w:rPr>
        <w:t>The following chart reflects the roll-forward of the allowance for credit losses on our real estate portfolio for the three and six months ended June 30, 2025 and 2024:</w:t>
      </w:r>
    </w:p>
    <w:tbl>
      <w:tblPr>
        <w:tblW w:w="10205" w:type="dxa"/>
        <w:jc w:val="left"/>
        <w:tblInd w:w="0" w:type="dxa"/>
        <w:tblLayout w:type="fixed"/>
        <w:tblCellMar>
          <w:top w:w="28" w:type="dxa"/>
          <w:left w:w="28" w:type="dxa"/>
          <w:bottom w:w="28" w:type="dxa"/>
          <w:right w:w="28" w:type="dxa"/>
        </w:tblCellMar>
      </w:tblPr>
      <w:tblGrid>
        <w:gridCol w:w="1353"/>
        <w:gridCol w:w="1156"/>
        <w:gridCol w:w="1157"/>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35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allowance from current period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change in credit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1,534,515 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1,534,515 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2025, we recognized a $142.0 million decrease in our allowance for credit losses primarily driven by the equity market performance of our tenants and positive changes in the macroeconomic forecast during the current quarter, both of which impact the reasonable and supportable period, or R&amp;S Period, probability of default, or PD. The decrease was partially offset by an initial CECL allowance of $4.6 million on our $660.0 million of debt investment activity during the period.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recognized a $45.0 million increase in our allowance for credit losses primarily driven by the equity market performance of our tenants and negative changes in the macroeconomic forecast during the current period, both of which impact the R&amp;S Period PD. In addition, we recorded an initial CECL allowance of $8.1 million on our $960.0 million of debt investment activity during the period. The increase was partially offset by standard annual updates to the CECL model used and certain related inputs, which decreased the estimate used for the Long-Term Period PD.</w:t>
      </w:r>
    </w:p>
    <w:p>
      <w:pPr>
        <w:pStyle w:val="TextBody"/>
        <w:bidi w:val="0"/>
        <w:spacing w:lineRule="auto" w:line="288" w:before="180" w:after="283"/>
        <w:jc w:val="both"/>
        <w:rPr/>
      </w:pPr>
      <w:r>
        <w:rPr>
          <w:rFonts w:ascii="Times New Roman;serif" w:hAnsi="Times New Roman;serif"/>
          <w:b w:val="false"/>
          <w:color w:val="000000"/>
          <w:sz w:val="20"/>
          <w:shd w:fill="FFFFFF" w:val="clear"/>
        </w:rPr>
        <w:t>During the three months ended June 30, 2024, we recognized a $43.0 million</w:t>
      </w:r>
      <w:r>
        <w:rPr>
          <w:color w:val="000000"/>
        </w:rPr>
        <w:t xml:space="preserve"> </w:t>
      </w:r>
      <w:r>
        <w:rPr>
          <w:rFonts w:ascii="Times New Roman;serif" w:hAnsi="Times New Roman;serif"/>
          <w:b w:val="false"/>
          <w:color w:val="000000"/>
          <w:sz w:val="20"/>
        </w:rPr>
        <w:t>decrease in our allowance for credit losses primarily driven by positive changes in the macroeconomic forecast during the applicable quarter and equity market performance of our tenants, both of which impact the R&amp;S Period PD. This decrease was partially offset by adjustments made to the assumptions used to project future cash flows for one of our investments.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2024, we recognized a $63.9 million increase in our allowance for credit losses primarily driven by the market performance of our tenants and negative changes in the macroeconomic forecast during the period, both of which impact the R&amp;S Period PD, as well as adjustments made to the assumptions used to project future cash flows for one of our investments.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and since our formation on October 6, 2017, all of our lease agreements and loan and security investments are current in payment of their obligations to us and no investments are on non-accrual status.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Credit Quality Indicators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The following tables detail the amortized cost basis and year of origination of our </w:t>
      </w:r>
      <w:r>
        <w:rPr>
          <w:rFonts w:ascii="Times New Roman;serif" w:hAnsi="Times New Roman;serif"/>
          <w:b w:val="false"/>
          <w:color w:val="000000"/>
          <w:sz w:val="20"/>
        </w:rPr>
        <w:t xml:space="preserve">Investments in leases - sales-type and financing receivables, Investments in loans and securities and Other assets </w:t>
      </w:r>
      <w:r>
        <w:rPr>
          <w:rFonts w:ascii="Times New Roman;serif" w:hAnsi="Times New Roman;serif"/>
          <w:b w:val="false"/>
          <w:color w:val="000000"/>
          <w:sz w:val="20"/>
          <w:shd w:fill="FFFFFF" w:val="clear"/>
        </w:rPr>
        <w:t>by the credit quality indicator we assigned to each lease or loan guarantor as of June 30, 2025 and 2024:</w:t>
      </w:r>
    </w:p>
    <w:tbl>
      <w:tblPr>
        <w:tblW w:w="11920" w:type="dxa"/>
        <w:jc w:val="left"/>
        <w:tblInd w:w="0" w:type="dxa"/>
        <w:tblLayout w:type="fixed"/>
        <w:tblCellMar>
          <w:top w:w="28" w:type="dxa"/>
          <w:left w:w="28" w:type="dxa"/>
          <w:bottom w:w="28" w:type="dxa"/>
          <w:right w:w="28" w:type="dxa"/>
        </w:tblCellMar>
      </w:tblPr>
      <w:tblGrid>
        <w:gridCol w:w="299"/>
        <w:gridCol w:w="263"/>
        <w:gridCol w:w="264"/>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1081"/>
        <w:gridCol w:w="109"/>
        <w:gridCol w:w="109"/>
        <w:gridCol w:w="109"/>
        <w:gridCol w:w="109"/>
        <w:gridCol w:w="211"/>
        <w:gridCol w:w="1081"/>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4" w:type="dxa"/>
            <w:gridSpan w:val="3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Amortized Cost Basis by Year of Origination as of June 30, 2025 </w:t>
            </w:r>
            <w:r>
              <w:rPr>
                <w:rFonts w:ascii="Times New Roman;serif" w:hAnsi="Times New Roman;serif"/>
                <w:b/>
                <w:i/>
                <w:color w:val="000000"/>
                <w:sz w:val="12"/>
              </w:rPr>
              <w:t>(1)</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33,558,560 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Caa1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N/A </w:t>
            </w:r>
            <w:r>
              <w:rPr>
                <w:rFonts w:ascii="Times New Roman;serif" w:hAnsi="Times New Roman;serif"/>
                <w:b w:val="false"/>
                <w:i/>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2,207,511 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21,268,345 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2,188,630 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20,538,723 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47,108,229 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070" w:type="dxa"/>
        <w:jc w:val="left"/>
        <w:tblInd w:w="0" w:type="dxa"/>
        <w:tblLayout w:type="fixed"/>
        <w:tblCellMar>
          <w:top w:w="28" w:type="dxa"/>
          <w:left w:w="28" w:type="dxa"/>
          <w:bottom w:w="28" w:type="dxa"/>
          <w:right w:w="28" w:type="dxa"/>
        </w:tblCellMar>
      </w:tblPr>
      <w:tblGrid>
        <w:gridCol w:w="299"/>
        <w:gridCol w:w="263"/>
        <w:gridCol w:w="264"/>
        <w:gridCol w:w="211"/>
        <w:gridCol w:w="826"/>
        <w:gridCol w:w="109"/>
        <w:gridCol w:w="109"/>
        <w:gridCol w:w="109"/>
        <w:gridCol w:w="109"/>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09"/>
        <w:gridCol w:w="109"/>
        <w:gridCol w:w="109"/>
        <w:gridCol w:w="109"/>
        <w:gridCol w:w="211"/>
        <w:gridCol w:w="1081"/>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4" w:type="dxa"/>
            <w:gridSpan w:val="3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Amortized Cost Basis by Year of Origination as of June 30, 2024 </w:t>
            </w:r>
            <w:r>
              <w:rPr>
                <w:rFonts w:ascii="Times New Roman;serif" w:hAnsi="Times New Roman;serif"/>
                <w:b/>
                <w:i/>
                <w:color w:val="000000"/>
                <w:sz w:val="12"/>
              </w:rPr>
              <w:t>(1)</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4,452,810 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12,777,574 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12,597,586 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33,172,338 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N/A </w:t>
            </w:r>
            <w:r>
              <w:rPr>
                <w:rFonts w:ascii="Times New Roman;serif" w:hAnsi="Times New Roman;serif"/>
                <w:b w:val="false"/>
                <w:i/>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20,537,729 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6,506,360 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13,856,766 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45,350,325 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(1)Excludes the CECL allowance for unfunded commitments recorded in Other liabilities as such commitments are not currently reflected on our Balance Sheet, rather the CECL allowance is based on our current best estimate of future funding commitments.</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(2)We estimate the CECL allowance for our loan investments, and certain of our lease investments with similar credit characteristics, using a traditional commercial real estate model based on standardized credit metrics to estimate potential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6 — Other Assets and Other Liabilities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Other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our other assets as of June 30, 2025 and December 31, 2024:</w:t>
      </w:r>
    </w:p>
    <w:tbl>
      <w:tblPr>
        <w:tblW w:w="7442" w:type="dxa"/>
        <w:jc w:val="left"/>
        <w:tblInd w:w="0" w:type="dxa"/>
        <w:tblLayout w:type="fixed"/>
        <w:tblCellMar>
          <w:top w:w="28" w:type="dxa"/>
          <w:left w:w="28" w:type="dxa"/>
          <w:bottom w:w="28" w:type="dxa"/>
          <w:right w:w="28" w:type="dxa"/>
        </w:tblCellMar>
      </w:tblPr>
      <w:tblGrid>
        <w:gridCol w:w="1533"/>
        <w:gridCol w:w="1347"/>
        <w:gridCol w:w="1350"/>
        <w:gridCol w:w="211"/>
        <w:gridCol w:w="976"/>
        <w:gridCol w:w="109"/>
        <w:gridCol w:w="109"/>
        <w:gridCol w:w="109"/>
        <w:gridCol w:w="109"/>
        <w:gridCol w:w="250"/>
        <w:gridCol w:w="1157"/>
        <w:gridCol w:w="182"/>
      </w:tblGrid>
      <w:tr>
        <w:trPr/>
        <w:tc>
          <w:tcPr>
            <w:tcW w:w="15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Sales-type sub-leases, net </w:t>
            </w:r>
            <w:r>
              <w:rPr>
                <w:rFonts w:ascii="Times New Roman;serif" w:hAnsi="Times New Roman;serif"/>
                <w:b w:val="false"/>
                <w:i/>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842,776 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used in operations,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and sub-lease right of 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financing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acquisition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reimbursement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1,037,694 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1,030,644 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60" w:after="283"/>
        <w:jc w:val="both"/>
        <w:rPr/>
      </w:pPr>
      <w:r>
        <w:rPr>
          <w:rFonts w:ascii="Times New Roman;serif" w:hAnsi="Times New Roman;serif"/>
          <w:b w:val="false"/>
          <w:i/>
          <w:color w:val="000000"/>
          <w:sz w:val="16"/>
        </w:rPr>
        <w:t xml:space="preserve">(1) As of June 30, 2025 and December 31, 2024, sales-type sub-leases are net of $21.3 million and $20.6 million of Allowance for credit losses, respectively. Refer to </w:t>
      </w:r>
      <w:hyperlink w:anchor="if570836a181f43958dee02a390db0eaf_64">
        <w:r>
          <w:rPr>
            <w:rStyle w:val="InternetLink"/>
            <w:rFonts w:ascii="Times New Roman;serif" w:hAnsi="Times New Roman;serif"/>
            <w:b w:val="false"/>
            <w:i/>
            <w:color w:val="0000FF"/>
            <w:sz w:val="16"/>
            <w:u w:val="single"/>
          </w:rPr>
          <w:t>Note 5 – Allowance for Credit Losses</w:t>
        </w:r>
      </w:hyperlink>
      <w:r>
        <w:rPr>
          <w:color w:val="000000"/>
        </w:rPr>
        <w:t xml:space="preserve"> </w:t>
      </w:r>
      <w:r>
        <w:rPr>
          <w:rFonts w:ascii="Times New Roman;serif" w:hAnsi="Times New Roman;serif"/>
          <w:b w:val="false"/>
          <w:i/>
          <w:color w:val="000000"/>
          <w:sz w:val="16"/>
        </w:rPr>
        <w:t>for further details.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Other Liabilities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our other liabilities as of June 30, 2025 and December 31, 2024:</w:t>
      </w:r>
    </w:p>
    <w:tbl>
      <w:tblPr>
        <w:tblW w:w="6947" w:type="dxa"/>
        <w:jc w:val="left"/>
        <w:tblInd w:w="0" w:type="dxa"/>
        <w:tblLayout w:type="fixed"/>
        <w:tblCellMar>
          <w:top w:w="28" w:type="dxa"/>
          <w:left w:w="28" w:type="dxa"/>
          <w:bottom w:w="28" w:type="dxa"/>
          <w:right w:w="28" w:type="dxa"/>
        </w:tblCellMar>
      </w:tblPr>
      <w:tblGrid>
        <w:gridCol w:w="1354"/>
        <w:gridCol w:w="1189"/>
        <w:gridCol w:w="1192"/>
        <w:gridCol w:w="211"/>
        <w:gridCol w:w="976"/>
        <w:gridCol w:w="109"/>
        <w:gridCol w:w="109"/>
        <w:gridCol w:w="109"/>
        <w:gridCol w:w="109"/>
        <w:gridCol w:w="250"/>
        <w:gridCol w:w="1157"/>
        <w:gridCol w:w="182"/>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sub-lease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863,374 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and sub-lease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CECL allowance for unfunded commitments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1,004,340 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color w:val="000000"/>
          <w:sz w:val="24"/>
        </w:rPr>
      </w:pPr>
      <w:r>
        <w:rPr>
          <w:rFonts w:ascii="Times New Roman;serif" w:hAnsi="Times New Roman;serif"/>
          <w:b/>
          <w:color w:val="000000"/>
          <w:sz w:val="24"/>
        </w:rPr>
        <w:t xml:space="preserve">Note 7— Debt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detail our debt obligations as of June 30, 2025 and December 31, 2024:</w:t>
      </w:r>
    </w:p>
    <w:tbl>
      <w:tblPr>
        <w:tblW w:w="10205" w:type="dxa"/>
        <w:jc w:val="left"/>
        <w:tblInd w:w="0" w:type="dxa"/>
        <w:tblLayout w:type="fixed"/>
        <w:tblCellMar>
          <w:top w:w="28" w:type="dxa"/>
          <w:left w:w="28" w:type="dxa"/>
          <w:bottom w:w="28" w:type="dxa"/>
          <w:right w:w="28" w:type="dxa"/>
        </w:tblCellMar>
      </w:tblPr>
      <w:tblGrid>
        <w:gridCol w:w="1103"/>
        <w:gridCol w:w="936"/>
        <w:gridCol w:w="935"/>
        <w:gridCol w:w="109"/>
        <w:gridCol w:w="109"/>
        <w:gridCol w:w="109"/>
        <w:gridCol w:w="535"/>
        <w:gridCol w:w="508"/>
        <w:gridCol w:w="516"/>
        <w:gridCol w:w="109"/>
        <w:gridCol w:w="109"/>
        <w:gridCol w:w="109"/>
        <w:gridCol w:w="461"/>
        <w:gridCol w:w="446"/>
        <w:gridCol w:w="448"/>
        <w:gridCol w:w="109"/>
        <w:gridCol w:w="109"/>
        <w:gridCol w:w="109"/>
        <w:gridCol w:w="220"/>
        <w:gridCol w:w="1133"/>
        <w:gridCol w:w="113"/>
        <w:gridCol w:w="109"/>
        <w:gridCol w:w="109"/>
        <w:gridCol w:w="109"/>
        <w:gridCol w:w="223"/>
        <w:gridCol w:w="1149"/>
        <w:gridCol w:w="171"/>
      </w:tblGrid>
      <w:tr>
        <w:trPr/>
        <w:tc>
          <w:tcPr>
            <w:tcW w:w="110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Carrying Value </w:t>
            </w:r>
            <w:r>
              <w:rPr>
                <w:rFonts w:ascii="Times New Roman;serif" w:hAnsi="Times New Roman;serif"/>
                <w:b w:val="false"/>
                <w:i/>
                <w:color w:val="000000"/>
                <w:sz w:val="13"/>
              </w:rPr>
              <w:t>(1)</w:t>
            </w:r>
          </w:p>
        </w:tc>
      </w:tr>
      <w:tr>
        <w:trPr/>
        <w:tc>
          <w:tcPr>
            <w:tcW w:w="2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USD Borrowings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CAD Borrowings </w:t>
            </w:r>
            <w:r>
              <w:rPr>
                <w:rFonts w:ascii="Times New Roman;serif" w:hAnsi="Times New Roman;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CORRA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GBP Borrowings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SONIA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2,813,887 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494,057 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1,245,958 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753,484 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747,276 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4.516%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1,243,370 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3.875%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708,280 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992,932 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4.541%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991,947 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15,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4.969%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741,133 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3.980%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1,485,897 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5.689%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541,471 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5.601%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884,626 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2052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736,595 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485,651 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4.475%</w:t>
            </w:r>
            <w:r>
              <w:rPr>
                <w:color w:val="000000"/>
              </w:rPr>
              <w:t xml:space="preserve"> </w:t>
            </w:r>
            <w:r>
              <w:rPr>
                <w:rFonts w:ascii="Times New Roman;serif" w:hAnsi="Times New Roman;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17,273,519 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16,922,273 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1103"/>
        <w:gridCol w:w="936"/>
        <w:gridCol w:w="934"/>
        <w:gridCol w:w="109"/>
        <w:gridCol w:w="109"/>
        <w:gridCol w:w="109"/>
        <w:gridCol w:w="541"/>
        <w:gridCol w:w="508"/>
        <w:gridCol w:w="510"/>
        <w:gridCol w:w="109"/>
        <w:gridCol w:w="109"/>
        <w:gridCol w:w="109"/>
        <w:gridCol w:w="464"/>
        <w:gridCol w:w="446"/>
        <w:gridCol w:w="448"/>
        <w:gridCol w:w="109"/>
        <w:gridCol w:w="109"/>
        <w:gridCol w:w="109"/>
        <w:gridCol w:w="220"/>
        <w:gridCol w:w="1133"/>
        <w:gridCol w:w="113"/>
        <w:gridCol w:w="109"/>
        <w:gridCol w:w="109"/>
        <w:gridCol w:w="109"/>
        <w:gridCol w:w="223"/>
        <w:gridCol w:w="1149"/>
        <w:gridCol w:w="169"/>
      </w:tblGrid>
      <w:tr>
        <w:trPr/>
        <w:tc>
          <w:tcPr>
            <w:tcW w:w="110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b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Carrying Value </w:t>
            </w:r>
            <w:r>
              <w:rPr>
                <w:rFonts w:ascii="Times New Roman;serif" w:hAnsi="Times New Roman;serif"/>
                <w:b w:val="false"/>
                <w:i/>
                <w:color w:val="000000"/>
                <w:sz w:val="13"/>
              </w:rPr>
              <w:t>(1)</w:t>
            </w:r>
          </w:p>
        </w:tc>
      </w:tr>
      <w:tr>
        <w:trPr/>
        <w:tc>
          <w:tcPr>
            <w:tcW w:w="29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USD Borrowings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CAD Borrowings</w:t>
            </w:r>
            <w:r>
              <w:rPr>
                <w:color w:val="000000"/>
              </w:rPr>
              <w:t xml:space="preserve"> </w:t>
            </w:r>
            <w:r>
              <w:rPr>
                <w:rFonts w:ascii="Times New Roman;serif" w:hAnsi="Times New Roman;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CORRA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GBP Borrowings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SONIA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2,800,544 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4.375%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499,419 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797,059 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1,244,469 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754,588 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746,438 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4.516%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1,242,110 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3.875%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702,707 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992,132 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4.541%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991,080 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991,609 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15,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20"/>
              </w:rPr>
              <w:t xml:space="preserve">4.969%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3.980%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1,484,876 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5.689%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540,986 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2052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4.413%</w:t>
            </w:r>
            <w:r>
              <w:rPr>
                <w:color w:val="000000"/>
              </w:rPr>
              <w:t xml:space="preserve"> </w:t>
            </w:r>
            <w:r>
              <w:rPr>
                <w:rFonts w:ascii="Times New Roman;serif" w:hAnsi="Times New Roman;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17,098,846 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16,732,889 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(1)Carrying value is net of unamortized original issue discount and unamortized debt issuance costs incurred in conjunction with debt.</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(2)Borrowings under the Revolving Credit Facility bear interest at a rate based on a credit rating-based pricing grid with a range of 0.70% to 1.40% margin plus SOFR (or Canadian Overnight Repo Rate Average (“CORRA”) or Sterling Overnight Index Average (“SONIA”), as applicable), depending on our credit ratings and total leverage ratio. Additionally, the commitment fees under the Revolving Credit Facility are calculated on a credit rating-based pricing grid with a range of 0.10% to 0.30%, depending on our credit ratings and total leverage ratio. For the three and six months ended June 30, 2025, the commitment fee for the Revolving Credit Facility averaged 0.20%. Subsequent to quarter-end, on July 2, 2025, $175.0 million of the outstanding USD balance under our Revolving Credit Facility was repaid.</w:t>
      </w:r>
    </w:p>
    <w:p>
      <w:pPr>
        <w:pStyle w:val="TextBody"/>
        <w:bidi w:val="0"/>
        <w:spacing w:lineRule="auto" w:line="288" w:before="0" w:after="0"/>
        <w:ind w:left="0" w:right="0" w:hanging="360"/>
        <w:jc w:val="both"/>
        <w:rPr/>
      </w:pPr>
      <w:r>
        <w:rPr>
          <w:rFonts w:ascii="Times New Roman;serif" w:hAnsi="Times New Roman;serif"/>
          <w:b w:val="false"/>
          <w:i/>
          <w:color w:val="000000"/>
          <w:sz w:val="16"/>
        </w:rPr>
        <w:t xml:space="preserve">(3)Interest rates represent the contractual interest rates adjusted to account for the impact of the forward-starting interest rate swaps and treasury locks (as further described in </w:t>
      </w:r>
      <w:hyperlink w:anchor="if570836a181f43958dee02a390db0eaf_73">
        <w:r>
          <w:rPr>
            <w:rStyle w:val="InternetLink"/>
            <w:rFonts w:ascii="Times New Roman;serif" w:hAnsi="Times New Roman;serif"/>
            <w:b w:val="false"/>
            <w:i/>
            <w:color w:val="0000FF"/>
            <w:sz w:val="16"/>
            <w:u w:val="single"/>
          </w:rPr>
          <w:t>Note 8 – Derivatives</w:t>
        </w:r>
      </w:hyperlink>
      <w:r>
        <w:rPr>
          <w:rFonts w:ascii="Times New Roman;serif" w:hAnsi="Times New Roman;serif"/>
          <w:b w:val="false"/>
          <w:i/>
          <w:color w:val="000000"/>
          <w:sz w:val="16"/>
        </w:rPr>
        <w:t xml:space="preserve">). The contractual interest rates on the April 2022 Notes (as defined below) maturing 2028, 2030 and 2032 are 4.750%, 4.950% and 5.125%, respectively, the contractual interest rate on the March 2024 Notes (as defined below) maturing 2034 is 5.750%,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contractual interest rate on the December 2024 Notes (as defined below) maturing 2031 is 5.125%, and the contractual interest rate on the April 2025 Notes (as defined below) maturing 2035 is 5.625%.</w:t>
      </w:r>
    </w:p>
    <w:p>
      <w:pPr>
        <w:pStyle w:val="TextBody"/>
        <w:bidi w:val="0"/>
        <w:spacing w:lineRule="auto" w:line="288" w:before="0" w:after="0"/>
        <w:ind w:left="0" w:right="0" w:hanging="360"/>
        <w:jc w:val="both"/>
        <w:rPr/>
      </w:pPr>
      <w:r>
        <w:rPr>
          <w:rFonts w:ascii="Times New Roman;serif" w:hAnsi="Times New Roman;serif"/>
          <w:b w:val="false"/>
          <w:i/>
          <w:color w:val="000000"/>
          <w:sz w:val="16"/>
        </w:rPr>
        <w:t xml:space="preserve">(4)The interest rate represents the weighted average interest rates of the Senior Unsecured Notes adjusted to account for the impact of the forward-starting interest rate swaps (as further described in </w:t>
      </w:r>
      <w:hyperlink w:anchor="if570836a181f43958dee02a390db0eaf_73">
        <w:r>
          <w:rPr>
            <w:rStyle w:val="InternetLink"/>
            <w:rFonts w:ascii="Times New Roman;serif" w:hAnsi="Times New Roman;serif"/>
            <w:b w:val="false"/>
            <w:i/>
            <w:color w:val="0000FF"/>
            <w:sz w:val="16"/>
            <w:u w:val="single"/>
          </w:rPr>
          <w:t>Note 8 – Derivatives</w:t>
        </w:r>
      </w:hyperlink>
      <w:r>
        <w:rPr>
          <w:rFonts w:ascii="Times New Roman;serif" w:hAnsi="Times New Roman;serif"/>
          <w:b w:val="false"/>
          <w:i/>
          <w:color w:val="000000"/>
          <w:sz w:val="16"/>
        </w:rPr>
        <w:t>), as applicable. The contractual weighted average interest rate as of June 30, 2025, which excludes the impact of the forward-starting interest rate swaps and treasury locks, was 4.62%.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is a schedule of future minimum principal payments of our debt obligations as of June 30, 2025:</w:t>
      </w:r>
    </w:p>
    <w:tbl>
      <w:tblPr>
        <w:tblW w:w="6327" w:type="dxa"/>
        <w:jc w:val="left"/>
        <w:tblInd w:w="0" w:type="dxa"/>
        <w:tblLayout w:type="fixed"/>
        <w:tblCellMar>
          <w:top w:w="28" w:type="dxa"/>
          <w:left w:w="28" w:type="dxa"/>
          <w:bottom w:w="28" w:type="dxa"/>
          <w:right w:w="28" w:type="dxa"/>
        </w:tblCellMar>
      </w:tblPr>
      <w:tblGrid>
        <w:gridCol w:w="1081"/>
        <w:gridCol w:w="951"/>
        <w:gridCol w:w="953"/>
        <w:gridCol w:w="109"/>
        <w:gridCol w:w="109"/>
        <w:gridCol w:w="109"/>
        <w:gridCol w:w="440"/>
        <w:gridCol w:w="2254"/>
        <w:gridCol w:w="321"/>
      </w:tblGrid>
      <w:tr>
        <w:trPr/>
        <w:tc>
          <w:tcPr>
            <w:tcW w:w="10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Future Minimum Principal Payments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2,073,519 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principal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17,273,519 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Senior Unsecured Notes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set forth in the above table, as of June 30, 2025, our outstanding senior unsecured notes consist of (i) $2.25 billion aggregate principal amount of Senior Notes issued on November 26, 2019 (the “November 2019 Notes”), (ii) $1.75 billion aggregate principal amount of Senior Notes issued on February 5, 2020 (the “February 2020 Notes”), (iii) $4.50 billion aggregate principal amount of Senior Notes issued on April 29, 2022 (the “April 2022 Notes”), (iv) approximately $2.3 billion aggregate principal amount of Senior Notes issued on April 29, 2022, in each case issued by VICI LP and VICI Note Co. Inc. (the “Exchange Notes”), (v) approximately $63.6 million aggregate principal amount of Senior Notes, which were originally issued by MGM Growth Properties Operating Partnership LP and a co-issuer (the “MGP OP Notes”) and remain outstanding following the issuance of the Exchange Notes pursuant to the exchange offer and consent solicitation for the then-outstanding MGP OP Notes, which settled in connection with the completion of our acquisition of MGM Growth Properties LLC (“MGP”) on April 29, 2022, (vi) $1.05 billion aggregate principal amount of Senior Notes issued on March 18, 2024 (the “March 2024 Notes”), (vii) $750.0 million aggregate principal amount of Senior Notes issued on December 19, 2024, (the “December 2024 Notes”), and (viii) $1.3 billion aggregate principal amount of Senior Notes issued on April 7, 2025 (the “April 2025 Notes”). The outstanding November 2019 Notes, February 2020 Notes, April 2022 Notes, Exchange Notes, MGP OP Notes, March 2024 Notes, December 2024 Notes and April 2025 Notes are collectively referred to as the “Senior Unsecured Notes”.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April 7, 2025, VICI LP issued the April 2025 Notes comprised of (i) $400.0 million aggregate principal amount of 4.750% Senior Notes due 2028, which mature on April 1, 2028, and (ii) $900.0 million aggregate principal amount of 5.625% Senior Notes due 2035, which mature on April 1, 2035, in each case under a supplemental indenture dated as of April, 7, 2025, between VICI LP and the trustee. We used the net proceeds of the April 2025 Notes to redeem our then-outstanding (i) $799.4 million in aggregate principal amount of the 4.625% Exchange Notes due 2025, (ii) $500.0 million in aggregate principal amount of the 4.375% April 2022 Notes due 2025, and (iii) $0.6 million in aggregate principal amount of the 4.625% MGP OP Notes due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terms and conditions of the applicable indentures (including supplemental indentures, collectively “indentures”), each series of Senior Unsecured Notes is redeemable at our option, in whole or in part, at any time for a specified period prior to the maturity date of such series at the redemption prices set forth in the applicable indenture. In addition, we may redeem some or all of such notes prior to such respective dates at a price equal to 100% of the principal amount thereof plus a “make-whole” premium or on such other terms as specified in the applicable indenture.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Guarantee and Financial Covenants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None of the Senior Unsecured Notes are guaranteed by any subsidiaries of VICI LP. The Exchange Notes, the MGP OP Notes, the April 2022 Notes, the March 2024 Notes, the December 2024 Notes and the April 2025 Notes benefit from a pledge of the limited partnership interests of VICI LP directly owned by VICI OP (the “Limited Equity Pledge”). The Limited Equity Pledge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has also been granted in favor of (i) the administrative agent and the lenders under the Credit Agreement (as defined below), and (ii) the trustee under the indentures governing, and the holders of, the November 2019 Notes and the February 2020 Notes.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respective indentures, in the event that the November 2019 Notes, February 2020 Notes and Exchange Notes (i) are rated investment grade by at least two of S&amp;P, Moody’s and Fitch and (ii) no default or event of default has occurred and is continuing under the respective indentures, VICI LP and its restricted subsidiaries will no longer be subject to certain of the restrictive covenants under such indentures. On April 18, 2022, the November 2019 Notes, February 2020 Notes and Exchange Notes were rated investment grade by each of S&amp;P and Fitch and VICI LP notified the trustee of such Suspension Date (as defined in the indentures). Accordingly, VICI LP and its restricted subsidiaries currently are not subject to certain of the restrictive covenants under such indentures, but are subject to a maintenance covenant requiring VICI LP and its restricted subsidiaries to maintain a certain total unencumbered assets to unsecured debt ratio. In the event that the November 2019 Notes, February 2020 Notes and Exchange Notes are no longer rated investment grade by at least two of S&amp;P, Moody’s and Fitch, then VICI LP and its restricted subsidiaries will again be subject to all of the covenants of the respective indentures, as applicable, but will no longer be subject to the maintenance covenant.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indentures governing each of the April 2022 Notes, March 2024 Notes, December 2024 Notes and April 2025 Notes contain certain covenants that limit the ability of VICI LP and its subsidiaries to incur secured and unsecured indebtedness and limit VICI LP’s ability to consummate a merger, consolidation or sale of all or substantially all of its assets. In addition, VICI LP is required to maintain total unencumbered assets of at least 150% of total unsecured indebtedness. These covenants are subject to a number of important exceptions and qualifications.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Unsecured Credit Facilities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February 3, 2025, we entered into a credit agreement by and among VICI LP, the lenders party thereto, and Wells Fargo Bank, N.A., as administrative agent, as amended from time to time (the “Credit Agreement”), providing for a revolving credit facility in the amount of $2.5 billion scheduled to mature on February 3, 2029 (the “Revolving Credit Facility”). Concurrently with entry into the Credit Agreement and Revolving Credit Facility, we terminated the credit agreement dated February 8, 2022 by and among VICI LP, the lenders from time to time party thereto, and JPMorgan Chase Bank, N.A., as administrative agent, as amended from time to time (the “2022 Credit Agreement”) and the existing revolving credit facility in the amount of $2.5 billion scheduled to mature on March 31, 2026 (the “2022 Revolving Credit Facility”). In connection with the termination of the 2022 Revolving Credit Facility, all outstanding balances thereunder were repaid and reborrowed under the Revolving Credit Facility.</w:t>
      </w:r>
    </w:p>
    <w:p>
      <w:pPr>
        <w:pStyle w:val="TextBody"/>
        <w:bidi w:val="0"/>
        <w:spacing w:lineRule="auto" w:line="288" w:before="180" w:after="283"/>
        <w:jc w:val="both"/>
        <w:rPr/>
      </w:pPr>
      <w:r>
        <w:rPr>
          <w:rFonts w:ascii="Times New Roman;serif" w:hAnsi="Times New Roman;serif"/>
          <w:b w:val="false"/>
          <w:color w:val="000000"/>
          <w:sz w:val="20"/>
        </w:rPr>
        <w:t xml:space="preserve">The Revolving Credit Facility includes two six-month maturity extension options </w:t>
      </w:r>
      <w:r>
        <w:rPr>
          <w:rFonts w:ascii="Times New Roman;serif" w:hAnsi="Times New Roman;serif"/>
          <w:b w:val="false"/>
          <w:color w:val="000000"/>
          <w:sz w:val="20"/>
          <w:shd w:fill="FFFFFF" w:val="clear"/>
        </w:rPr>
        <w:t>(or one twelve-month extension option)</w:t>
      </w:r>
      <w:r>
        <w:rPr>
          <w:rFonts w:ascii="Times New Roman;serif" w:hAnsi="Times New Roman;serif"/>
          <w:b w:val="false"/>
          <w:color w:val="000000"/>
          <w:sz w:val="20"/>
        </w:rPr>
        <w:t>, the exercise of which in each case is subject to customary conditions and the payment of an extension fee of (i) 0.0625% on the extended commitments</w:t>
      </w:r>
      <w:r>
        <w:rPr>
          <w:rFonts w:ascii="Times New Roman;serif" w:hAnsi="Times New Roman;serif"/>
          <w:b w:val="false"/>
          <w:color w:val="000000"/>
          <w:sz w:val="20"/>
          <w:shd w:fill="FFFFFF" w:val="clear"/>
        </w:rPr>
        <w:t>, in the case of each six-month extension of the Revolving Credit Facility, and (ii) 0.125% on the extended commitments, in the case of a twelve-month extension of the Revolving Credit Facility</w:t>
      </w:r>
      <w:r>
        <w:rPr>
          <w:rFonts w:ascii="Times New Roman;serif" w:hAnsi="Times New Roman;serif"/>
          <w:b w:val="false"/>
          <w:color w:val="000000"/>
          <w:sz w:val="20"/>
        </w:rPr>
        <w:t xml:space="preserve">. The Revolving Credit Facility includes the option (i) to increase the revolving loan commitments by up to $1.0 billion and (ii) to add one or more tranches of term loans of up to $2.0 billion in the aggregate, in each case, to the extent that any one or more lenders (from the syndicate or otherwise) agree to provide such additional credit extensions. </w:t>
      </w:r>
    </w:p>
    <w:p>
      <w:pPr>
        <w:pStyle w:val="TextBody"/>
        <w:bidi w:val="0"/>
        <w:spacing w:lineRule="auto" w:line="288" w:before="180" w:after="283"/>
        <w:jc w:val="both"/>
        <w:rPr/>
      </w:pPr>
      <w:r>
        <w:rPr>
          <w:rFonts w:ascii="Times New Roman;serif" w:hAnsi="Times New Roman;serif"/>
          <w:b w:val="false"/>
          <w:color w:val="000000"/>
          <w:sz w:val="20"/>
          <w:shd w:fill="FFFFFF" w:val="clear"/>
        </w:rPr>
        <w:t>Borrowings under the Revolving Credit Facility will bear interest, at VICI LP’s option, for U.S. Dollar borrowings at either (i) a rate based on SOFR plus a margin ranging from 0.70% to 1.40%, or (ii) a base rate plus a margin ranging from 0.00% to 0.40%, in each case, with the actual margin determined according to VICI LP’s debt ratings and total leverage ratio. The base rate is the highest of (i) the prime rate of interest last quoted by the Wall Street Journal in the U.S. then in effect, (ii) the NYFRB rate from time to time plus 0.5% and (iii) the SOFR rate for a one-month interest period plus 1.0%, subject to a floor of 1.0%.</w:t>
      </w:r>
      <w:r>
        <w:rPr>
          <w:color w:val="000000"/>
        </w:rPr>
        <w:t xml:space="preserve"> </w:t>
      </w:r>
      <w:r>
        <w:rPr>
          <w:rFonts w:ascii="Times New Roman;serif" w:hAnsi="Times New Roman;serif"/>
          <w:b w:val="false"/>
          <w:color w:val="000000"/>
          <w:sz w:val="20"/>
          <w:shd w:fill="FFFFFF" w:val="clear"/>
        </w:rPr>
        <w:t>In addition to U.S. Dollar borrowings, borrowings under the Revolving Credit Facility are also available in certain specific foreign currencies, bearing interest based on rates customary for such foreign currencies and subject to the same applicable margins for U.S. Dollar borrowings.</w:t>
      </w:r>
      <w:r>
        <w:rPr>
          <w:color w:val="000000"/>
        </w:rPr>
        <w:t xml:space="preserve"> </w:t>
      </w:r>
      <w:r>
        <w:rPr>
          <w:rFonts w:ascii="Times New Roman;serif" w:hAnsi="Times New Roman;serif"/>
          <w:b w:val="false"/>
          <w:color w:val="000000"/>
          <w:sz w:val="20"/>
          <w:shd w:fill="FFFFFF" w:val="clear"/>
        </w:rPr>
        <w:t xml:space="preserve">In addition, the Revolving Credit Facility requires the payment of a facility fee ranging from 0.10% to 0.30% (depending on VICI LP’s debt ratings and total leverage ratio) of total commitments. The Revolving Credit Facility may be voluntarily prepaid in full or in part at any time, subject to customary breakage costs, if applicable. </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Credit Agreement contains customary representations and warranties and affirmative, negative and financial covenants. Such covenants include restrictions on mergers, affiliate transactions, and asset sales as well as certain financial maintenance covenants. The Credit Agreement also includes customary events of default, the occurrence of which, following any applicable grace period, would permit the lenders to, among other things, declare the principal, accrued interest and other obligations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VICI LP under the Credit Agreement to be immediately due and payable. </w:t>
      </w:r>
      <w:r>
        <w:rPr>
          <w:rFonts w:ascii="Times New Roman;serif" w:hAnsi="Times New Roman;serif"/>
          <w:b w:val="false"/>
          <w:color w:val="000000"/>
          <w:sz w:val="20"/>
        </w:rPr>
        <w:t xml:space="preserve">The Credit Agreement is consistent with certain tax-related requirements related to security for our debt.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we had $175.0 million, C$175.0 million and £14.5 million outstanding on the Revolving Credit Facility in connection with the funding of a portion of our U.S. debt investments, our Canadian investments and our United Kingdom investments, respectively. Subsequent to quarter-end, on July 2, 2025, we repaid $175.0 million of the outstanding USD balance.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MGM Grand/Mandalay Bay CMBS Debt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investment in the real estate assets of the MGM Grand and Mandalay Bay, through an entity that holds these assets (the “MGM Grand/Mandalay Bay PropCo”), is financed with CMBS debt (the “MGM Grand/Mandalay Bay CMBS Debt”) and is secured primarily by mortgages on our fee interest in the real estate assets of these two properties. The MGM Grand/Mandalay Bay CMBS Debt has a current outstanding principal balance of $3.0 billion, matures in March 2032 and bears interest at 3.558% per annum until March 2030, at which time the rate can change in accordance with the terms of the MGM Grand/Mandalay Bay CMBS loan agreement until maturity. The MGM Grand/Mandalay Bay CMBS loan agreement contains certain customary affirmative and negative covenants and events of default, including, among other things, restrictions on the ability of the MGM Grand/Mandalay Bay PropCo and certain of its affiliates to incur additional debt and transfer, pledge or assign certain equity interests or its assets, and covenants requiring certain affiliates of the MGM Grand/Mandalay Bay PropCo to exist as “special purpose entities,” maintain certain ongoing reserve funds and comply with other customary obligations for commercial mortgage-backed securities loan financings.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Financial Covenants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described above, our debt obligations are subject to certain customary financial and protective covenants that restrict VICI LP, VICI PropCo and its subsidiaries’ ability to incur additional debt, sell certain assets and restrict certain payments, among other things. These covenants are subject to a number of exceptions and qualifications, including the ability to make restricted payments to maintain our REIT status. At June 30, 2025, we were in compliance with all financial covenants under our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8 — Derivatives </w:t>
      </w:r>
    </w:p>
    <w:p>
      <w:pPr>
        <w:pStyle w:val="TextBody"/>
        <w:bidi w:val="0"/>
        <w:spacing w:lineRule="auto" w:line="288" w:before="180" w:after="283"/>
        <w:jc w:val="both"/>
        <w:rPr>
          <w:rFonts w:ascii="Times New Roman;serif" w:hAnsi="Times New Roman;serif"/>
          <w:b/>
          <w:i/>
          <w:color w:val="231F20"/>
          <w:sz w:val="20"/>
        </w:rPr>
      </w:pPr>
      <w:r>
        <w:rPr>
          <w:rFonts w:ascii="Times New Roman;serif" w:hAnsi="Times New Roman;serif"/>
          <w:b/>
          <w:i/>
          <w:color w:val="231F20"/>
          <w:sz w:val="20"/>
        </w:rPr>
        <w:t>Interest-Rate Derivatives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Outstanding Derivatives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detail our outstanding interest rate derivatives that were designated as cash flow hedges of interest rate risk as of December 31, 2024. There were no derivative instruments outstanding as of June 30, 2025.</w:t>
      </w:r>
    </w:p>
    <w:tbl>
      <w:tblPr>
        <w:tblW w:w="10205" w:type="dxa"/>
        <w:jc w:val="left"/>
        <w:tblInd w:w="0" w:type="dxa"/>
        <w:tblLayout w:type="fixed"/>
        <w:tblCellMar>
          <w:top w:w="28" w:type="dxa"/>
          <w:left w:w="28" w:type="dxa"/>
          <w:bottom w:w="28" w:type="dxa"/>
          <w:right w:w="28" w:type="dxa"/>
        </w:tblCellMar>
      </w:tblPr>
      <w:tblGrid>
        <w:gridCol w:w="963"/>
        <w:gridCol w:w="586"/>
        <w:gridCol w:w="574"/>
        <w:gridCol w:w="109"/>
        <w:gridCol w:w="109"/>
        <w:gridCol w:w="109"/>
        <w:gridCol w:w="491"/>
        <w:gridCol w:w="491"/>
        <w:gridCol w:w="493"/>
        <w:gridCol w:w="109"/>
        <w:gridCol w:w="109"/>
        <w:gridCol w:w="109"/>
        <w:gridCol w:w="309"/>
        <w:gridCol w:w="245"/>
        <w:gridCol w:w="238"/>
        <w:gridCol w:w="109"/>
        <w:gridCol w:w="109"/>
        <w:gridCol w:w="109"/>
        <w:gridCol w:w="211"/>
        <w:gridCol w:w="826"/>
        <w:gridCol w:w="109"/>
        <w:gridCol w:w="109"/>
        <w:gridCol w:w="109"/>
        <w:gridCol w:w="109"/>
        <w:gridCol w:w="634"/>
        <w:gridCol w:w="634"/>
        <w:gridCol w:w="640"/>
        <w:gridCol w:w="109"/>
        <w:gridCol w:w="109"/>
        <w:gridCol w:w="109"/>
        <w:gridCol w:w="327"/>
        <w:gridCol w:w="327"/>
        <w:gridCol w:w="472"/>
      </w:tblGrid>
      <w:tr>
        <w:trPr/>
        <w:tc>
          <w:tcPr>
            <w:tcW w:w="96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w:t>
            </w:r>
          </w:p>
        </w:tc>
      </w:tr>
      <w:tr>
        <w:trPr/>
        <w:tc>
          <w:tcPr>
            <w:tcW w:w="2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3.5880%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USD-SOFR-OIS COMPOUND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27, 2035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6"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Settled Derivatives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entered into, and subsequently settled, the following forward-starting interest rate swap agreements and U.S. Treasury Rate Lock agreements to hedge against changes in future cash flows resulting from changes in interest rates from the trade date through the forecasted issuance of the respective senior unsecured notes. In each case, the derivatives were designated as cash-flow hedges and, accordingly, the unrealized gain in Accumulated other comprehensive income is amortized over the term of the respective derivative instruments, which matches that of the underlying note, as a reduction in interest expense. </w:t>
      </w:r>
    </w:p>
    <w:tbl>
      <w:tblPr>
        <w:tblW w:w="10205" w:type="dxa"/>
        <w:jc w:val="left"/>
        <w:tblInd w:w="0" w:type="dxa"/>
        <w:tblLayout w:type="fixed"/>
        <w:tblCellMar>
          <w:top w:w="28" w:type="dxa"/>
          <w:left w:w="28" w:type="dxa"/>
          <w:bottom w:w="28" w:type="dxa"/>
          <w:right w:w="28" w:type="dxa"/>
        </w:tblCellMar>
      </w:tblPr>
      <w:tblGrid>
        <w:gridCol w:w="508"/>
        <w:gridCol w:w="388"/>
        <w:gridCol w:w="389"/>
        <w:gridCol w:w="109"/>
        <w:gridCol w:w="109"/>
        <w:gridCol w:w="109"/>
        <w:gridCol w:w="370"/>
        <w:gridCol w:w="370"/>
        <w:gridCol w:w="371"/>
        <w:gridCol w:w="109"/>
        <w:gridCol w:w="109"/>
        <w:gridCol w:w="109"/>
        <w:gridCol w:w="654"/>
        <w:gridCol w:w="654"/>
        <w:gridCol w:w="659"/>
        <w:gridCol w:w="109"/>
        <w:gridCol w:w="109"/>
        <w:gridCol w:w="109"/>
        <w:gridCol w:w="462"/>
        <w:gridCol w:w="462"/>
        <w:gridCol w:w="464"/>
        <w:gridCol w:w="109"/>
        <w:gridCol w:w="109"/>
        <w:gridCol w:w="109"/>
        <w:gridCol w:w="231"/>
        <w:gridCol w:w="907"/>
        <w:gridCol w:w="119"/>
        <w:gridCol w:w="109"/>
        <w:gridCol w:w="109"/>
        <w:gridCol w:w="109"/>
        <w:gridCol w:w="415"/>
        <w:gridCol w:w="854"/>
        <w:gridCol w:w="293"/>
      </w:tblGrid>
      <w:tr>
        <w:trPr/>
        <w:tc>
          <w:tcPr>
            <w:tcW w:w="50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Notes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Settlement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Net Proceeds/(Payments)</w:t>
            </w:r>
          </w:p>
        </w:tc>
      </w:tr>
      <w:tr>
        <w:trPr/>
        <w:tc>
          <w:tcPr>
            <w:tcW w:w="1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Rate Lock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Rate Lock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2024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202,289 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2022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Rate Lock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effect of our forward-starting derivative financial instruments on our Statement of Operations:</w:t>
      </w:r>
    </w:p>
    <w:tbl>
      <w:tblPr>
        <w:tblW w:w="10205" w:type="dxa"/>
        <w:jc w:val="left"/>
        <w:tblInd w:w="0" w:type="dxa"/>
        <w:tblLayout w:type="fixed"/>
        <w:tblCellMar>
          <w:top w:w="28" w:type="dxa"/>
          <w:left w:w="28" w:type="dxa"/>
          <w:bottom w:w="28" w:type="dxa"/>
          <w:right w:w="28" w:type="dxa"/>
        </w:tblCellMar>
      </w:tblPr>
      <w:tblGrid>
        <w:gridCol w:w="1964"/>
        <w:gridCol w:w="1699"/>
        <w:gridCol w:w="1707"/>
        <w:gridCol w:w="256"/>
        <w:gridCol w:w="479"/>
        <w:gridCol w:w="128"/>
        <w:gridCol w:w="128"/>
        <w:gridCol w:w="128"/>
        <w:gridCol w:w="128"/>
        <w:gridCol w:w="256"/>
        <w:gridCol w:w="479"/>
        <w:gridCol w:w="128"/>
        <w:gridCol w:w="109"/>
        <w:gridCol w:w="109"/>
        <w:gridCol w:w="109"/>
        <w:gridCol w:w="211"/>
        <w:gridCol w:w="660"/>
        <w:gridCol w:w="109"/>
        <w:gridCol w:w="109"/>
        <w:gridCol w:w="109"/>
        <w:gridCol w:w="109"/>
        <w:gridCol w:w="211"/>
        <w:gridCol w:w="721"/>
        <w:gridCol w:w="159"/>
      </w:tblGrid>
      <w:tr>
        <w:trPr/>
        <w:tc>
          <w:tcPr>
            <w:tcW w:w="1964"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recorded in other comprehensive income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interest expense related to the amortization of the forward-starting interest rate swaps and treasury locks</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Investment Hedges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our foreign transactions in Canada and the United Kingdom, we currently have C$175.0 million and £14.5 million, respectively, outstanding on the Revolving Credit Facility, which funds were used to reduce the impact of exchange rate variations associated with our investments, and, accordingly, have been designated as a hedge of the net investment in such entities. As non-derivative net investment hedges, the impact of changes in foreign currency exchange rates on the principal balances are recognized as a cumulative translation adjustment within accumulated other comprehensive income. For the three and six months ended June 30, 2025, we recognized $8.4 million and $9.0 million in unrealized losses, respectively, related to such net investment hedges, and for the three and six months ended June 30, 2024, we recognized $1.2 million and $4.8 million, respectively, in unrealized gains related to such net investment hedges, which were recorded as a component of Foreign currency translation adjustments in the Statement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7" name="Frame3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9 — Fair Value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assets and liabilities measured at fair value on a recurring basis as of December 31, 2024. As of June 30, 2025, there were no assets or liabilities measured at fair value on a recurring basis.</w:t>
      </w:r>
    </w:p>
    <w:tbl>
      <w:tblPr>
        <w:tblW w:w="10103" w:type="dxa"/>
        <w:jc w:val="left"/>
        <w:tblInd w:w="0" w:type="dxa"/>
        <w:tblLayout w:type="fixed"/>
        <w:tblCellMar>
          <w:top w:w="28" w:type="dxa"/>
          <w:left w:w="28" w:type="dxa"/>
          <w:bottom w:w="28" w:type="dxa"/>
          <w:right w:w="28" w:type="dxa"/>
        </w:tblCellMar>
      </w:tblPr>
      <w:tblGrid>
        <w:gridCol w:w="1875"/>
        <w:gridCol w:w="1648"/>
        <w:gridCol w:w="1651"/>
        <w:gridCol w:w="338"/>
        <w:gridCol w:w="987"/>
        <w:gridCol w:w="174"/>
        <w:gridCol w:w="109"/>
        <w:gridCol w:w="109"/>
        <w:gridCol w:w="109"/>
        <w:gridCol w:w="213"/>
        <w:gridCol w:w="411"/>
        <w:gridCol w:w="110"/>
        <w:gridCol w:w="109"/>
        <w:gridCol w:w="109"/>
        <w:gridCol w:w="109"/>
        <w:gridCol w:w="211"/>
        <w:gridCol w:w="616"/>
        <w:gridCol w:w="109"/>
        <w:gridCol w:w="109"/>
        <w:gridCol w:w="109"/>
        <w:gridCol w:w="109"/>
        <w:gridCol w:w="213"/>
        <w:gridCol w:w="411"/>
        <w:gridCol w:w="155"/>
      </w:tblGrid>
      <w:tr>
        <w:trPr/>
        <w:tc>
          <w:tcPr>
            <w:tcW w:w="1875"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i/>
                <w:color w:val="000000"/>
                <w:sz w:val="20"/>
              </w:rPr>
            </w:pPr>
            <w:r>
              <w:rPr>
                <w:rFonts w:ascii="Times New Roman;serif" w:hAnsi="Times New Roman;serif"/>
                <w:b/>
                <w:i/>
                <w:color w:val="000000"/>
                <w:sz w:val="20"/>
              </w:rPr>
              <w:t>Financial assets: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Derivative instruments – forward-starting interest rate swaps </w:t>
            </w:r>
            <w:r>
              <w:rPr>
                <w:rFonts w:ascii="Times New Roman;serif" w:hAnsi="Times New Roman;serif"/>
                <w:b w:val="false"/>
                <w:i/>
                <w:color w:val="000000"/>
                <w:sz w:val="13"/>
              </w:rPr>
              <w:t>(1)</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60" w:after="283"/>
        <w:jc w:val="left"/>
        <w:rPr>
          <w:rFonts w:ascii="Times New Roman;serif" w:hAnsi="Times New Roman;serif"/>
          <w:b w:val="false"/>
          <w:i/>
          <w:color w:val="000000"/>
          <w:sz w:val="16"/>
        </w:rPr>
      </w:pPr>
      <w:r>
        <w:rPr>
          <w:rFonts w:ascii="Times New Roman;serif" w:hAnsi="Times New Roman;serif"/>
          <w:b w:val="false"/>
          <w:i/>
          <w:color w:val="000000"/>
          <w:sz w:val="16"/>
        </w:rPr>
        <w:t>(1) 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estimated fair values of our financial instruments as of June 30, 2025 and December 31, 2024 for which fair value is only disclosed are as follows:</w:t>
      </w:r>
    </w:p>
    <w:tbl>
      <w:tblPr>
        <w:tblW w:w="10205" w:type="dxa"/>
        <w:jc w:val="left"/>
        <w:tblInd w:w="0" w:type="dxa"/>
        <w:tblLayout w:type="fixed"/>
        <w:tblCellMar>
          <w:top w:w="28" w:type="dxa"/>
          <w:left w:w="28" w:type="dxa"/>
          <w:bottom w:w="28" w:type="dxa"/>
          <w:right w:w="28" w:type="dxa"/>
        </w:tblCellMar>
      </w:tblPr>
      <w:tblGrid>
        <w:gridCol w:w="1268"/>
        <w:gridCol w:w="1074"/>
        <w:gridCol w:w="1073"/>
        <w:gridCol w:w="223"/>
        <w:gridCol w:w="1143"/>
        <w:gridCol w:w="114"/>
        <w:gridCol w:w="109"/>
        <w:gridCol w:w="109"/>
        <w:gridCol w:w="109"/>
        <w:gridCol w:w="211"/>
        <w:gridCol w:w="1081"/>
        <w:gridCol w:w="109"/>
        <w:gridCol w:w="109"/>
        <w:gridCol w:w="109"/>
        <w:gridCol w:w="109"/>
        <w:gridCol w:w="223"/>
        <w:gridCol w:w="1143"/>
        <w:gridCol w:w="114"/>
        <w:gridCol w:w="109"/>
        <w:gridCol w:w="109"/>
        <w:gridCol w:w="109"/>
        <w:gridCol w:w="211"/>
        <w:gridCol w:w="1081"/>
        <w:gridCol w:w="156"/>
      </w:tblGrid>
      <w:tr>
        <w:trPr/>
        <w:tc>
          <w:tcPr>
            <w:tcW w:w="12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Financial assets:</w:t>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Investments in leases – financing receivables </w:t>
            </w:r>
            <w:r>
              <w:rPr>
                <w:rFonts w:ascii="Times New Roman;serif" w:hAnsi="Times New Roman;serif"/>
                <w:b w:val="false"/>
                <w:i/>
                <w:color w:val="000000"/>
                <w:sz w:val="13"/>
              </w:rPr>
              <w:t>(1)</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18,577,584 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18,003,966 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18,430,320 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17,723,171 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Investments in loans and securities </w:t>
            </w:r>
            <w:r>
              <w:rPr>
                <w:rFonts w:ascii="Times New Roman;serif" w:hAnsi="Times New Roman;serif"/>
                <w:b w:val="false"/>
                <w:i/>
                <w:color w:val="000000"/>
                <w:sz w:val="13"/>
              </w:rPr>
              <w:t>(2)</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2,369,049 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1,575,856 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Financial liabilities:</w:t>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Debt </w:t>
            </w:r>
            <w:r>
              <w:rPr>
                <w:rFonts w:ascii="Times New Roman;serif" w:hAnsi="Times New Roman;serif"/>
                <w:b w:val="false"/>
                <w:i/>
                <w:color w:val="000000"/>
                <w:sz w:val="13"/>
              </w:rPr>
              <w:t>(3)</w:t>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Grand/Mandalay Bay CMBS Debt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2,813,887 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2,800,544 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2,686,960 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13,784,867 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13,825,351 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13,783,499 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13,619,484 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(1)Represents our asset acquisitions structured as sale leaseback transactions. In accordance with ASC 842, since the lease agreements were determined to meet the definition of a sales-type lease and control of the asset is not considered to have been transferred to us, such lease agreements are accounted for as financings under ASC 310. Except as noted below, the fair value of these assets is based on significant “unobservable” market inputs and, as such, these fair value measurements are considered Level 3 of the fair value hierarchy.</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(2)The fair value of investments in loans is based on significant “unobservable” market inputs and, as such, these fair value measurements are considered Level 3 of the fair value hierarchy. The fair value of our senior secured notes was estimated using quoted prices for identical or similar liabilities in markets that are not active and, as such, these fair value measurements are considered Level 2 of the fair value hierarchy.</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(3)The fair value of our debt instruments was estimated using quoted prices for identical or similar liabilities in markets that are not active and, as such, these fair value measurements are considered Level 2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8" name="Frame3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10 — Commitments and Contingent Liabilities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from time to time, we may be subject to legal claims and administrative proceedings. As of June 30, 2025, we are not subject to any litigation that we believe could have, individually or in the aggregate, a material adverse effect on our business, financial condition or results of operations, liquidity or cash flows.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Lease Commitments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 xml:space="preserve">Operating Lease Commitments. </w:t>
      </w:r>
      <w:r>
        <w:rPr>
          <w:rFonts w:ascii="Times New Roman;serif" w:hAnsi="Times New Roman;serif"/>
          <w:b w:val="false"/>
          <w:color w:val="000000"/>
          <w:sz w:val="20"/>
        </w:rPr>
        <w:t xml:space="preserve">We are liable under operating leases for: (i) land at the Cascata golf course, which expires in 2038 and has three 10-year extension options, and (ii) our corporate headquarters in New York, NY, which expires in 2035 and has one five-year renewal option. </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 xml:space="preserve">Sub-Lease Commitments. </w:t>
      </w:r>
      <w:r>
        <w:rPr>
          <w:rFonts w:ascii="Times New Roman;serif" w:hAnsi="Times New Roman;serif"/>
          <w:b w:val="false"/>
          <w:color w:val="000000"/>
          <w:sz w:val="20"/>
        </w:rPr>
        <w:t>Certain of our acquisitions necessitate that we assume, as the lessee, ground and use leases that in certain cases are or may be integral to the operations of the property, the cost of which is passed to our tenants through our lease agreements, which require the tenants to pay all costs associated with such ground and use leases and provide for their direct payment to the landlord.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determined we are the primary obligor of certain of such ground and use leases and, accordingly, have presented these leases on a gross basis on our Balance Sheet and Statement of Operations.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ground and use leases determined to be operating leases, we recorded a sub-lease right-of-use assets in Other assets and sub-lease liabilities in Other liabilities. For ground and lease uses determined to be finance leases, we recorded a sales-type sub-lease in Other assets and finance sub-lease liability in Other liabilities.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balance and location in our Balance Sheet of the ground and use sub-leases as of June 30, 2025 and December 31, 2024:</w:t>
      </w:r>
    </w:p>
    <w:tbl>
      <w:tblPr>
        <w:tblW w:w="8261" w:type="dxa"/>
        <w:jc w:val="left"/>
        <w:tblInd w:w="0" w:type="dxa"/>
        <w:tblLayout w:type="fixed"/>
        <w:tblCellMar>
          <w:top w:w="28" w:type="dxa"/>
          <w:left w:w="28" w:type="dxa"/>
          <w:bottom w:w="28" w:type="dxa"/>
          <w:right w:w="28" w:type="dxa"/>
        </w:tblCellMar>
      </w:tblPr>
      <w:tblGrid>
        <w:gridCol w:w="1880"/>
        <w:gridCol w:w="1652"/>
        <w:gridCol w:w="1657"/>
        <w:gridCol w:w="234"/>
        <w:gridCol w:w="800"/>
        <w:gridCol w:w="121"/>
        <w:gridCol w:w="109"/>
        <w:gridCol w:w="109"/>
        <w:gridCol w:w="109"/>
        <w:gridCol w:w="309"/>
        <w:gridCol w:w="1056"/>
        <w:gridCol w:w="225"/>
      </w:tblGrid>
      <w:tr>
        <w:trPr/>
        <w:tc>
          <w:tcPr>
            <w:tcW w:w="188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(operating lease and sub-leases right-of-use assets)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(operating lease and sub-lease liabilities)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assets (sales-type sub-leases, net) </w:t>
            </w:r>
            <w:r>
              <w:rPr>
                <w:rFonts w:ascii="Times New Roman;serif" w:hAnsi="Times New Roman;serif"/>
                <w:b w:val="false"/>
                <w:i/>
                <w:color w:val="000000"/>
                <w:sz w:val="13"/>
              </w:rPr>
              <w:t>(1)</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842,776 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(finance sub-lease liabilities)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863,374 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w:t>
      </w:r>
    </w:p>
    <w:p>
      <w:pPr>
        <w:pStyle w:val="TextBody"/>
        <w:bidi w:val="0"/>
        <w:spacing w:lineRule="auto" w:line="288" w:before="60" w:after="283"/>
        <w:jc w:val="both"/>
        <w:rPr/>
      </w:pPr>
      <w:r>
        <w:rPr>
          <w:rFonts w:ascii="Times New Roman;serif" w:hAnsi="Times New Roman;serif"/>
          <w:b w:val="false"/>
          <w:i/>
          <w:color w:val="000000"/>
          <w:sz w:val="16"/>
        </w:rPr>
        <w:t xml:space="preserve">(1) As of June 30, 2025 and December 31, 2024, sales-type sub-leases are net of $21.3 million and $20.6 million of allowance for credit losses, respectively. Refer to </w:t>
      </w:r>
      <w:hyperlink w:anchor="if570836a181f43958dee02a390db0eaf_64">
        <w:r>
          <w:rPr>
            <w:rStyle w:val="InternetLink"/>
            <w:rFonts w:ascii="Times New Roman;serif" w:hAnsi="Times New Roman;serif"/>
            <w:b w:val="false"/>
            <w:i/>
            <w:color w:val="0000FF"/>
            <w:sz w:val="16"/>
            <w:u w:val="single"/>
          </w:rPr>
          <w:t>Note 5 – Allowance for Credit Losses</w:t>
        </w:r>
      </w:hyperlink>
      <w:r>
        <w:rPr>
          <w:color w:val="000000"/>
        </w:rPr>
        <w:t xml:space="preserve"> </w:t>
      </w:r>
      <w:r>
        <w:rPr>
          <w:rFonts w:ascii="Times New Roman;serif" w:hAnsi="Times New Roman;serif"/>
          <w:b w:val="false"/>
          <w:i/>
          <w:color w:val="000000"/>
          <w:sz w:val="16"/>
        </w:rPr>
        <w:t>for further details.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Total rental expense for operating lease commitments and total rental income and rental expense for operating and Finance sub-lease commitments and contractual rent expense under these agreements were as follows:</w:t>
      </w:r>
    </w:p>
    <w:tbl>
      <w:tblPr>
        <w:tblW w:w="7609" w:type="dxa"/>
        <w:jc w:val="left"/>
        <w:tblInd w:w="0" w:type="dxa"/>
        <w:tblLayout w:type="fixed"/>
        <w:tblCellMar>
          <w:top w:w="28" w:type="dxa"/>
          <w:left w:w="28" w:type="dxa"/>
          <w:bottom w:w="28" w:type="dxa"/>
          <w:right w:w="28" w:type="dxa"/>
        </w:tblCellMar>
      </w:tblPr>
      <w:tblGrid>
        <w:gridCol w:w="930"/>
        <w:gridCol w:w="815"/>
        <w:gridCol w:w="819"/>
        <w:gridCol w:w="271"/>
        <w:gridCol w:w="600"/>
        <w:gridCol w:w="140"/>
        <w:gridCol w:w="140"/>
        <w:gridCol w:w="140"/>
        <w:gridCol w:w="140"/>
        <w:gridCol w:w="271"/>
        <w:gridCol w:w="600"/>
        <w:gridCol w:w="140"/>
        <w:gridCol w:w="109"/>
        <w:gridCol w:w="109"/>
        <w:gridCol w:w="109"/>
        <w:gridCol w:w="214"/>
        <w:gridCol w:w="626"/>
        <w:gridCol w:w="110"/>
        <w:gridCol w:w="110"/>
        <w:gridCol w:w="110"/>
        <w:gridCol w:w="110"/>
        <w:gridCol w:w="214"/>
        <w:gridCol w:w="626"/>
        <w:gridCol w:w="156"/>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Rental expense </w:t>
            </w:r>
            <w:r>
              <w:rPr>
                <w:rFonts w:ascii="Times New Roman;serif" w:hAnsi="Times New Roman;serif"/>
                <w:b w:val="false"/>
                <w:i/>
                <w:color w:val="000000"/>
                <w:sz w:val="13"/>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rent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sub-leases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Rental income and expense </w:t>
            </w:r>
            <w:r>
              <w:rPr>
                <w:rFonts w:ascii="Times New Roman;serif" w:hAnsi="Times New Roman;serif"/>
                <w:b w:val="false"/>
                <w:i/>
                <w:color w:val="000000"/>
                <w:sz w:val="13"/>
              </w:rPr>
              <w:t>(2)</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rent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sub-leases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Rental income and expense </w:t>
            </w:r>
            <w:r>
              <w:rPr>
                <w:rFonts w:ascii="Times New Roman;serif" w:hAnsi="Times New Roman;serif"/>
                <w:b w:val="false"/>
                <w:i/>
                <w:color w:val="000000"/>
                <w:sz w:val="13"/>
              </w:rPr>
              <w:t>(2)</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rent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Total rental expense is included in golf operations and general and administrative expenses in our Statement of Operations.</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(2) Total rental income and rental expense for operating and finance sub-lease commitments are presented gross and included in Other income and Other expenses in our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785"/>
                <wp:effectExtent l="0" t="0" r="0" b="0"/>
                <wp:wrapNone/>
                <wp:docPr id="39" name="Frame3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future minimum lease commitments relating to the base lease rent portion of noncancelable operating leases and ground and use sub-leases at June 30, 2025 are as follows: </w:t>
      </w:r>
    </w:p>
    <w:tbl>
      <w:tblPr>
        <w:tblW w:w="10205" w:type="dxa"/>
        <w:jc w:val="left"/>
        <w:tblInd w:w="0" w:type="dxa"/>
        <w:tblLayout w:type="fixed"/>
        <w:tblCellMar>
          <w:top w:w="28" w:type="dxa"/>
          <w:left w:w="28" w:type="dxa"/>
          <w:bottom w:w="28" w:type="dxa"/>
          <w:right w:w="28" w:type="dxa"/>
        </w:tblCellMar>
      </w:tblPr>
      <w:tblGrid>
        <w:gridCol w:w="967"/>
        <w:gridCol w:w="820"/>
        <w:gridCol w:w="774"/>
        <w:gridCol w:w="109"/>
        <w:gridCol w:w="109"/>
        <w:gridCol w:w="109"/>
        <w:gridCol w:w="412"/>
        <w:gridCol w:w="1409"/>
        <w:gridCol w:w="214"/>
        <w:gridCol w:w="109"/>
        <w:gridCol w:w="109"/>
        <w:gridCol w:w="109"/>
        <w:gridCol w:w="460"/>
        <w:gridCol w:w="1576"/>
        <w:gridCol w:w="240"/>
        <w:gridCol w:w="109"/>
        <w:gridCol w:w="109"/>
        <w:gridCol w:w="109"/>
        <w:gridCol w:w="369"/>
        <w:gridCol w:w="1708"/>
        <w:gridCol w:w="275"/>
      </w:tblGrid>
      <w:tr>
        <w:trPr/>
        <w:tc>
          <w:tcPr>
            <w:tcW w:w="96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Sub-Lease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Financing Sub-Lease Commitments</w:t>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65,890 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2,629,124 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30,758 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34,330 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2,990,516 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Discounting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2,125,845 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21,429 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29,798 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864,671 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Discount rates </w:t>
            </w:r>
            <w:r>
              <w:rPr>
                <w:rFonts w:ascii="Times New Roman;serif" w:hAnsi="Times New Roman;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5.3% – 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2.6% – 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5.6% – 8.3%</w:t>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years</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The discount rates for the leases were determined based on the yield of our then current secured borrowings, adjusted to match borrowings of similar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11 — Stockholders' Equity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Stock</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Authorized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we have the authority to issue 1,400,000,000 shares of stock, consisting of 1,350,000,000 shares of common stock, $0.01 par value per share, and 50,000,000 shares of preferred stock, $0.01 par value per share.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Public Offerings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offer shares of our common stock through public offerings registered with the SEC. In connection with such offerings, we may issue and sell the offered shares of common stock upon settlement of the offering or, alternatively, enter into forward sale agreements with respect to all or a portion of the shares of common stock sold in such public offerings, pursuant to which the offered shares are borrowed by the forward sale purchasers and the issuance of such shares takes place upon settlement of the applicable forward sale agreement in accordance with its terms. There were no marketed public offerings of our common stock during the three months ended June 30, 2025 and 2024.</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At-the-Market Offering Program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May 6, 2024, we entered into an equity distribution agreement, pursuant to which we may sell, from time to time, up to an aggregate sales price of $2.0 billion of our common stock and concurrently terminated our previous equity distribution agreement (collectively under both equity distribution agreements, the “ATM Program”). Sales of common stock, if any, made pursuant to the ATM Program may be sold in negotiated transactions or transactions that are deemed to be “at the market” offerings, as defined in Rule 415 of the Securities Act. The ATM Program also provides that we may sell shares of our common stock under the ATM Program through forward sale agreements. Actual sales under the ATM Program will depend on a variety of factors including market conditions, the trading price of our common stock, our capital needs, and our determination of the appropriate sources of funding to meet such needs.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4785"/>
                <wp:effectExtent l="0" t="0" r="0" b="0"/>
                <wp:wrapNone/>
                <wp:docPr id="40" name="Frame3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activity under the ATM Program during the six months ended June 30, 2025 and 2024, all of which were sold subject to forward sale agreements, which we refer to as ATM forward sale agreements. </w:t>
      </w:r>
    </w:p>
    <w:tbl>
      <w:tblPr>
        <w:tblW w:w="10205" w:type="dxa"/>
        <w:jc w:val="left"/>
        <w:tblInd w:w="0" w:type="dxa"/>
        <w:tblLayout w:type="fixed"/>
        <w:tblCellMar>
          <w:top w:w="28" w:type="dxa"/>
          <w:left w:w="28" w:type="dxa"/>
          <w:bottom w:w="28" w:type="dxa"/>
          <w:right w:w="28" w:type="dxa"/>
        </w:tblCellMar>
      </w:tblPr>
      <w:tblGrid>
        <w:gridCol w:w="806"/>
        <w:gridCol w:w="587"/>
        <w:gridCol w:w="591"/>
        <w:gridCol w:w="504"/>
        <w:gridCol w:w="482"/>
        <w:gridCol w:w="337"/>
        <w:gridCol w:w="109"/>
        <w:gridCol w:w="109"/>
        <w:gridCol w:w="109"/>
        <w:gridCol w:w="324"/>
        <w:gridCol w:w="947"/>
        <w:gridCol w:w="167"/>
        <w:gridCol w:w="109"/>
        <w:gridCol w:w="109"/>
        <w:gridCol w:w="109"/>
        <w:gridCol w:w="225"/>
        <w:gridCol w:w="883"/>
        <w:gridCol w:w="116"/>
        <w:gridCol w:w="109"/>
        <w:gridCol w:w="109"/>
        <w:gridCol w:w="109"/>
        <w:gridCol w:w="348"/>
        <w:gridCol w:w="1017"/>
        <w:gridCol w:w="179"/>
        <w:gridCol w:w="109"/>
        <w:gridCol w:w="109"/>
        <w:gridCol w:w="109"/>
        <w:gridCol w:w="243"/>
        <w:gridCol w:w="954"/>
        <w:gridCol w:w="187"/>
      </w:tblGrid>
      <w:tr>
        <w:trPr/>
        <w:tc>
          <w:tcPr>
            <w:tcW w:w="80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 except share and per share data)</w:t>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Share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Forward Sales Price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Net Value</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2025 ATM Forward Sale Agreements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7,835,973 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252,840 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January 2024 ATM Forward Sale Agreement </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9,662,116 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302,411 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did not receive any proceeds from the sale of shares at the time we entered into each of the ATM forward sale agreements. We determined that the ATM forward sale agreements meet the criteria for equity classification and, therefore, are exempt from derivative accounting. We recorded the ATM forward sale agreements at fair value at inception, which we determined to be zero. Subsequent changes to fair value are not required under equity classification.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we had approximately 19.9 million forward shares remaining to be settled under our ATM Program. The net forward sales price per share of forward shares sold under the ATM Program was $31.31 and would result in us receiving approximately $621.5 million in net cash proceeds if we were to physically settle the shares. Alternatively, if we were to cash settle the shares under the ATM forward sale agreements, it would result in a cash payment of $25.6 million, or, if we were to net share settle the shares under the ATM forward sale agreements, it would result in us issuing approximately 785,808 shares of common stock. Following the settlement of forward shares subsequent to quarter-end on July 1, 2025 (as described below), we had approximately 10.2 million forward shares remaining to be settled under our ATM Program.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Forward Settlement Activity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was no settlement activity of the outstanding forward shares under our ATM Program during the three and six months ended June 30, 2025 and 2024. Subsequent to quarter-end, on July 1, 2025, we physically settled 9,662,116 forward shares under the ATM Program in exchange for total net settlement proceeds of approximately $296.0 million.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Common Stock Outstanding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issuance of outstanding shares of common stock, including restricted common stock:</w:t>
      </w:r>
    </w:p>
    <w:tbl>
      <w:tblPr>
        <w:tblW w:w="10205" w:type="dxa"/>
        <w:jc w:val="left"/>
        <w:tblInd w:w="0" w:type="dxa"/>
        <w:tblLayout w:type="fixed"/>
        <w:tblCellMar>
          <w:top w:w="28" w:type="dxa"/>
          <w:left w:w="28" w:type="dxa"/>
          <w:bottom w:w="28" w:type="dxa"/>
          <w:right w:w="28" w:type="dxa"/>
        </w:tblCellMar>
      </w:tblPr>
      <w:tblGrid>
        <w:gridCol w:w="2221"/>
        <w:gridCol w:w="1954"/>
        <w:gridCol w:w="1959"/>
        <w:gridCol w:w="109"/>
        <w:gridCol w:w="109"/>
        <w:gridCol w:w="109"/>
        <w:gridCol w:w="905"/>
        <w:gridCol w:w="431"/>
        <w:gridCol w:w="197"/>
        <w:gridCol w:w="197"/>
        <w:gridCol w:w="197"/>
        <w:gridCol w:w="197"/>
        <w:gridCol w:w="905"/>
        <w:gridCol w:w="431"/>
        <w:gridCol w:w="284"/>
      </w:tblGrid>
      <w:tr>
        <w:trPr/>
        <w:tc>
          <w:tcPr>
            <w:tcW w:w="2221"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Common Stock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Beginning Balance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1,056,366,685 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1,042,702,763 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and unrestricted common stock under the stock incentive program,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339,078 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468,980 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Ending Balance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1,056,705,763 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1,043,171,743 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Distributions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Dividends declared (on a per share basis) during the six months ended June 30, 2025 and 2024 were as follows:</w:t>
      </w:r>
    </w:p>
    <w:tbl>
      <w:tblPr>
        <w:tblW w:w="9292"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404"/>
        <w:gridCol w:w="404"/>
        <w:gridCol w:w="406"/>
        <w:gridCol w:w="109"/>
        <w:gridCol w:w="109"/>
        <w:gridCol w:w="109"/>
        <w:gridCol w:w="955"/>
        <w:gridCol w:w="955"/>
        <w:gridCol w:w="970"/>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2025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2025 –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9262"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55"/>
        <w:gridCol w:w="955"/>
        <w:gridCol w:w="970"/>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2024</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2024 –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2024 –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4785"/>
                <wp:effectExtent l="0" t="0" r="0" b="0"/>
                <wp:wrapNone/>
                <wp:docPr id="41" name="Frame4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12 — Earnings Per Share and Earnings Per Unit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Earnings Per Share</w:t>
      </w:r>
    </w:p>
    <w:p>
      <w:pPr>
        <w:pStyle w:val="TextBody"/>
        <w:bidi w:val="0"/>
        <w:spacing w:lineRule="auto" w:line="288" w:before="180" w:after="283"/>
        <w:jc w:val="both"/>
        <w:rPr/>
      </w:pPr>
      <w:r>
        <w:rPr>
          <w:rFonts w:ascii="Times New Roman;serif" w:hAnsi="Times New Roman;serif"/>
          <w:b w:val="false"/>
          <w:color w:val="000000"/>
          <w:sz w:val="20"/>
        </w:rPr>
        <w:t xml:space="preserve">Basic earnings per share is computed by dividing net income attributable to common stockholders by the weighted-average number of shares of common stock outstanding during the period. Diluted earnings per share reflects the additional dilution for all potentially dilutive securities such as stock options, unvested restricted shares, unvested performance-based restricted shares and the shares to be issued by us upon settlement of any outstanding forward sale agreements for the period such dilutive security is outstanding. The shares issuable upon settlement of any outstanding forward sale agreements, as described in </w:t>
      </w:r>
      <w:hyperlink w:anchor="if570836a181f43958dee02a390db0eaf_82">
        <w:r>
          <w:rPr>
            <w:rStyle w:val="InternetLink"/>
            <w:rFonts w:ascii="Times New Roman;serif" w:hAnsi="Times New Roman;serif"/>
            <w:b w:val="false"/>
            <w:color w:val="0000FF"/>
            <w:sz w:val="20"/>
            <w:u w:val="single"/>
          </w:rPr>
          <w:t>Note 11 – Stockholder’s Equity</w:t>
        </w:r>
      </w:hyperlink>
      <w:r>
        <w:rPr>
          <w:rFonts w:ascii="Times New Roman;serif" w:hAnsi="Times New Roman;serif"/>
          <w:b w:val="false"/>
          <w:color w:val="000000"/>
          <w:sz w:val="20"/>
        </w:rPr>
        <w:t xml:space="preserve">, are reflected in the diluted earnings per share calculations using the treasury stock method for the period outstanding prior to settlement. Under this method, the number of shares of our common stock used in calculating diluted earnings per share is deemed to be increased by the excess, if any, of the number of shares of common stock that would be issued upon full physical settlement of the shares under any outstanding forward sale agreements for the period prior to settlement over the number of shares of common stock that could be purchased by us in the market (based on the average market price during the period prior to settlement) using the proceeds receivable upon full physical settlement (based on the adjusted forward sales price immediately prior to settlement).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the weighted-average shares of common stock outstanding used in the calculation of basic earnings per share to the weighted-average shares of common stock outstanding used in the calculation of diluted earnings per share:</w:t>
      </w:r>
    </w:p>
    <w:tbl>
      <w:tblPr>
        <w:tblW w:w="10205" w:type="dxa"/>
        <w:jc w:val="left"/>
        <w:tblInd w:w="0" w:type="dxa"/>
        <w:tblLayout w:type="fixed"/>
        <w:tblCellMar>
          <w:top w:w="28" w:type="dxa"/>
          <w:left w:w="28" w:type="dxa"/>
          <w:bottom w:w="28" w:type="dxa"/>
          <w:right w:w="28" w:type="dxa"/>
        </w:tblCellMar>
      </w:tblPr>
      <w:tblGrid>
        <w:gridCol w:w="1463"/>
        <w:gridCol w:w="1204"/>
        <w:gridCol w:w="1209"/>
        <w:gridCol w:w="678"/>
        <w:gridCol w:w="298"/>
        <w:gridCol w:w="210"/>
        <w:gridCol w:w="210"/>
        <w:gridCol w:w="210"/>
        <w:gridCol w:w="210"/>
        <w:gridCol w:w="678"/>
        <w:gridCol w:w="298"/>
        <w:gridCol w:w="210"/>
        <w:gridCol w:w="109"/>
        <w:gridCol w:w="109"/>
        <w:gridCol w:w="109"/>
        <w:gridCol w:w="661"/>
        <w:gridCol w:w="315"/>
        <w:gridCol w:w="192"/>
        <w:gridCol w:w="192"/>
        <w:gridCol w:w="192"/>
        <w:gridCol w:w="192"/>
        <w:gridCol w:w="661"/>
        <w:gridCol w:w="315"/>
        <w:gridCol w:w="280"/>
      </w:tblGrid>
      <w:tr>
        <w:trPr/>
        <w:tc>
          <w:tcPr>
            <w:tcW w:w="146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Determination of shares: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1,056,223 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1,042,651 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1,056,118 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1,042,530 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settlement of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of common stock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1,057,271 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1,042,960 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1,056,852 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1,043,138 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73"/>
        <w:gridCol w:w="1306"/>
        <w:gridCol w:w="1314"/>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67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 except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1,331,318 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1,331,318 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of common stock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1,043,138 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Earnings Per Unit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section presents the basic earnings per unit (“EPU”) and diluted EPU of VICI OP, our operating partnership and the direct parent and 100% interest holder in VICI LP. VICI LP’s interests are not expressed in units. However, given that VICI OP has a unit ownership structure and the financial information of VICI OP is substantially identical with that of VICI LP, we have elected to present the EPU of VICI OP. Basic EPU is computed by dividing net income attributable to partners’ capital by the weighted-average number of units outstanding during the period. In accordance with the VICI OP limited liability company agreement, for each share of common stock issued at VICI, a corresponding unit is issued by VICI OP. Accordingly, diluted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84785"/>
                <wp:effectExtent l="0" t="0" r="0" b="0"/>
                <wp:wrapNone/>
                <wp:docPr id="42" name="Frame4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EPU reflects the additional dilution for all potentially dilutive units resulting from potentially dilutive VICI stock issuances, such as options, unvested restricted stock awards, unvested performance-based restricted stock unit awards and units to be issued by us upon settlement of any outstanding forward sale agreements of VICI for the period such dilutive security is outstanding. The units issuable upon settlement of any outstanding forward sale agreements of VICI are reflected in the diluted EPU calculations using the treasury stock method for the period outstanding prior to settlement. Under this method, the number of units used in calculating diluted EPU is deemed to be increased by the excess, if any, of the number of units that would be issued upon full physical settlement of the units under any outstanding forward sale agreements for the period prior to settlement over the number of shares of VICI common stock that could be purchased by us in the market (based on the average market price during the period prior to settlement) using the proceeds receivable upon full physical settlement (based on the adjusted forward sales price immediately prior to settlement). Upon VICI’s physical settlement of the shares of VICI common stock under the outstanding forward sale agreement, the delivery of shares of VICI common stock resulted in an increase in the number of VICI OP Units outstanding and resulting dilution to EPU.</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the weighted-average units outstanding used in the calculation of basic EPU to the weighted-average units outstanding used in the calculation of diluted EPU:</w:t>
      </w:r>
    </w:p>
    <w:tbl>
      <w:tblPr>
        <w:tblW w:w="10205" w:type="dxa"/>
        <w:jc w:val="left"/>
        <w:tblInd w:w="0" w:type="dxa"/>
        <w:tblLayout w:type="fixed"/>
        <w:tblCellMar>
          <w:top w:w="28" w:type="dxa"/>
          <w:left w:w="28" w:type="dxa"/>
          <w:bottom w:w="28" w:type="dxa"/>
          <w:right w:w="28" w:type="dxa"/>
        </w:tblCellMar>
      </w:tblPr>
      <w:tblGrid>
        <w:gridCol w:w="1374"/>
        <w:gridCol w:w="1153"/>
        <w:gridCol w:w="1158"/>
        <w:gridCol w:w="678"/>
        <w:gridCol w:w="298"/>
        <w:gridCol w:w="231"/>
        <w:gridCol w:w="231"/>
        <w:gridCol w:w="231"/>
        <w:gridCol w:w="231"/>
        <w:gridCol w:w="678"/>
        <w:gridCol w:w="298"/>
        <w:gridCol w:w="231"/>
        <w:gridCol w:w="109"/>
        <w:gridCol w:w="109"/>
        <w:gridCol w:w="109"/>
        <w:gridCol w:w="661"/>
        <w:gridCol w:w="315"/>
        <w:gridCol w:w="209"/>
        <w:gridCol w:w="209"/>
        <w:gridCol w:w="209"/>
        <w:gridCol w:w="209"/>
        <w:gridCol w:w="661"/>
        <w:gridCol w:w="315"/>
        <w:gridCol w:w="298"/>
      </w:tblGrid>
      <w:tr>
        <w:trPr/>
        <w:tc>
          <w:tcPr>
            <w:tcW w:w="137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Determination of units:</w:t>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units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1,068,454 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1,054,882 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1,068,350 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1,054,761 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VICI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settlement of VICI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units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1,069,502 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1,055,191 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1,069,084 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1,055,369 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85" w:type="dxa"/>
        <w:jc w:val="left"/>
        <w:tblInd w:w="0" w:type="dxa"/>
        <w:tblLayout w:type="fixed"/>
        <w:tblCellMar>
          <w:top w:w="28" w:type="dxa"/>
          <w:left w:w="28" w:type="dxa"/>
          <w:bottom w:w="28" w:type="dxa"/>
          <w:right w:w="28" w:type="dxa"/>
        </w:tblCellMar>
      </w:tblPr>
      <w:tblGrid>
        <w:gridCol w:w="1112"/>
        <w:gridCol w:w="978"/>
        <w:gridCol w:w="98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 except per unit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partners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units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EPU</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partners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units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EPU</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13 — Stock-Based Compensation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2017 Stock Incentive Plan (the “Plan”) is designed to provide long-term equity-based compensation to our directors and employees. The Plan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June 30, 2025, approximately 9.0 million shares of common stock remained available for issuance by us as equity awards under the Plan.</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84785"/>
                <wp:effectExtent l="0" t="0" r="0" b="0"/>
                <wp:wrapNone/>
                <wp:docPr id="43" name="Frame4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80" w:after="283"/>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stock-based compensation expense recorded as General and administrative expense in the Statement of Operations:</w:t>
      </w:r>
    </w:p>
    <w:tbl>
      <w:tblPr>
        <w:tblW w:w="8046" w:type="dxa"/>
        <w:jc w:val="left"/>
        <w:tblInd w:w="0" w:type="dxa"/>
        <w:tblLayout w:type="fixed"/>
        <w:tblCellMar>
          <w:top w:w="28" w:type="dxa"/>
          <w:left w:w="28" w:type="dxa"/>
          <w:bottom w:w="28" w:type="dxa"/>
          <w:right w:w="28" w:type="dxa"/>
        </w:tblCellMar>
      </w:tblPr>
      <w:tblGrid>
        <w:gridCol w:w="1085"/>
        <w:gridCol w:w="954"/>
        <w:gridCol w:w="961"/>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5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activity of our time-based restricted stock and performance-based restricted stock units:</w:t>
      </w:r>
    </w:p>
    <w:tbl>
      <w:tblPr>
        <w:tblW w:w="10205" w:type="dxa"/>
        <w:jc w:val="left"/>
        <w:tblInd w:w="0" w:type="dxa"/>
        <w:tblLayout w:type="fixed"/>
        <w:tblCellMar>
          <w:top w:w="28" w:type="dxa"/>
          <w:left w:w="28" w:type="dxa"/>
          <w:bottom w:w="28" w:type="dxa"/>
          <w:right w:w="28" w:type="dxa"/>
        </w:tblCellMar>
      </w:tblPr>
      <w:tblGrid>
        <w:gridCol w:w="913"/>
        <w:gridCol w:w="723"/>
        <w:gridCol w:w="728"/>
        <w:gridCol w:w="258"/>
        <w:gridCol w:w="260"/>
        <w:gridCol w:w="208"/>
        <w:gridCol w:w="189"/>
        <w:gridCol w:w="189"/>
        <w:gridCol w:w="189"/>
        <w:gridCol w:w="552"/>
        <w:gridCol w:w="1615"/>
        <w:gridCol w:w="285"/>
        <w:gridCol w:w="109"/>
        <w:gridCol w:w="109"/>
        <w:gridCol w:w="109"/>
        <w:gridCol w:w="274"/>
        <w:gridCol w:w="245"/>
        <w:gridCol w:w="185"/>
        <w:gridCol w:w="185"/>
        <w:gridCol w:w="185"/>
        <w:gridCol w:w="185"/>
        <w:gridCol w:w="537"/>
        <w:gridCol w:w="1570"/>
        <w:gridCol w:w="403"/>
      </w:tblGrid>
      <w:tr>
        <w:trPr/>
        <w:tc>
          <w:tcPr>
            <w:tcW w:w="91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Incentive and Time-Based Restricted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Performance-Based Restricted Stock Units</w:t>
            </w:r>
          </w:p>
        </w:tc>
      </w:tr>
      <w:tr>
        <w:trPr/>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share/unit data)</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period</w:t>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end of period</w:t>
            </w:r>
          </w:p>
        </w:tc>
        <w:tc>
          <w:tcPr>
            <w:tcW w:w="5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13"/>
        <w:gridCol w:w="723"/>
        <w:gridCol w:w="728"/>
        <w:gridCol w:w="258"/>
        <w:gridCol w:w="260"/>
        <w:gridCol w:w="208"/>
        <w:gridCol w:w="189"/>
        <w:gridCol w:w="189"/>
        <w:gridCol w:w="189"/>
        <w:gridCol w:w="552"/>
        <w:gridCol w:w="1615"/>
        <w:gridCol w:w="285"/>
        <w:gridCol w:w="109"/>
        <w:gridCol w:w="109"/>
        <w:gridCol w:w="109"/>
        <w:gridCol w:w="274"/>
        <w:gridCol w:w="245"/>
        <w:gridCol w:w="185"/>
        <w:gridCol w:w="185"/>
        <w:gridCol w:w="185"/>
        <w:gridCol w:w="185"/>
        <w:gridCol w:w="537"/>
        <w:gridCol w:w="1570"/>
        <w:gridCol w:w="403"/>
      </w:tblGrid>
      <w:tr>
        <w:trPr/>
        <w:tc>
          <w:tcPr>
            <w:tcW w:w="91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2024</w:t>
            </w:r>
          </w:p>
        </w:tc>
      </w:tr>
      <w:tr>
        <w:trPr/>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Incentive and Time-Based Restricted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Performance-Based Restricted Stock Units</w:t>
            </w:r>
          </w:p>
        </w:tc>
      </w:tr>
      <w:tr>
        <w:trPr/>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share/unit data)</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period</w:t>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end of period</w:t>
            </w:r>
          </w:p>
        </w:tc>
        <w:tc>
          <w:tcPr>
            <w:tcW w:w="5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there was $28.1 million of unrecognized compensation cost related to non-vested stock-based compensation arrangements under the Plan. This cost is expected to be recognized over a weighted average period of 2.0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14 — Segment Information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consist of real estate investment activities, which represent substantially all of our business. Accordingly, all of our operations have been considered to represent one operating segment and one reportable segment. Our CODM is Edward B. Pitoniak, our CEO, who assesses the performance of our Company using consolidated Net income.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 monthly basis, the CODM reviews the consolidated income statement, including the primary drivers of changes against the prior period, which allows him to actively monitor and review our revenues and expenses. Given the relatively predictable nature of our cash flows due to the net lease structure of our real estate portfolio, the CODM’s primary focus when reviewing the consolidated income statement is monitoring changes in the line items in the Statement of Operations as compared to the prior period and to evaluate total general and administrative expenses against the Company’s approved budget. The CODM does not review assets at a different asset level or category than the amounts disclosed in the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84785"/>
                <wp:effectExtent l="0" t="0" r="0" b="0"/>
                <wp:wrapNone/>
                <wp:docPr id="44" name="Frame4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Item 2.        Management’s Discussion and Analysis of Financial Condition and Results of Operations</w:t>
      </w:r>
    </w:p>
    <w:p>
      <w:pPr>
        <w:pStyle w:val="TextBody"/>
        <w:bidi w:val="0"/>
        <w:spacing w:lineRule="auto" w:line="288" w:before="180" w:after="283"/>
        <w:jc w:val="both"/>
        <w:rPr/>
      </w:pPr>
      <w:r>
        <w:rPr>
          <w:rFonts w:ascii="Times New Roman;serif" w:hAnsi="Times New Roman;serif"/>
          <w:b w:val="false"/>
          <w:i/>
          <w:color w:val="000000"/>
          <w:sz w:val="20"/>
        </w:rPr>
        <w:t xml:space="preserve">The following discussion and analysis of the financial position and operating results of VICI Properties Inc. and VICI Properties L.P. for the three and six months ended June 30, 2025 should be read in conjunction with the Financial Statements and related notes thereto and other financial information contained elsewhere in this Quarterly Report on Form 10-Q and the audited consolidated financial statements and related notes for the year ended December 31, 2024, which were included in our </w:t>
      </w:r>
      <w:hyperlink r:id="rId4">
        <w:r>
          <w:rPr>
            <w:rStyle w:val="InternetLink"/>
            <w:rFonts w:ascii="Times New Roman;serif" w:hAnsi="Times New Roman;serif"/>
            <w:b w:val="false"/>
            <w:i/>
            <w:color w:val="0000FF"/>
            <w:sz w:val="20"/>
            <w:u w:val="single"/>
          </w:rPr>
          <w:t>Annual Report on Form 10-K for the year ended December 31, 2024</w:t>
        </w:r>
      </w:hyperlink>
      <w:r>
        <w:rPr>
          <w:rFonts w:ascii="Times New Roman;serif" w:hAnsi="Times New Roman;serif"/>
          <w:b w:val="false"/>
          <w:i/>
          <w:color w:val="000000"/>
          <w:sz w:val="20"/>
        </w:rPr>
        <w:t xml:space="preserve">. All defined terms included herein have the same meaning as those set forth in the </w:t>
      </w:r>
      <w:hyperlink w:anchor="if570836a181f43958dee02a390db0eaf_46">
        <w:r>
          <w:rPr>
            <w:rStyle w:val="InternetLink"/>
            <w:rFonts w:ascii="Times New Roman;serif" w:hAnsi="Times New Roman;serif"/>
            <w:b w:val="false"/>
            <w:i/>
            <w:color w:val="0000FF"/>
            <w:sz w:val="20"/>
            <w:u w:val="single"/>
          </w:rPr>
          <w:t>Notes to the Consolidated Financial Statements</w:t>
        </w:r>
      </w:hyperlink>
      <w:r>
        <w:rPr>
          <w:color w:val="000000"/>
        </w:rPr>
        <w:t xml:space="preserve"> </w:t>
      </w:r>
      <w:r>
        <w:rPr>
          <w:rFonts w:ascii="Times New Roman;serif" w:hAnsi="Times New Roman;serif"/>
          <w:b w:val="false"/>
          <w:i/>
          <w:color w:val="000000"/>
          <w:sz w:val="20"/>
        </w:rPr>
        <w:t xml:space="preserve">contained within this Quarterly Report on Form 10-Q. </w:t>
      </w:r>
    </w:p>
    <w:p>
      <w:pPr>
        <w:pStyle w:val="TextBody"/>
        <w:bidi w:val="0"/>
        <w:spacing w:lineRule="auto" w:line="288" w:before="240" w:after="60"/>
        <w:jc w:val="center"/>
        <w:rPr>
          <w:rFonts w:ascii="Times New Roman;serif" w:hAnsi="Times New Roman;serif"/>
          <w:b/>
          <w:color w:val="000000"/>
          <w:sz w:val="22"/>
        </w:rPr>
      </w:pPr>
      <w:r>
        <w:rPr>
          <w:rFonts w:ascii="Times New Roman;serif" w:hAnsi="Times New Roman;serif"/>
          <w:b/>
          <w:color w:val="000000"/>
          <w:sz w:val="22"/>
        </w:rPr>
        <w:t>CAUTIONARY NOTE REGARDING FORWARD-LOOKING STATEMENTS</w:t>
      </w:r>
    </w:p>
    <w:p>
      <w:pPr>
        <w:pStyle w:val="TextBody"/>
        <w:bidi w:val="0"/>
        <w:spacing w:lineRule="auto" w:line="288" w:before="240" w:after="60"/>
        <w:jc w:val="both"/>
        <w:rPr>
          <w:rFonts w:ascii="Times New Roman;serif" w:hAnsi="Times New Roman;serif"/>
          <w:b w:val="false"/>
          <w:color w:val="000000"/>
          <w:sz w:val="20"/>
        </w:rPr>
      </w:pPr>
      <w:r>
        <w:rPr>
          <w:rFonts w:ascii="Times New Roman;serif" w:hAnsi="Times New Roman;serif"/>
          <w:b w:val="false"/>
          <w:color w:val="000000"/>
          <w:sz w:val="20"/>
        </w:rPr>
        <w:t>Certain statements in this Quarterly Report on Form 10-Q, including statements such as “anticipate,” “believe,” “estimate,” “expect,” “intend,” “plan,” “project,” “target,” “can,” “could,” “may,” “should,” “will,” “would” or similar expressions, constitute “forward-looking statements” within the meaning of the federal securities laws. Forward-looking statements are based on our current plans, expectations and projections about future events. We therefore caution you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the impact of changes in general economic conditions and market developments, including inflation, interest rate changes and volatility, tariffs and trade barriers, supply chain disruptions, changes in consumer spending, consumer confidence levels, and unemployment levels, and depressed real estate prices resulting from the severity and duration of any downturn or recession in the U.S. or global economy; our ability to successfully pursue and consummate transactions, including investments in, and acquisitions of, real estate and to obtain debt financing for such investments at attractive interest rates, or at all; risks associated with our completed transactions, including our ability or failure to realize the anticipated benefits thereof; our dependence on our tenants at our properties and their affiliates that serve as guarantors of the lease payments, and the negative consequences any material adverse effect on their respective businesses could have on us; the possibility that any future transactions may not be consummated on the terms or timeframes contemplated, or at all, including our ability to obtain the financing necessary to complete any acquisitions on the terms we expect in a timely manner, or at all; the ability of the parties to satisfy the conditions set forth in the definitive transaction documents, including the receipt of, or delays in obtaining, governmental and regulatory approvals and consents required to consummate such transactions, or other delays or impediments to completing the transactions; the anticipated benefits of certain arrangements with certain tenants in connection with our funding of “same store” capital improvements in exchange for increased rent pursuant to the terms of our agreements with such tenants, which we refer to as the Partner Property Growth Fund strategy; our decision and ability to exercise our purchase rights under our put-call agreements, call agreements, right of first refusal agreements and right of first offer agreements; our borrowers’ ability to repay their outstanding loan obligations to us; our dependence on the gaming industry; our ability to pursue our business and growth strategies may be limited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the ability of our tenants to obtain and maintain regulatory approvals in connection with the operation of our properties, or the imposition of conditions to such regulatory approvals; the possibility that our tenants may choose not to renew their respective lease agreements following the initial or subsequent terms of the leases; restrictions on our ability to sell our properties subject to the lease agreements; our tenants and any guarantors’ historical results may not be a reliable indicator of their future results; our substantial amount of indebtedness and ability to service, refinance (at attractive interest rates, or at all), and otherwise fulfill our obligations under such indebtedness; our historical financial information may not be reliable indicators of our future results of operations, financial condition and cash flows; the possibility that we identify significant environmental, tax, legal or other issues, including additional costs or liabilities, that materially and adversely impact the value of assets acquired or secured as collateral (or other benefits we expect to receive) in any of our completed transactions; the impact of changes to tax laws and regulations, including U.S. federal income tax laws, state tax laws or global tax laws; the impact of changes in governmental or regulatory actions and initiatives; the possibility of adverse tax consequences as a result of our completed transactions, including pursuant to tax protection agreements to which we are a party; increased volatility in our stock price, including as a result of our completed transactions; our inability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84785"/>
                <wp:effectExtent l="0" t="0" r="0" b="0"/>
                <wp:wrapNone/>
                <wp:docPr id="45" name="Frame4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maintain our qualification for taxation as a REIT; the impact of climate change, natural disasters or other severe weather events, war or conflict, political and public health conditions, uncertainty or civil unrest, violence or terrorist activities or threats on our properties, or in areas where our properties are located and changes in economic conditions or heightened travel security, and any measures instituted in response to these events; the loss of the services of key personnel; the inability to attract, retain and motivate employees; the costs and liabilities associated with environmental compliance; failure to establish and maintain an effective system of integrated internal controls; the risks related to us or our tenants not having adequate insurance to cover potential losses; the potential impact on the amount of our cash distributions if we determine to sell or divest any of our properties in the future or are unable to redeploy capital returned from investments at attractive rates, or at all; our ability to continue to make distributions to holders of our common stock or maintain anticipated levels of distributions over time, including our reliance on distributions received from our subsidiaries, including VICI OP, to make such distributions to our stockholders; 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and additional factors discussed herein and listed from time to time as “Risk Factors” in our filings with the SEC, including without limitation, in our subsequent reports on Form 10-K, Form 10-Q and Form 8-K.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Any of the assumptions underlying forward-looking statements could be inaccurate. You are cautioned not to place undue reliance on any forward-looking statements. All forward-looking statements are made as of the date of this Quarterly Report on Form 10-Q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OVERVIEW</w:t>
      </w:r>
    </w:p>
    <w:p>
      <w:pPr>
        <w:pStyle w:val="TextBody"/>
        <w:bidi w:val="0"/>
        <w:spacing w:lineRule="auto" w:line="288" w:before="180" w:after="283"/>
        <w:jc w:val="both"/>
        <w:rPr/>
      </w:pPr>
      <w:r>
        <w:rPr>
          <w:rFonts w:ascii="Times New Roman;serif" w:hAnsi="Times New Roman;serif"/>
          <w:b w:val="false"/>
          <w:color w:val="000000"/>
          <w:sz w:val="20"/>
        </w:rPr>
        <w:t xml:space="preserve">We are primarily engaged in the business of owning and acquiring gaming, hospitality, wellness, entertainment and leisure destinations, subject to long-term triple-net leases. We own 93 experiential assets across a geographically diverse portfolio consisting of 54 gaming properties and 39 other experiential properties across the United States and Canada, including Caesars Palace Las Vegas, MGM Grand and the Venetian Resort, three of the most iconic entertainment facilities on the Las Vegas Strip. Our gaming and entertainment facilities are leased to leading brands that seek to drive consumer loyalty and value with guests through superior services, experiences, products and continuous innovation. Across approximately </w:t>
      </w:r>
      <w:r>
        <w:rPr>
          <w:rFonts w:ascii="Times New Roman;serif" w:hAnsi="Times New Roman;serif"/>
          <w:b w:val="false"/>
          <w:color w:val="000000"/>
          <w:sz w:val="20"/>
          <w:shd w:fill="FFFFFF" w:val="clear"/>
        </w:rPr>
        <w:t xml:space="preserve">127 </w:t>
      </w:r>
      <w:r>
        <w:rPr>
          <w:rFonts w:ascii="Times New Roman;serif" w:hAnsi="Times New Roman;serif"/>
          <w:b w:val="false"/>
          <w:color w:val="000000"/>
          <w:sz w:val="20"/>
        </w:rPr>
        <w:t>million square feet, our well-maintained properties are curren</w:t>
      </w:r>
      <w:r>
        <w:rPr>
          <w:rFonts w:ascii="Times New Roman;serif" w:hAnsi="Times New Roman;serif"/>
          <w:b w:val="false"/>
          <w:color w:val="000000"/>
          <w:sz w:val="20"/>
          <w:shd w:fill="FFFFFF" w:val="clear"/>
        </w:rPr>
        <w:t>tly located across urban, destination and drive-to markets in twenty-six states and Canada, contain approximately 60,300 hotel rooms and feature over 500 restaurants, bars, nightclubs and sportsbooks.</w:t>
      </w:r>
      <w:r>
        <w:rPr>
          <w:color w:val="000000"/>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our properties are 100% leased with a weighted average lease term based on contractual rent, including extension options, of approximately 40.2 years.</w:t>
      </w:r>
    </w:p>
    <w:p>
      <w:pPr>
        <w:pStyle w:val="TextBody"/>
        <w:bidi w:val="0"/>
        <w:spacing w:lineRule="auto" w:line="288" w:before="180" w:after="283"/>
        <w:jc w:val="both"/>
        <w:rPr/>
      </w:pPr>
      <w:r>
        <w:rPr>
          <w:rFonts w:ascii="Times New Roman;serif" w:hAnsi="Times New Roman;serif"/>
          <w:b w:val="false"/>
          <w:color w:val="000000"/>
          <w:sz w:val="20"/>
        </w:rPr>
        <w:t>We also have a growing array of real estate and financing partnerships with leading developers and operators in other experiential sectors, including Cabot, Cain International, Canyon Ranch, Chelsea Piers, Great Wolf Resorts, Homefield, Kalahari Resorts and Lucky Strike Entertainment. This portfolio includes certain real estate debt investments that we have originated for strategic reasons, primarily in connection with transactions that either do or may provide the potential to convert our investment into the ownership of certain of the underlying real estate in the future. In addition, we own approximately 33 acres of undeveloped or underdeveloped land on and adjacent to the Las Vegas Strip that is leased to Caesars, which we may look to monetize as appropriate.</w:t>
      </w:r>
      <w:r>
        <w:rPr>
          <w:color w:val="000000"/>
          <w:shd w:fill="FFFFFF" w:val="clear"/>
        </w:rPr>
        <w:t xml:space="preserve"> </w:t>
      </w:r>
      <w:r>
        <w:rPr>
          <w:rFonts w:ascii="Times New Roman;serif" w:hAnsi="Times New Roman;serif"/>
          <w:b w:val="false"/>
          <w:color w:val="000000"/>
          <w:sz w:val="20"/>
        </w:rPr>
        <w:t xml:space="preserve">VICI also owns four championship golf courses located near certain of our properties, two of which are in close proximity to the Las Vegas Strip.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portfolio is competitively positioned and well-maintained. Pursuant to the terms of our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Our long-term triple-net leases provide our tenants with complete control over management at our leased properties, including sole responsibility for all operations and related expenses, including property taxes, insurance and maintenance, repair, improvement and other capital expenditures, as well as over the implementation of environmental sustainability and other initiatives.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our operations as a REIT for U.S. federal income tax purposes. We generally will not be subject to U.S. federal income taxes on our taxable income to the extent that we annually distribute all of our net taxable income to stockholders and maintain our qualification as a REIT. We believe VICI’s election of REIT status, combined with the income generation from the lease agreements and loans, will enhance our ability to make distributions to our stockholders, providing investors with current income as well as long-term growth, subject to the macroeconomic environment, other global events and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84785"/>
                <wp:effectExtent l="0" t="0" r="0" b="0"/>
                <wp:wrapNone/>
                <wp:docPr id="46" name="Frame4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conditions more broadly. We conduct our real property business through VICI OP and our golf course business through a TRS, VICI Golf.</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included in this Quarterly Report on Form 10-Q is our consolidated results (including the real property business and the golf course business) for the three and six months ended June 30, 2025.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Impact of Material Trends on Our Business </w:t>
      </w:r>
    </w:p>
    <w:p>
      <w:pPr>
        <w:pStyle w:val="TextBody"/>
        <w:bidi w:val="0"/>
        <w:spacing w:lineRule="auto" w:line="288" w:before="180" w:after="283"/>
        <w:jc w:val="both"/>
        <w:rPr/>
      </w:pPr>
      <w:r>
        <w:rPr>
          <w:rFonts w:ascii="Times New Roman;serif" w:hAnsi="Times New Roman;serif"/>
          <w:b w:val="false"/>
          <w:color w:val="000000"/>
          <w:sz w:val="20"/>
        </w:rPr>
        <w:t xml:space="preserve">Macroeconomic volatility has introduced significant uncertainty and heightened risk for businesses, including us and our tenants, including the impact of interest rate changes and volatility, inflation, increased cost of capital, threat of recession, and geopolitical uncertainty. Our tenants also face additional challenges, including potential changes in consumer confidence levels, behavior and spending, potential supply chain issues and increased operational expenses (including the impact of tariffs and trade barriers), such as with respect to material, labor or energy costs. </w:t>
      </w:r>
      <w:r>
        <w:rPr>
          <w:rFonts w:ascii="Times New Roman;serif" w:hAnsi="Times New Roman;serif"/>
          <w:b w:val="false"/>
          <w:color w:val="000000"/>
          <w:sz w:val="20"/>
          <w:shd w:fill="FFFFFF" w:val="clear"/>
        </w:rPr>
        <w:t xml:space="preserve">As a triple-net lessor, increased operational expenses at our leased properties are borne by our tenants and do not directly impact their rent obligations (other than with respect to underlying inflation as applied to the CPI-based escalators) or other obligations under our lease agreements. </w:t>
      </w:r>
      <w:r>
        <w:rPr>
          <w:rFonts w:ascii="Times New Roman;serif" w:hAnsi="Times New Roman;serif"/>
          <w:b w:val="false"/>
          <w:color w:val="000000"/>
          <w:sz w:val="20"/>
        </w:rPr>
        <w:t>As a triple-net lessor, we believe we are generally in a strong creditor position and structurally insulated from operational and performance impacts of our tenants, both positive and negative. However, the full extent to which these trends adversely affect our tenants and/or ultimately impact us depends on future developments that cannot be predicted with confidence, including our tenants’ financial performance, the direct and indirect effects of such trends (including among other things, interest rate changes and volatility, inflation, tariffs and trade barriers, economic recessions, consumer confidence levels and general conditions in the equity and credit markets) and the impact of any future measures taken in response to such trends by our tenants.</w:t>
      </w:r>
    </w:p>
    <w:p>
      <w:pPr>
        <w:pStyle w:val="TextBody"/>
        <w:bidi w:val="0"/>
        <w:spacing w:lineRule="auto" w:line="288" w:before="180" w:after="283"/>
        <w:jc w:val="both"/>
        <w:rPr/>
      </w:pPr>
      <w:r>
        <w:rPr>
          <w:rFonts w:ascii="Times New Roman;serif" w:hAnsi="Times New Roman;serif"/>
          <w:b w:val="false"/>
          <w:color w:val="000000"/>
          <w:sz w:val="20"/>
        </w:rPr>
        <w:t xml:space="preserve">For more information, refer to the sections entitled “Key Trends That May Affect Our Business” and “Risk Factors” in our </w:t>
      </w:r>
      <w:hyperlink r:id="rId5">
        <w:r>
          <w:rPr>
            <w:rStyle w:val="InternetLink"/>
            <w:rFonts w:ascii="Times New Roman;serif" w:hAnsi="Times New Roman;serif"/>
            <w:b w:val="false"/>
            <w:color w:val="0000FF"/>
            <w:sz w:val="20"/>
            <w:u w:val="single"/>
          </w:rPr>
          <w:t>Annual Report on Form 10-K for the year ended December 31, 2024</w:t>
        </w:r>
      </w:hyperlink>
      <w:r>
        <w:rPr>
          <w:color w:val="000000"/>
        </w:rPr>
        <w:t xml:space="preserve"> </w:t>
      </w:r>
      <w:r>
        <w:rPr>
          <w:rFonts w:ascii="Times New Roman;serif" w:hAnsi="Times New Roman;serif"/>
          <w:b w:val="false"/>
          <w:color w:val="000000"/>
          <w:sz w:val="20"/>
        </w:rPr>
        <w:t>and as updated from time to time in our other filings with the SEC.</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SIGNIFICANT ACTIVITIES DURING 2025</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Real Estate Debt Investment Activity</w:t>
      </w:r>
    </w:p>
    <w:p>
      <w:pPr>
        <w:pStyle w:val="TextBody"/>
        <w:bidi w:val="0"/>
        <w:spacing w:lineRule="auto" w:line="288" w:before="160" w:after="283"/>
        <w:ind w:left="0" w:right="0" w:hanging="360"/>
        <w:jc w:val="both"/>
        <w:rPr/>
      </w:pPr>
      <w:r>
        <w:rPr>
          <w:color w:val="000000"/>
        </w:rPr>
        <w:t>•</w:t>
      </w:r>
      <w:r>
        <w:rPr>
          <w:rFonts w:ascii="Times New Roman;serif" w:hAnsi="Times New Roman;serif"/>
          <w:b/>
          <w:i/>
          <w:color w:val="000000"/>
          <w:sz w:val="20"/>
        </w:rPr>
        <w:t>One Beverly Hills Mezzanine Loan.</w:t>
      </w:r>
      <w:r>
        <w:rPr>
          <w:color w:val="000000"/>
        </w:rPr>
        <w:t xml:space="preserve"> </w:t>
      </w:r>
      <w:r>
        <w:rPr>
          <w:rFonts w:ascii="Times New Roman;serif" w:hAnsi="Times New Roman;serif"/>
          <w:b w:val="false"/>
          <w:color w:val="000000"/>
          <w:sz w:val="20"/>
        </w:rPr>
        <w:t>On February 19, 2025, we purchased a $300.0 million interest in an existing mezzanine loan related to the development of One Beverly Hills, a landmark 17.5-acre luxury experiential lifestyle hub in Beverly Hills, California. On June 23, 2025, we purchased an additional $150.0 million interest in the existing mezzanine loan. One Beverly Hills is being developed by Cain International and will be anchored by Aman Beverly Hills, featuring an Aman Hotel and Aman-branded residences, and include a full-scale refurbishment of The Beverly Hilton, additional retail, food and beverage offerings, and 10 acres of botanical gardens and open space. Construction of the development has commenced and is expected to be completed in phases in late 2027 and 2028.</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mezzanine loan has an initial maturity in March 2026 and one 12-month extension option, subject to certain conditions. Our investments were each funded with a combination of cash on hand and a draw under the Revolving Credit Facility.</w:t>
      </w:r>
    </w:p>
    <w:p>
      <w:pPr>
        <w:pStyle w:val="TextBody"/>
        <w:bidi w:val="0"/>
        <w:spacing w:lineRule="auto" w:line="288" w:before="160" w:after="283"/>
        <w:ind w:left="0" w:right="0" w:hanging="360"/>
        <w:jc w:val="both"/>
        <w:rPr/>
      </w:pPr>
      <w:r>
        <w:rPr>
          <w:color w:val="000000"/>
        </w:rPr>
        <w:t>•</w:t>
      </w:r>
      <w:r>
        <w:rPr>
          <w:rFonts w:ascii="Times New Roman;serif" w:hAnsi="Times New Roman;serif"/>
          <w:b/>
          <w:i/>
          <w:color w:val="000000"/>
          <w:sz w:val="20"/>
        </w:rPr>
        <w:t>North Fork Casino Loan.</w:t>
      </w:r>
      <w:r>
        <w:rPr>
          <w:color w:val="000000"/>
        </w:rPr>
        <w:t xml:space="preserve"> </w:t>
      </w:r>
      <w:r>
        <w:rPr>
          <w:rFonts w:ascii="Times New Roman;serif" w:hAnsi="Times New Roman;serif"/>
          <w:b w:val="false"/>
          <w:color w:val="000000"/>
          <w:sz w:val="20"/>
        </w:rPr>
        <w:t>On April 4, 2025, we provided a commitment of up to $510.0 million of the $725.0 million Term Loan Arrangement to the North Fork Rancheria Economic Development Authority, a wholly owned entity of the North Fork Rancheria of Mono Indians of California. Proceeds from the Term Loan Arrangement will be used to develop North Fork located near Madera, California, which will be developed and managed by affiliates of Red Rock Resorts. The Term Loan Arrangement consists of a $340.0 million Term Loan A, of which we have committed up to $125.0 million, and a $385.0 million Term Loan B, of which we have committed up to the full $385.0 million, for a total commitment of $510.0 million. The Term Loan A has an initial term of five years and the Term Loan B has an initial term of six years. The project is expected to be funded in accordance with a construction draw schedule.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84785"/>
                <wp:effectExtent l="0" t="0" r="0" b="0"/>
                <wp:wrapNone/>
                <wp:docPr id="47" name="Frame4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real estate debt investment activity (each as defined in the column titled “Real Estate Debt Investment”) for the six months ended June 30, 2025:</w:t>
      </w:r>
    </w:p>
    <w:tbl>
      <w:tblPr>
        <w:tblW w:w="10205" w:type="dxa"/>
        <w:jc w:val="left"/>
        <w:tblInd w:w="0" w:type="dxa"/>
        <w:tblLayout w:type="fixed"/>
        <w:tblCellMar>
          <w:top w:w="28" w:type="dxa"/>
          <w:left w:w="28" w:type="dxa"/>
          <w:bottom w:w="28" w:type="dxa"/>
          <w:right w:w="28" w:type="dxa"/>
        </w:tblCellMar>
      </w:tblPr>
      <w:tblGrid>
        <w:gridCol w:w="588"/>
        <w:gridCol w:w="518"/>
        <w:gridCol w:w="489"/>
        <w:gridCol w:w="109"/>
        <w:gridCol w:w="109"/>
        <w:gridCol w:w="109"/>
        <w:gridCol w:w="463"/>
        <w:gridCol w:w="446"/>
        <w:gridCol w:w="448"/>
        <w:gridCol w:w="109"/>
        <w:gridCol w:w="109"/>
        <w:gridCol w:w="109"/>
        <w:gridCol w:w="352"/>
        <w:gridCol w:w="1030"/>
        <w:gridCol w:w="182"/>
        <w:gridCol w:w="109"/>
        <w:gridCol w:w="109"/>
        <w:gridCol w:w="109"/>
        <w:gridCol w:w="1374"/>
        <w:gridCol w:w="1374"/>
        <w:gridCol w:w="1960"/>
      </w:tblGrid>
      <w:tr>
        <w:trPr/>
        <w:tc>
          <w:tcPr>
            <w:tcW w:w="58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r>
      <w:tr>
        <w:trPr/>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Debt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Collateral</w:t>
            </w:r>
          </w:p>
        </w:tc>
      </w:tr>
      <w:tr>
        <w:trPr/>
        <w:tc>
          <w:tcPr>
            <w:tcW w:w="1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Beverly Hills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Mezzanine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 experiential lifestyle hub in Beverly Hills, California</w:t>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Fork Casino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personal property and revenues of the North Fork Mono Casino &amp; Resort located near Madera, California</w:t>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Financing and Capital Markets Activity</w:t>
      </w:r>
    </w:p>
    <w:p>
      <w:pPr>
        <w:pStyle w:val="TextBody"/>
        <w:bidi w:val="0"/>
        <w:spacing w:lineRule="auto" w:line="288" w:before="120" w:after="283"/>
        <w:ind w:left="0" w:right="0" w:hanging="360"/>
        <w:jc w:val="both"/>
        <w:rPr/>
      </w:pPr>
      <w:r>
        <w:rPr>
          <w:color w:val="231F20"/>
        </w:rPr>
        <w:t>•</w:t>
      </w:r>
      <w:r>
        <w:rPr>
          <w:rFonts w:ascii="Times New Roman;serif" w:hAnsi="Times New Roman;serif"/>
          <w:b/>
          <w:i/>
          <w:color w:val="000000"/>
          <w:sz w:val="20"/>
        </w:rPr>
        <w:t xml:space="preserve">New Revolving Credit Facility. </w:t>
      </w:r>
      <w:r>
        <w:rPr>
          <w:rFonts w:ascii="Times New Roman;serif" w:hAnsi="Times New Roman;serif"/>
          <w:b w:val="false"/>
          <w:color w:val="000000"/>
          <w:sz w:val="20"/>
        </w:rPr>
        <w:t>On February 3, 2025, we entered into the Credit Agreement providing for the Revolving Credit Facility in the amount of $2.5 billion scheduled to mature on February 3, 2029. Concurrently, we terminated our 2022 Revolving Credit Facility and 2022 Credit Agreement</w:t>
      </w:r>
      <w:r>
        <w:rPr>
          <w:rFonts w:ascii="Times New Roman;serif" w:hAnsi="Times New Roman;serif"/>
          <w:b w:val="false"/>
          <w:color w:val="231F20"/>
          <w:sz w:val="20"/>
        </w:rPr>
        <w:t xml:space="preserve">. </w:t>
      </w:r>
      <w:r>
        <w:rPr>
          <w:rFonts w:ascii="Times New Roman;serif" w:hAnsi="Times New Roman;serif"/>
          <w:b w:val="false"/>
          <w:color w:val="000000"/>
          <w:sz w:val="20"/>
        </w:rPr>
        <w:t>The Revolving Credit Facility includes two six-month maturity extension options (or one twelve-month extension option), the exercise of which in each case is subject to customary conditions and the payment of an extension fee. The Revolving Credit Facility includes the option to increase the revolving loan commitments by up to $1.0 billion in the aggregate to the extent that any one or more lenders (from the syndicate or otherwise) agree to provide such additional credit extension. Borrowings under the Revolving Credit Facility will bear interest, at VICI LP’s option, for U.S. Dollar borrowings at either (i) a rate based on SOFR plus a margin ranging from 0.70% to 1.40%, or (ii) a base rate plus a margin ranging from 0.00% to 0.40%, in each case, with the actual margin determined according to VICI LP’s debt ratings (as the borrower under the Credit Agreement) and total leverage ratio. In addition to U.S. Dollar borrowings, borrowings under the Revolving Credit Facility are also available in certain specific foreign currencies, bearing interest based on rates customary for such foreign currencies and subject to the same applicable margins for U.S. Dollar borrowings. In addition, the Credit Agreement includes the option to add one or more tranches of term loans of up to $2.0 billion in the aggregate, in each case, to the extent that any one or more lenders (from the syndicate or otherwise) agree to provide such additional credit extensions.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 xml:space="preserve">At-The-Market Offering Program. </w:t>
      </w:r>
      <w:r>
        <w:rPr>
          <w:rFonts w:ascii="Times New Roman;serif" w:hAnsi="Times New Roman;serif"/>
          <w:b w:val="false"/>
          <w:color w:val="000000"/>
          <w:sz w:val="20"/>
        </w:rPr>
        <w:t>During the six months ended June 30, 2025, we sold an aggregate of 7,835,973 shares under the ATM Program, all of which were subject to ATM forward sale agreements, for estimated aggregate total proceeds of $252.8 million based on the weighted average initial forward sale price of $32.27. We did not initially receive any proceeds from the sale of the shares of common stock under the ATM forward sale agreements, which were sold to the underwriters by the forward purchasers or their respective affiliates. Subsequent to quarter-end, on July 1, 2025, we physically settled 9,662,116 forward shares under the ATM Program in exchange for total net settlement proceeds of approximately $296.0 million.</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Senior Unsecured Notes Offering.</w:t>
      </w:r>
      <w:r>
        <w:rPr>
          <w:color w:val="000000"/>
        </w:rPr>
        <w:t xml:space="preserve"> </w:t>
      </w:r>
      <w:r>
        <w:rPr>
          <w:rFonts w:ascii="Times New Roman;serif" w:hAnsi="Times New Roman;serif"/>
          <w:b w:val="false"/>
          <w:color w:val="000000"/>
          <w:sz w:val="20"/>
        </w:rPr>
        <w:t>On April 7, 2025, VICI LP issued $1.3 billion aggregate principal amount of April 2025 Notes comprised of (i) $400.0 million in aggregate principal amount of 4.750% Senior Notes due 2028, which mature on April 1, 2028 and (ii) $900.0 million in aggregate principal amount of 5.625% Senior Notes due 2035, which mature on April 1, 2035, in each case under a supplemental indenture dated as of April, 7, 2025, between VICI LP and the trustee. We used the net proceeds of the offering to redeem (i) $799.4 million in aggregate principal amount of the 4.625% Exchange Notes due 2025, (ii) $500.0 million in aggregate principal amount of the 4.375% April 2022 Notes due 2025 and (iii) $0.6 million in aggregate principal amount of the 4.625% MGP OP Notes due 2025.</w:t>
      </w:r>
    </w:p>
    <w:p>
      <w:pPr>
        <w:pStyle w:val="TextBody"/>
        <w:bidi w:val="0"/>
        <w:spacing w:lineRule="auto" w:line="288" w:before="120" w:after="283"/>
        <w:ind w:left="0" w:right="0" w:hanging="360"/>
        <w:jc w:val="both"/>
        <w:rPr/>
      </w:pPr>
      <w:r>
        <w:rPr>
          <w:color w:val="231F20"/>
        </w:rPr>
        <w:t>•</w:t>
      </w:r>
      <w:r>
        <w:rPr>
          <w:rFonts w:ascii="Times New Roman;serif" w:hAnsi="Times New Roman;serif"/>
          <w:b/>
          <w:i/>
          <w:color w:val="000000"/>
          <w:sz w:val="20"/>
        </w:rPr>
        <w:t xml:space="preserve">Forward-Starting Interest Rate Swaps. </w:t>
      </w:r>
      <w:r>
        <w:rPr>
          <w:rFonts w:ascii="Times New Roman;serif" w:hAnsi="Times New Roman;serif"/>
          <w:b w:val="false"/>
          <w:color w:val="000000"/>
          <w:sz w:val="20"/>
        </w:rPr>
        <w:t xml:space="preserve">During the six months ended June 30, 2025, we entered into eight forward-starting interest rate swap agreements for an aggregate notional amount of $400.0 million and three U.S. Treasury Rate Lock agreements for an aggregate a notional amount of $150.0 million to hedge against changes in future cash flows resulting from changes in interest rates from the trade date through the forecasted issuance of senior unsecured notes expected to be issued in connection with the refinancing of our senior unsecured notes maturing in May 2025 and June 2025, which April 2025 Notes were issued on April 7, 2025. On March 28, 2025, we settled twelve outstanding forward-starting interest rate swap agreements with an aggregate notional amount of $600.0 million and the three U.S. Treasury Rate Lock agreements with an aggregate notional amount of $150.0 million, resulting in net proceeds of $1.8 million. Since the forward-starting swaps are hedging the interest rate risk on the April 2025 Notes, the unrealized gain in Accumulated other comprehensive income will be amortized over the term of the respective derivative instruments, which matches that of the underlying note, as a decrease in interest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84785"/>
                <wp:effectExtent l="0" t="0" r="0" b="0"/>
                <wp:wrapNone/>
                <wp:docPr id="48" name="Frame4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RESULTS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discussion of VICI and VICI LP are presented combined as there are no material differences between the two reporting entities. Further, Golf revenues and Golf expenses, which are wholly attributable to VICI and not VICI LP, are shown as separate line items in the Statement of Operations of VICI. </w:t>
      </w:r>
    </w:p>
    <w:tbl>
      <w:tblPr>
        <w:tblW w:w="10205" w:type="dxa"/>
        <w:jc w:val="left"/>
        <w:tblInd w:w="0" w:type="dxa"/>
        <w:tblLayout w:type="fixed"/>
        <w:tblCellMar>
          <w:top w:w="28" w:type="dxa"/>
          <w:left w:w="28" w:type="dxa"/>
          <w:bottom w:w="28" w:type="dxa"/>
          <w:right w:w="28" w:type="dxa"/>
        </w:tblCellMar>
      </w:tblPr>
      <w:tblGrid>
        <w:gridCol w:w="847"/>
        <w:gridCol w:w="302"/>
        <w:gridCol w:w="30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721"/>
        <w:gridCol w:w="156"/>
      </w:tblGrid>
      <w:tr>
        <w:trPr/>
        <w:tc>
          <w:tcPr>
            <w:tcW w:w="84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u w:val="single"/>
              </w:rPr>
            </w:pPr>
            <w:r>
              <w:rPr>
                <w:rFonts w:ascii="Times New Roman;serif" w:hAnsi="Times New Roman;serif"/>
                <w:b/>
                <w:i/>
                <w:color w:val="000000"/>
                <w:sz w:val="18"/>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lease financing receivables, loans and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865,079 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741,302 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77,368 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84785"/>
                <wp:effectExtent l="0" t="0" r="0" b="0"/>
                <wp:wrapNone/>
                <wp:docPr id="49" name="Frame4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 xml:space="preserve">Revenue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and 2024, our revenue was comprised of the following items:</w:t>
      </w:r>
    </w:p>
    <w:tbl>
      <w:tblPr>
        <w:tblW w:w="10205" w:type="dxa"/>
        <w:jc w:val="left"/>
        <w:tblInd w:w="0" w:type="dxa"/>
        <w:tblLayout w:type="fixed"/>
        <w:tblCellMar>
          <w:top w:w="28" w:type="dxa"/>
          <w:left w:w="28" w:type="dxa"/>
          <w:bottom w:w="28" w:type="dxa"/>
          <w:right w:w="28" w:type="dxa"/>
        </w:tblCellMar>
      </w:tblPr>
      <w:tblGrid>
        <w:gridCol w:w="538"/>
        <w:gridCol w:w="434"/>
        <w:gridCol w:w="436"/>
        <w:gridCol w:w="211"/>
        <w:gridCol w:w="97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09"/>
        <w:gridCol w:w="109"/>
        <w:gridCol w:w="109"/>
        <w:gridCol w:w="109"/>
        <w:gridCol w:w="211"/>
        <w:gridCol w:w="976"/>
        <w:gridCol w:w="109"/>
        <w:gridCol w:w="109"/>
        <w:gridCol w:w="109"/>
        <w:gridCol w:w="109"/>
        <w:gridCol w:w="211"/>
        <w:gridCol w:w="721"/>
        <w:gridCol w:w="155"/>
      </w:tblGrid>
      <w:tr>
        <w:trPr/>
        <w:tc>
          <w:tcPr>
            <w:tcW w:w="53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loans and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Leasing 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our income from sales-type and financing receivables leases:</w:t>
      </w:r>
    </w:p>
    <w:tbl>
      <w:tblPr>
        <w:tblW w:w="10205" w:type="dxa"/>
        <w:jc w:val="left"/>
        <w:tblInd w:w="0" w:type="dxa"/>
        <w:tblLayout w:type="fixed"/>
        <w:tblCellMar>
          <w:top w:w="28" w:type="dxa"/>
          <w:left w:w="28" w:type="dxa"/>
          <w:bottom w:w="28" w:type="dxa"/>
          <w:right w:w="28" w:type="dxa"/>
        </w:tblCellMar>
      </w:tblPr>
      <w:tblGrid>
        <w:gridCol w:w="671"/>
        <w:gridCol w:w="443"/>
        <w:gridCol w:w="44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09"/>
        <w:gridCol w:w="109"/>
        <w:gridCol w:w="109"/>
        <w:gridCol w:w="109"/>
        <w:gridCol w:w="211"/>
        <w:gridCol w:w="976"/>
        <w:gridCol w:w="109"/>
        <w:gridCol w:w="109"/>
        <w:gridCol w:w="109"/>
        <w:gridCol w:w="109"/>
        <w:gridCol w:w="211"/>
        <w:gridCol w:w="721"/>
        <w:gridCol w:w="155"/>
      </w:tblGrid>
      <w:tr>
        <w:trPr/>
        <w:tc>
          <w:tcPr>
            <w:tcW w:w="67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from lease financing receivables </w:t>
            </w:r>
            <w:r>
              <w:rPr>
                <w:rFonts w:ascii="Times New Roman;serif" w:hAnsi="Times New Roman;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leasing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Non-cash adjustment </w:t>
            </w:r>
            <w:r>
              <w:rPr>
                <w:rFonts w:ascii="Times New Roman;serif" w:hAnsi="Times New Roman;serif"/>
                <w:b w:val="false"/>
                <w:i/>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contractual leasing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76" w:before="0" w:after="0"/>
        <w:jc w:val="both"/>
        <w:rPr>
          <w:rFonts w:ascii="Times New Roman;serif" w:hAnsi="Times New Roman;serif"/>
          <w:b w:val="false"/>
          <w:i/>
          <w:color w:val="000000"/>
          <w:sz w:val="16"/>
        </w:rPr>
      </w:pPr>
      <w:r>
        <w:rPr>
          <w:rFonts w:ascii="Times New Roman;serif" w:hAnsi="Times New Roman;serif"/>
          <w:b w:val="false"/>
          <w:i/>
          <w:color w:val="000000"/>
          <w:sz w:val="16"/>
        </w:rPr>
        <w:t>(1) Represents our asset acquisitions structured as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(2) Amounts represent the non-cash adjustment to income from sales-type leases and lease financing receivables in order to recognize income on an effective interest basis at a constant rate of return over the term of the leases.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Leasing revenue is generated from rent from our lease agreements. Total leasing revenue increased $22.2 million and $41.0 million during the three and six months ended June 30, 2025, respectively, compared to the three and six months ended June 30, 2024, respectively. Total contractual leasing revenue increased $23.5 million and $46.0 million during the three and six months ended June 30, 2025, respectively, compared to the three and six months ended June 30, 2024, respectively. The increases were primarily driven by the incremental rent increases from our agreement through our Partner Property Growth Fund strategy to fund capital investments into the Venetian Resort for several reinvestment projects (the “Venetian Capital Investment”) (which occurred in July 2024, October 2024 and January 2025), as well as the annual rent escalators from certain of our other lease agreements.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Income From Loans and Securities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Income from loans and securities increased $22.4 million and $36.6 million during the three and six months ended June 30, 2025, respectively, compared to the three and six months ended June 30, 2024, respectively. The increase was driven by the origination and subsequent funding, as applicable, of our debt investments and the related interest income from the increased principal balances outstanding under such debt investments, partially offset by the repayment of certain loan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84785"/>
                <wp:effectExtent l="0" t="0" r="0" b="0"/>
                <wp:wrapNone/>
                <wp:docPr id="50" name="Frame4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Operating 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and 2024, our operating expenses were comprised of the following items:</w:t>
      </w:r>
    </w:p>
    <w:tbl>
      <w:tblPr>
        <w:tblW w:w="10205" w:type="dxa"/>
        <w:jc w:val="left"/>
        <w:tblInd w:w="0" w:type="dxa"/>
        <w:tblLayout w:type="fixed"/>
        <w:tblCellMar>
          <w:top w:w="28" w:type="dxa"/>
          <w:left w:w="28" w:type="dxa"/>
          <w:bottom w:w="28" w:type="dxa"/>
          <w:right w:w="28" w:type="dxa"/>
        </w:tblCellMar>
      </w:tblPr>
      <w:tblGrid>
        <w:gridCol w:w="709"/>
        <w:gridCol w:w="623"/>
        <w:gridCol w:w="626"/>
        <w:gridCol w:w="211"/>
        <w:gridCol w:w="757"/>
        <w:gridCol w:w="109"/>
        <w:gridCol w:w="109"/>
        <w:gridCol w:w="109"/>
        <w:gridCol w:w="109"/>
        <w:gridCol w:w="211"/>
        <w:gridCol w:w="721"/>
        <w:gridCol w:w="109"/>
        <w:gridCol w:w="109"/>
        <w:gridCol w:w="109"/>
        <w:gridCol w:w="109"/>
        <w:gridCol w:w="211"/>
        <w:gridCol w:w="757"/>
        <w:gridCol w:w="109"/>
        <w:gridCol w:w="109"/>
        <w:gridCol w:w="109"/>
        <w:gridCol w:w="109"/>
        <w:gridCol w:w="211"/>
        <w:gridCol w:w="826"/>
        <w:gridCol w:w="109"/>
        <w:gridCol w:w="109"/>
        <w:gridCol w:w="109"/>
        <w:gridCol w:w="109"/>
        <w:gridCol w:w="211"/>
        <w:gridCol w:w="826"/>
        <w:gridCol w:w="109"/>
        <w:gridCol w:w="109"/>
        <w:gridCol w:w="109"/>
        <w:gridCol w:w="109"/>
        <w:gridCol w:w="211"/>
        <w:gridCol w:w="757"/>
        <w:gridCol w:w="157"/>
      </w:tblGrid>
      <w:tr>
        <w:trPr/>
        <w:tc>
          <w:tcPr>
            <w:tcW w:w="7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expenses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(14,913)</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$1.2 million and $2.5 million for the three and six months ended June 30, 2025, respectively, compared to the three and six months ended June 30, 2024, respectively. The decrease was primarily driven by a decrease in compensation, including stock-based compensation.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 in Allowance for Credit Losses</w:t>
      </w:r>
    </w:p>
    <w:p>
      <w:pPr>
        <w:pStyle w:val="TextBody"/>
        <w:bidi w:val="0"/>
        <w:spacing w:lineRule="auto" w:line="288" w:before="180" w:after="283"/>
        <w:jc w:val="both"/>
        <w:rPr/>
      </w:pPr>
      <w:r>
        <w:rPr>
          <w:rFonts w:ascii="Times New Roman;serif" w:hAnsi="Times New Roman;serif"/>
          <w:b w:val="false"/>
          <w:color w:val="000000"/>
          <w:sz w:val="20"/>
        </w:rPr>
        <w:t xml:space="preserve">Change in allowance for credit losses decreased $99.0 million and $19.0 million during the three and six months ended June 30, 2025, compared to the three and six months ended June 30, 2024, primarily as a result of changes to the reasonable and supportable period, or R&amp;S Period, probability of default, or PD, and loss given default, or LGD, of our existing tenants and their parent guarantors (as applicable) due to market performance, changes in the macroeconomic forecast during the current quarter, and annual standard updates to the model used to estimate the CECL allowance. Refer to </w:t>
      </w:r>
      <w:hyperlink w:anchor="if570836a181f43958dee02a390db0eaf_64">
        <w:r>
          <w:rPr>
            <w:rStyle w:val="InternetLink"/>
            <w:rFonts w:ascii="Times New Roman;serif" w:hAnsi="Times New Roman;serif"/>
            <w:b w:val="false"/>
            <w:color w:val="0000FF"/>
            <w:sz w:val="20"/>
            <w:u w:val="single"/>
          </w:rPr>
          <w:t>Note 5 - Allowance for Credit Losses</w:t>
        </w:r>
      </w:hyperlink>
      <w:r>
        <w:rPr>
          <w:color w:val="000000"/>
        </w:rPr>
        <w:t xml:space="preserve"> </w:t>
      </w:r>
      <w:r>
        <w:rPr>
          <w:rFonts w:ascii="Times New Roman;serif" w:hAnsi="Times New Roman;serif"/>
          <w:b w:val="false"/>
          <w:color w:val="000000"/>
          <w:sz w:val="20"/>
        </w:rPr>
        <w:t>for further details.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Transaction and Acquisition 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Transaction and acquisition expenses increased $7.2 million and $6.9 million during the three and six months ended June 30, 2025, respectively, compared to the three and six months ended June 30, 2024, respectively. Changes in transaction and acquisition expenses are related to fluctuations in (i) costs incurred for investments during the period that are not capitalizable under GAAP, and (ii) costs incurred for investments that we are no longer pursuing.</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84785"/>
                <wp:effectExtent l="0" t="0" r="0" b="0"/>
                <wp:wrapNone/>
                <wp:docPr id="51" name="Frame5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Non-Operating Income and 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and 2024, our non-operating income and expenses were comprised of the following items:</w:t>
      </w:r>
    </w:p>
    <w:tbl>
      <w:tblPr>
        <w:tblW w:w="10116" w:type="dxa"/>
        <w:jc w:val="left"/>
        <w:tblInd w:w="0" w:type="dxa"/>
        <w:tblLayout w:type="fixed"/>
        <w:tblCellMar>
          <w:top w:w="28" w:type="dxa"/>
          <w:left w:w="28" w:type="dxa"/>
          <w:bottom w:w="28" w:type="dxa"/>
          <w:right w:w="28" w:type="dxa"/>
        </w:tblCellMar>
      </w:tblPr>
      <w:tblGrid>
        <w:gridCol w:w="516"/>
        <w:gridCol w:w="454"/>
        <w:gridCol w:w="455"/>
        <w:gridCol w:w="211"/>
        <w:gridCol w:w="901"/>
        <w:gridCol w:w="109"/>
        <w:gridCol w:w="109"/>
        <w:gridCol w:w="109"/>
        <w:gridCol w:w="109"/>
        <w:gridCol w:w="211"/>
        <w:gridCol w:w="901"/>
        <w:gridCol w:w="109"/>
        <w:gridCol w:w="109"/>
        <w:gridCol w:w="109"/>
        <w:gridCol w:w="109"/>
        <w:gridCol w:w="211"/>
        <w:gridCol w:w="691"/>
        <w:gridCol w:w="109"/>
        <w:gridCol w:w="109"/>
        <w:gridCol w:w="109"/>
        <w:gridCol w:w="109"/>
        <w:gridCol w:w="211"/>
        <w:gridCol w:w="901"/>
        <w:gridCol w:w="109"/>
        <w:gridCol w:w="109"/>
        <w:gridCol w:w="109"/>
        <w:gridCol w:w="109"/>
        <w:gridCol w:w="211"/>
        <w:gridCol w:w="901"/>
        <w:gridCol w:w="109"/>
        <w:gridCol w:w="109"/>
        <w:gridCol w:w="109"/>
        <w:gridCol w:w="109"/>
        <w:gridCol w:w="211"/>
        <w:gridCol w:w="79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Interest Expense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increased $8.0 million and $12.4 million during the three and six months ended June 30, 2025, respectively, compared to the three and six months ended June 30, 2024, respectively. The increase during the three and six months ended June 30, 2025 was primarily related to the increase in debt from the $175.0 million and £5.5 million draws on the Revolving Credit Facility to partially finance the One Beverly Hills mezzanine loan investment in February 2025 and the upsize of the Cabot Highlands loan in June 2024, respectively, partially offset by principal repayments under the Revolving Credit Facility of C$15.0 million, C$12.0 million, C$5.0 million and C$8.0 million in August 2024, December 2024, March 2025 and June 2025, respectively.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weighted average annualized interest rate of our debt, net of the impact of the forward-starting interest rate swaps and treasury locks, increased to 4.49% from 4.34% for the three months ended June 30, 2025 compared to the three months ended June 30, 2024, and increased to 4.48% from 4.34% for the six months ended June 30, 2025 compared to the six months ended June 30, 2024, as a result of a higher effective interest rate on (i) the outstanding balance on the Revolving Credit Facility, and (ii) the March 2024 Notes, December 2024 Notes and April 2025 Notes as compared to the debt that was refinanced by such notes.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Interest income, representing interest earned on our excess cash, decreased $1.6 million and $3.2 million during the three and six months ended June 30, 2025, respectively, compared to the three and six months ended June 30, 2024. The decrease was primarily driven by an overall decrease in our cash on hand throughout the current periods as compared to the prior periods.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84785"/>
                <wp:effectExtent l="0" t="0" r="0" b="0"/>
                <wp:wrapNone/>
                <wp:docPr id="52" name="Frame5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RECONCILIATION OF NON-GAAP MEASURES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present VICI’s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VICI’s business.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FFO is a non-GAAP financial measure that is considered a supplemental measure for the real estate industry and a supplement to GAAP measures. Consistent with the definition used by the National Association of Real Estate Investment Trusts (NAREIT), we define FFO as VICI’s net income (or loss) attributable to common stockholders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gains (or losses), deferred income tax expenses and benefits, other non-recurring non-cash transactions and non-cash adjustments attributable to non-controlling interest with respect to certain of the foregoing.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calculate VICI’s Adjusted EBITDA by adding or subtracting from AFFO contractual interest expense (including the impact of the forward-starting interest rate swaps and treasury locks) and interest income (collectively, interest expense, net), current income tax expense and adjustments attributable to non-controlling interests.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84785"/>
                <wp:effectExtent l="0" t="0" r="0" b="0"/>
                <wp:wrapNone/>
                <wp:docPr id="53" name="Frame5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Reconciliation of VICI’s Net Income to FFO, FFO per Share, AFFO, AFFO per Share and Adjusted EBITDA</w:t>
      </w:r>
    </w:p>
    <w:tbl>
      <w:tblPr>
        <w:tblW w:w="10205" w:type="dxa"/>
        <w:jc w:val="left"/>
        <w:tblInd w:w="0" w:type="dxa"/>
        <w:tblLayout w:type="fixed"/>
        <w:tblCellMar>
          <w:top w:w="28" w:type="dxa"/>
          <w:left w:w="28" w:type="dxa"/>
          <w:bottom w:w="28" w:type="dxa"/>
          <w:right w:w="28" w:type="dxa"/>
        </w:tblCellMar>
      </w:tblPr>
      <w:tblGrid>
        <w:gridCol w:w="1394"/>
        <w:gridCol w:w="998"/>
        <w:gridCol w:w="1005"/>
        <w:gridCol w:w="267"/>
        <w:gridCol w:w="1069"/>
        <w:gridCol w:w="109"/>
        <w:gridCol w:w="109"/>
        <w:gridCol w:w="109"/>
        <w:gridCol w:w="109"/>
        <w:gridCol w:w="267"/>
        <w:gridCol w:w="1069"/>
        <w:gridCol w:w="109"/>
        <w:gridCol w:w="109"/>
        <w:gridCol w:w="109"/>
        <w:gridCol w:w="109"/>
        <w:gridCol w:w="234"/>
        <w:gridCol w:w="1102"/>
        <w:gridCol w:w="109"/>
        <w:gridCol w:w="109"/>
        <w:gridCol w:w="109"/>
        <w:gridCol w:w="109"/>
        <w:gridCol w:w="234"/>
        <w:gridCol w:w="1102"/>
        <w:gridCol w:w="156"/>
      </w:tblGrid>
      <w:tr>
        <w:trPr/>
        <w:tc>
          <w:tcPr>
            <w:tcW w:w="139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 except share data and per share data)</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1,331,318 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 attributable to common stockholders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865,079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741,302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1,408,686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1,331,318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leasing and financing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original issue discount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depreciation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gains </w:t>
            </w:r>
            <w:r>
              <w:rPr>
                <w:rFonts w:ascii="Times New Roman;serif" w:hAnsi="Times New Roman;serif"/>
                <w:b w:val="false"/>
                <w:i/>
                <w:color w:val="000000"/>
                <w:sz w:val="13"/>
              </w:rPr>
              <w:t>(1)</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adjustments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AFFO attributable to common stockholders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630,178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592,425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1,246,160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1,175,596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attributable to common stockholders</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822,239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775,873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1,624,375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1,541,123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6808" w:type="dxa"/>
            <w:gridSpan w:val="21"/>
            <w:tcBorders/>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AFFO per common share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shares of common stock outstanding</w:t>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1,056,222,836 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1,042,650,713 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1,056,118,206 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1,042,530,017 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1,057,270,580 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1,042,959,627 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1,056,852,269 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1,043,137,980 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(1)Represents non-cash foreign currency remeasurement adjustment and gain on sale of certain land parcels.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84785"/>
                <wp:effectExtent l="0" t="0" r="0" b="0"/>
                <wp:wrapNone/>
                <wp:docPr id="54" name="Frame5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Liquidity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our available cash and cash-equivalents balance, short-term investments, capacity under our Revolving Credit Facility and proceeds available from outstanding forward sale agreements were as follows:</w:t>
      </w:r>
    </w:p>
    <w:tbl>
      <w:tblPr>
        <w:tblW w:w="7131" w:type="dxa"/>
        <w:jc w:val="left"/>
        <w:tblInd w:w="0" w:type="dxa"/>
        <w:tblLayout w:type="fixed"/>
        <w:tblCellMar>
          <w:top w:w="28" w:type="dxa"/>
          <w:left w:w="28" w:type="dxa"/>
          <w:bottom w:w="28" w:type="dxa"/>
          <w:right w:w="28" w:type="dxa"/>
        </w:tblCellMar>
      </w:tblPr>
      <w:tblGrid>
        <w:gridCol w:w="2094"/>
        <w:gridCol w:w="1844"/>
        <w:gridCol w:w="1852"/>
        <w:gridCol w:w="211"/>
        <w:gridCol w:w="976"/>
        <w:gridCol w:w="154"/>
      </w:tblGrid>
      <w:tr>
        <w:trPr/>
        <w:tc>
          <w:tcPr>
            <w:tcW w:w="209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u w:val="single"/>
              </w:rPr>
            </w:pPr>
            <w:r>
              <w:rPr>
                <w:rFonts w:ascii="Times New Roman;serif" w:hAnsi="Times New Roman;serif"/>
                <w:b/>
                <w:i/>
                <w:color w:val="000000"/>
                <w:sz w:val="18"/>
                <w:u w:val="single"/>
              </w:rPr>
              <w:t>(In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Capacity under Revolving Credit Facility </w:t>
            </w:r>
            <w:r>
              <w:rPr>
                <w:rFonts w:ascii="Times New Roman;serif" w:hAnsi="Times New Roman;serif"/>
                <w:b w:val="false"/>
                <w:i/>
                <w:color w:val="000000"/>
                <w:sz w:val="13"/>
              </w:rPr>
              <w:t>(1)</w:t>
            </w:r>
            <w:r>
              <w:rPr>
                <w:color w:val="000000"/>
              </w:rPr>
              <w:t xml:space="preserv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Net proceeds available from settlement of Forward Sale Agreements </w:t>
            </w:r>
            <w:r>
              <w:rPr>
                <w:rFonts w:ascii="Times New Roman;serif" w:hAnsi="Times New Roman;serif"/>
                <w:b w:val="false"/>
                <w:i/>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3,031,001 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ind w:left="0" w:right="0" w:hanging="360"/>
        <w:jc w:val="both"/>
        <w:rPr/>
      </w:pPr>
      <w:r>
        <w:rPr>
          <w:rFonts w:ascii="Times New Roman;serif" w:hAnsi="Times New Roman;serif"/>
          <w:b w:val="false"/>
          <w:i/>
          <w:color w:val="231F20"/>
          <w:sz w:val="16"/>
        </w:rPr>
        <w:t>(1)</w:t>
      </w:r>
      <w:r>
        <w:rPr>
          <w:rFonts w:ascii="Times New Roman;serif" w:hAnsi="Times New Roman;serif"/>
          <w:b w:val="false"/>
          <w:i/>
          <w:color w:val="000000"/>
          <w:sz w:val="16"/>
        </w:rPr>
        <w:t xml:space="preserve">In addition, the Credit Agreement includes the option (i) to increase the revolving loan commitments by up to $1.0 billion and (ii) to add one or more tranches of term loans of up to $2.0 billion in the aggregate, in each case, to the extent that any one or more lenders (from the syndicate or otherwise) agree to provide such additional credit extensions. </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(2)Assumes the physical settlement of the 19,851,372 shares remaining to be settled as of June 30, 2025 under our ATM forward sale agreements at a forward sales price of $31.31, calculated as of June 30, 2025. Subsequent to quarter-end, on July 1, 2025, we physically settled 9,662,116 forward shares under the ATM Program in exchange for total net settlement proceeds of approximately $296.0 million.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we have sufficient liquidity to meet our material cash requirements, including our contractual obligations, debt maturities and commitments as well as our additional funding requirements, primarily through currently available cash and cash equivalents, cash received under our lease agreements, existing borrowings from banks, including our undrawn capacity under our Revolving Credit Facility, net proceeds available under our outstanding forward sale agreements, and proceeds from any future issuances of debt and equity securities (including issuances under the ATM Program or any future “at-the-market” program) for the next 12 months and in future periods. </w:t>
      </w:r>
    </w:p>
    <w:p>
      <w:pPr>
        <w:pStyle w:val="TextBody"/>
        <w:bidi w:val="0"/>
        <w:spacing w:lineRule="auto" w:line="288" w:before="180" w:after="283"/>
        <w:jc w:val="both"/>
        <w:rPr/>
      </w:pPr>
      <w:r>
        <w:rPr>
          <w:rFonts w:ascii="Times New Roman;serif" w:hAnsi="Times New Roman;serif"/>
          <w:b w:val="false"/>
          <w:color w:val="000000"/>
          <w:sz w:val="20"/>
        </w:rPr>
        <w:t xml:space="preserve">All of our lease agreements call for an initial term of between fifteen and thirty-two years with additional tenant renewal options and, along with our loans, are designed to provide us with a reliable and predictable long-term revenue stream. Our cash flows from operations and our ability to access capital resources could be adversely affected due to uncertain economic factors and volatility in the financial and credit markets, including as a result of the current interest rate environment, inflationary pressures, equity market volatility, and changes in consumer behavior and spending. In particular, we can provide no assurances that our tenants will not default on their leases or fail to make full rental payments if their businesses become challenged due to, among other things, current or future adverse economic conditions. See “Overview — Impact of Material Trends on our Business” above for additional detail. In the event our tenants are unable to make all of their contractual rent payments as provided by our lease agreements, we believe we have sufficient liquidity from the other sources discussed above to meet all of our contractual obligations for a significant period of time. For more information, refer to the risk factors incorporated by reference into </w:t>
      </w:r>
      <w:hyperlink w:anchor="if570836a181f43958dee02a390db0eaf_109">
        <w:r>
          <w:rPr>
            <w:rStyle w:val="InternetLink"/>
            <w:rFonts w:ascii="Times New Roman;serif" w:hAnsi="Times New Roman;serif"/>
            <w:b w:val="false"/>
            <w:color w:val="0000FF"/>
            <w:sz w:val="20"/>
            <w:u w:val="single"/>
          </w:rPr>
          <w:t>Part II. Item 1A. Risk Factors</w:t>
        </w:r>
      </w:hyperlink>
      <w:r>
        <w:rPr>
          <w:color w:val="000000"/>
        </w:rPr>
        <w:t xml:space="preserve"> </w:t>
      </w:r>
      <w:r>
        <w:rPr>
          <w:rFonts w:ascii="Times New Roman;serif" w:hAnsi="Times New Roman;serif"/>
          <w:b w:val="false"/>
          <w:color w:val="000000"/>
          <w:sz w:val="20"/>
        </w:rPr>
        <w:t xml:space="preserve">herein from our </w:t>
      </w:r>
      <w:hyperlink r:id="rId6">
        <w:r>
          <w:rPr>
            <w:rStyle w:val="InternetLink"/>
            <w:rFonts w:ascii="Times New Roman;serif" w:hAnsi="Times New Roman;serif"/>
            <w:b w:val="false"/>
            <w:color w:val="0000FF"/>
            <w:sz w:val="20"/>
            <w:u w:val="single"/>
          </w:rPr>
          <w:t>Annual Report on Form 10-K for the year ended December 31, 2024</w:t>
        </w:r>
      </w:hyperlink>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ability to raise funds through the issuance of debt and equity securities and access to other third-party sources of capital in the future will be dependent on, among other things, general economic conditions, general market conditions for REITs and investment grade issuers, market perceptions, the trading price of our stock, the trading value of our unsecured debt and uncertainties related to the macroeconomic environment. We will continue to analyze which sources of capital are most advantageous to us at any particular point in time and with respect to any specific funding requirements, but financing through the capital markets may not be consistently available on terms we deem attractive, or at all.</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180" w:after="283"/>
        <w:jc w:val="both"/>
        <w:rPr/>
      </w:pPr>
      <w:r>
        <w:rPr>
          <w:rFonts w:ascii="Times New Roman;serif" w:hAnsi="Times New Roman;serif"/>
          <w:b w:val="false"/>
          <w:color w:val="000000"/>
          <w:sz w:val="20"/>
        </w:rPr>
        <w:t xml:space="preserve">Our short-term obligations consist primarily of regular interest payments on our debt obligations, dividends to our common stockholders, distributions to the VICI OP Unit holders, Lucky Strike OP Units holders and to the 20% third-party owners of Harrah’s Joliet LandCo LLC, normal recurring operating expenses, recurring expenditures for corporate and administrative needs, certain lease and other contractual commitments related to our golf operations and certain non-recurring expenditures. For more information on our material contractual commitments, refer to </w:t>
      </w:r>
      <w:hyperlink w:anchor="if570836a181f43958dee02a390db0eaf_79">
        <w:r>
          <w:rPr>
            <w:rStyle w:val="InternetLink"/>
            <w:rFonts w:ascii="Times New Roman;serif" w:hAnsi="Times New Roman;serif"/>
            <w:b w:val="false"/>
            <w:color w:val="0000FF"/>
            <w:sz w:val="20"/>
            <w:u w:val="single"/>
          </w:rPr>
          <w:t>Note 10 - Commitments and Contingent Liabilities</w:t>
        </w:r>
      </w:hyperlink>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long-term obligations consist primarily of principal payments on our outstanding debt obligations and future funding commitments under our lease and loan agreements. As of June 30, 2025, we had $17.3 billion of debt obligations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84785"/>
                <wp:effectExtent l="0" t="0" r="0" b="0"/>
                <wp:wrapNone/>
                <wp:docPr id="55" name="Frame5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val="false"/>
          <w:color w:val="000000"/>
          <w:sz w:val="20"/>
        </w:rPr>
        <w:t xml:space="preserve">none of which are maturing in the next twelve months. For a summary of principal debt balances and their maturity dates and principal terms, refer to </w:t>
      </w:r>
      <w:hyperlink w:anchor="if570836a181f43958dee02a390db0eaf_70">
        <w:r>
          <w:rPr>
            <w:rStyle w:val="InternetLink"/>
            <w:rFonts w:ascii="Times New Roman;serif" w:hAnsi="Times New Roman;serif"/>
            <w:b w:val="false"/>
            <w:color w:val="0000FF"/>
            <w:sz w:val="20"/>
            <w:u w:val="single"/>
          </w:rPr>
          <w:t>Note 7 - Debt</w:t>
        </w:r>
      </w:hyperlink>
      <w:r>
        <w:rPr>
          <w:rFonts w:ascii="Times New Roman;serif" w:hAnsi="Times New Roman;serif"/>
          <w:b w:val="false"/>
          <w:color w:val="000000"/>
          <w:sz w:val="20"/>
        </w:rPr>
        <w:t xml:space="preserve">. For a summary of our future funding commitments under our loan portfolio, refer to </w:t>
      </w:r>
      <w:hyperlink w:anchor="if570836a181f43958dee02a390db0eaf_61">
        <w:r>
          <w:rPr>
            <w:rStyle w:val="InternetLink"/>
            <w:rFonts w:ascii="Times New Roman;serif" w:hAnsi="Times New Roman;serif"/>
            <w:b w:val="false"/>
            <w:color w:val="0000FF"/>
            <w:sz w:val="20"/>
            <w:u w:val="single"/>
          </w:rPr>
          <w:t>Note 4 - Real Estate Portfolio</w:t>
        </w:r>
      </w:hyperlink>
      <w:r>
        <w:rPr>
          <w:rFonts w:ascii="Times New Roman;serif" w:hAnsi="Times New Roman;serif"/>
          <w:b w:val="false"/>
          <w:color w:val="000000"/>
          <w:sz w:val="20"/>
        </w:rPr>
        <w:t>.</w:t>
      </w:r>
    </w:p>
    <w:p>
      <w:pPr>
        <w:pStyle w:val="TextBody"/>
        <w:bidi w:val="0"/>
        <w:spacing w:lineRule="auto" w:line="288" w:before="180" w:after="283"/>
        <w:jc w:val="both"/>
        <w:rPr/>
      </w:pPr>
      <w:r>
        <w:rPr>
          <w:rFonts w:ascii="Times New Roman;serif" w:hAnsi="Times New Roman;serif"/>
          <w:b w:val="false"/>
          <w:color w:val="000000"/>
          <w:sz w:val="20"/>
        </w:rPr>
        <w:t xml:space="preserve">Pursuant to our lease agreements, capital expenditures, insurance and taxes for our properties are the responsibility of the tenants. Minimum capital expenditure spending requirements of the tenants pursuant to our gaming lease agreements are described in </w:t>
      </w:r>
      <w:hyperlink w:anchor="if570836a181f43958dee02a390db0eaf_61">
        <w:r>
          <w:rPr>
            <w:rStyle w:val="InternetLink"/>
            <w:rFonts w:ascii="Times New Roman;serif" w:hAnsi="Times New Roman;serif"/>
            <w:b w:val="false"/>
            <w:color w:val="0000FF"/>
            <w:sz w:val="20"/>
            <w:u w:val="single"/>
          </w:rPr>
          <w:t>Note 4 - Real Estate Portfolio</w:t>
        </w:r>
      </w:hyperlink>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Information concerning our material contractual obligations and commitments to make future payments under contracts such as our indebtedness, future funding commitments under our loans and Partner Property Growth Fund strategy and future contractual operating commitments (such as future lease payments under our corporate lease) are included in the following table as of June 30, 2025. Amounts in this table omit, among other things, non-contractual commitments and items such as dividends and recurring or non-recurring operating expenses and other expenditures, including acquisitions and other investments:</w:t>
      </w:r>
    </w:p>
    <w:tbl>
      <w:tblPr>
        <w:tblW w:w="11578" w:type="dxa"/>
        <w:jc w:val="left"/>
        <w:tblInd w:w="0" w:type="dxa"/>
        <w:tblLayout w:type="fixed"/>
        <w:tblCellMar>
          <w:top w:w="28" w:type="dxa"/>
          <w:left w:w="28" w:type="dxa"/>
          <w:bottom w:w="28" w:type="dxa"/>
          <w:right w:w="28" w:type="dxa"/>
        </w:tblCellMar>
      </w:tblPr>
      <w:tblGrid>
        <w:gridCol w:w="230"/>
        <w:gridCol w:w="158"/>
        <w:gridCol w:w="146"/>
        <w:gridCol w:w="597"/>
        <w:gridCol w:w="357"/>
        <w:gridCol w:w="247"/>
        <w:gridCol w:w="109"/>
        <w:gridCol w:w="109"/>
        <w:gridCol w:w="109"/>
        <w:gridCol w:w="211"/>
        <w:gridCol w:w="1081"/>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54"/>
      </w:tblGrid>
      <w:tr>
        <w:trPr/>
        <w:tc>
          <w:tcPr>
            <w:tcW w:w="2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Payments Due By Period</w:t>
            </w:r>
          </w:p>
        </w:tc>
      </w:tr>
      <w:tr>
        <w:trPr/>
        <w:tc>
          <w:tcPr>
            <w:tcW w:w="17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 (remaining)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 and Thereafter</w:t>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Revolving Credit Facility </w:t>
            </w:r>
            <w:r>
              <w:rPr>
                <w:rFonts w:ascii="Times New Roman;serif" w:hAnsi="Times New Roman;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Scheduled interest payments </w:t>
            </w:r>
            <w:r>
              <w:rPr>
                <w:rFonts w:ascii="Times New Roman;serif" w:hAnsi="Times New Roman;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contractual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23,019,579 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15,255,630 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Leases and contracts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Future funding commitments – loan investments and Partner Property Growth Fund </w:t>
            </w:r>
            <w:r>
              <w:rPr>
                <w:rFonts w:ascii="Times New Roman;serif" w:hAnsi="Times New Roman;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course operating lease and contractual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leases and contractual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23,863,048 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2,219,909 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15,304,815 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Subsequent to quarter-end, on July 2, 2025, $175.0 million of the outstanding balance under our Revolving Credit Facility was repaid.</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(2) Estimated interest payments on variable interest debt under our Revolving Credit Facility are based on the applicable SOFR, CORRA and SONIA rates as of June 30, 2025.</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(3) Excludes ground and use leases which are paid directly by our tenants to the primary lease holder.</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(4) The allocation of our future funding commitments is based on construction draw schedules, commitment funding dates, expiration dates or other information, as applicable; however, we may be obligated to fund these commitments earlier than such applicable date.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Additional Funding Requirements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contractual obligations and commitments set forth in the table above, we have and may enter into additional agreements that commit us to potentially acquire properties in the future, fund future property improvements or otherwise provide capital to our tenants, borrowers and other counterparties, including through our Partner Property Growth Fund strategy. As of June 30, 2025, we had $300.0 million of additional potential future funding commitments in connection with the Venetian Capital Investment entered into on May 1, 2024, pursuant to which the tenant has the option, but not the obligation, to draw our future funds, prior to November 1, 2026. The utilization of funding commitments under the Partner Property Growth Fund strategy, as well as the total funding ultimately provided under such arrangements, is at the discretion of the respective tenant and will be dependent upon independent decisions made by such tenant with respect to any capital improvement projects and the source of funds for such projects.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84785"/>
                <wp:effectExtent l="0" t="0" r="0" b="0"/>
                <wp:wrapNone/>
                <wp:docPr id="56" name="Frame5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Cash Flow Analysis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summarizes our cash flows for the six months ended June 30, 2025 and 2024:</w:t>
      </w:r>
    </w:p>
    <w:tbl>
      <w:tblPr>
        <w:tblW w:w="10205" w:type="dxa"/>
        <w:jc w:val="left"/>
        <w:tblInd w:w="0" w:type="dxa"/>
        <w:tblLayout w:type="fixed"/>
        <w:tblCellMar>
          <w:top w:w="28" w:type="dxa"/>
          <w:left w:w="28" w:type="dxa"/>
          <w:bottom w:w="28" w:type="dxa"/>
          <w:right w:w="28" w:type="dxa"/>
        </w:tblCellMar>
      </w:tblPr>
      <w:tblGrid>
        <w:gridCol w:w="485"/>
        <w:gridCol w:w="425"/>
        <w:gridCol w:w="425"/>
        <w:gridCol w:w="1592"/>
        <w:gridCol w:w="1385"/>
        <w:gridCol w:w="1400"/>
        <w:gridCol w:w="211"/>
        <w:gridCol w:w="976"/>
        <w:gridCol w:w="109"/>
        <w:gridCol w:w="109"/>
        <w:gridCol w:w="109"/>
        <w:gridCol w:w="109"/>
        <w:gridCol w:w="211"/>
        <w:gridCol w:w="976"/>
        <w:gridCol w:w="109"/>
        <w:gridCol w:w="109"/>
        <w:gridCol w:w="109"/>
        <w:gridCol w:w="109"/>
        <w:gridCol w:w="211"/>
        <w:gridCol w:w="878"/>
        <w:gridCol w:w="158"/>
      </w:tblGrid>
      <w:tr>
        <w:trPr/>
        <w:tc>
          <w:tcPr>
            <w:tcW w:w="48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57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in investing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(294,309)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in financing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 of exchange rate changes on cash, cash equivalents and restricted cash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(116,218)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(114,177)</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$73.4 million for the six months ended June 30, 2025 compared with the six months ended June 30, 2024. The increase was primarily driven by the annual rent escalators on our Caesars leases and certain of our other lease agreements and the incremental rent increases from the Venetian Capital Investment (which occurred in July 2024, October 2024 and January 2025), as well as the incremental interest income associated with additional loan fundings and originations.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increased $294.3 million for the six months ended June 30, 2025 compared with the six months ended June 30, 2024.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the primary sources and uses of cash from investing activities included: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Disbursements to fund investments in our loan and securities portfolio in the amount of $723.9 million.</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Proceeds from the partial repayment of the Cabot Saint Lucia loan and Hard Rock Ottawa Notes in the amount of </w:t>
      </w:r>
      <w:r>
        <w:rPr>
          <w:rFonts w:ascii="Times New Roman;serif" w:hAnsi="Times New Roman;serif"/>
          <w:b w:val="false"/>
          <w:color w:val="000000"/>
          <w:sz w:val="20"/>
        </w:rPr>
        <w:t>$3.2 million; and</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Proceeds from sale of land in the amount of </w:t>
      </w:r>
      <w:r>
        <w:rPr>
          <w:rFonts w:ascii="Times New Roman;serif" w:hAnsi="Times New Roman;serif"/>
          <w:b w:val="false"/>
          <w:color w:val="000000"/>
          <w:sz w:val="20"/>
        </w:rPr>
        <w:t>$2.0 million.</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six months ended June 30, 2024</w:t>
      </w:r>
      <w:r>
        <w:rPr>
          <w:rFonts w:ascii="Times New Roman;serif" w:hAnsi="Times New Roman;serif"/>
          <w:b w:val="false"/>
          <w:color w:val="000000"/>
          <w:sz w:val="20"/>
          <w:shd w:fill="FFFFFF" w:val="clear"/>
        </w:rPr>
        <w:t xml:space="preserve">, the primary sources and uses of cash from investing activities included: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Disbursements to fund investments in our loan and securities portfolio in the amount of </w:t>
      </w:r>
      <w:r>
        <w:rPr>
          <w:rFonts w:ascii="Times New Roman;serif" w:hAnsi="Times New Roman;serif"/>
          <w:b w:val="false"/>
          <w:color w:val="000000"/>
          <w:sz w:val="20"/>
        </w:rPr>
        <w:t>$387.3 million</w:t>
      </w:r>
      <w:r>
        <w:rPr>
          <w:rFonts w:ascii="Times New Roman;serif" w:hAnsi="Times New Roman;serif"/>
          <w:b w:val="false"/>
          <w:color w:val="000000"/>
          <w:sz w:val="20"/>
          <w:shd w:fill="FFFFFF" w:val="clear"/>
        </w:rPr>
        <w:t>;</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Payments to fund the Venetian Capital Investment and Property Growth Fund investment at Caruthersville in the amount of </w:t>
      </w:r>
      <w:r>
        <w:rPr>
          <w:rFonts w:ascii="Times New Roman;serif" w:hAnsi="Times New Roman;serif"/>
          <w:b w:val="false"/>
          <w:color w:val="000000"/>
          <w:sz w:val="20"/>
        </w:rPr>
        <w:t>$109.9 million;</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Proceeds from the repayment of the Great Wolf Lodge Maryland mezzanine loan in the amount of </w:t>
      </w:r>
      <w:r>
        <w:rPr>
          <w:rFonts w:ascii="Times New Roman;serif" w:hAnsi="Times New Roman;serif"/>
          <w:b w:val="false"/>
          <w:color w:val="000000"/>
          <w:sz w:val="20"/>
        </w:rPr>
        <w:t>$79.5 million;</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Investments and maturities of short-term investments of </w:t>
      </w:r>
      <w:r>
        <w:rPr>
          <w:rFonts w:ascii="Times New Roman;serif" w:hAnsi="Times New Roman;serif"/>
          <w:b w:val="false"/>
          <w:color w:val="000000"/>
          <w:sz w:val="20"/>
        </w:rPr>
        <w:t>$29.6 million;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Payments for property and equipment costs of $5.1 million.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decreased $104.5 million for the six months ended June 30, 2025, compared with the six months ended June 30, 2024.</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the primary sources and uses of cash in financing activities included: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proceeds from the issuance of the April 2025 Notes in the amount of $1,284.4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84785"/>
                <wp:effectExtent l="0" t="0" r="0" b="0"/>
                <wp:wrapNone/>
                <wp:docPr id="57" name="Frame5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Redemption of the outstanding (i) $799.4 million in aggregate principal amount of the 4.625% Exchange Notes due 2025, (ii) $500.0 million in aggregate principal amount of the 4.375% April 2022 Notes due 2025, and (iii) $0.6 million in aggregate principal amount of the 4.625% MGP OP Notes due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Dividend payments of $915.9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Draws of $423.4 million and repayments of $257.7 million on our Revolving Credit Facility;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Payments of debt issuance costs of $19.4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Distributions of $16.0 million to non-controlling interests;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Repurchase of shares of common stock for tax withholding in connection with the vesting of employee stock compensation of $7.2 million.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2024, the primary sources and uses of cash from financing activities included: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proceeds from the issuance of the March 2024 Notes in the amount of $1,028.5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Redemption of the outstanding (i) $1,024.2 million in aggregate principal amount of the 5.625% Senior Notes due 2024 and (ii) $25.8 million in aggregate principal amount of the 5.625% MGP OP Notes due 2024;</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Dividend payments of $867.6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Distributions of $15.5 million to non-controlling interests;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Repurchase of shares of common stock for tax withholding in connection with the vesting of employee stock compensation of $5.3 million;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Payments of debt issuance costs of $3.0 million.</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Debt</w:t>
      </w:r>
    </w:p>
    <w:p>
      <w:pPr>
        <w:pStyle w:val="TextBody"/>
        <w:bidi w:val="0"/>
        <w:spacing w:lineRule="auto" w:line="288" w:before="180" w:after="283"/>
        <w:jc w:val="both"/>
        <w:rPr/>
      </w:pPr>
      <w:r>
        <w:rPr>
          <w:rFonts w:ascii="Times New Roman;serif" w:hAnsi="Times New Roman;serif"/>
          <w:b w:val="false"/>
          <w:color w:val="000000"/>
          <w:sz w:val="20"/>
        </w:rPr>
        <w:t xml:space="preserve">For a summary of our debt obligations as of June 30, 2025, refer to </w:t>
      </w:r>
      <w:hyperlink w:anchor="if570836a181f43958dee02a390db0eaf_70">
        <w:r>
          <w:rPr>
            <w:rStyle w:val="InternetLink"/>
            <w:rFonts w:ascii="Times New Roman;serif" w:hAnsi="Times New Roman;serif"/>
            <w:b w:val="false"/>
            <w:color w:val="0000FF"/>
            <w:sz w:val="20"/>
            <w:u w:val="single"/>
          </w:rPr>
          <w:t>Note 7 - Debt</w:t>
        </w:r>
      </w:hyperlink>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Covenants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debt obligations are subject to certain customary financial and protective covenants that restrict our ability to incur additional debt, sell certain assets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June 30, 2025, we were in compliance with all debt-related covenants.</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Distribution Policy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intend to make regular quarterly distributions to holders of shares of our common stock. Dividends declared (on a per share basis) during the six months ended June 30, 2025 and 2024 were as follows:</w:t>
      </w:r>
    </w:p>
    <w:tbl>
      <w:tblPr>
        <w:tblW w:w="9292"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404"/>
        <w:gridCol w:w="404"/>
        <w:gridCol w:w="406"/>
        <w:gridCol w:w="109"/>
        <w:gridCol w:w="109"/>
        <w:gridCol w:w="109"/>
        <w:gridCol w:w="955"/>
        <w:gridCol w:w="955"/>
        <w:gridCol w:w="970"/>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2025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2025 –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9262" w:type="dxa"/>
        <w:jc w:val="center"/>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55"/>
        <w:gridCol w:w="955"/>
        <w:gridCol w:w="970"/>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2024</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2024 –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2024 –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84785"/>
                <wp:effectExtent l="0" t="0" r="0" b="0"/>
                <wp:wrapNone/>
                <wp:docPr id="58" name="Frame5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40"/>
        <w:jc w:val="both"/>
        <w:rPr>
          <w:rFonts w:ascii="Times New Roman;serif" w:hAnsi="Times New Roman;serif"/>
          <w:b w:val="false"/>
          <w:color w:val="000000"/>
          <w:sz w:val="20"/>
        </w:rPr>
      </w:pPr>
      <w:r>
        <w:rPr>
          <w:rFonts w:ascii="Times New Roman;serif" w:hAnsi="Times New Roman;serif"/>
          <w:b w:val="false"/>
          <w:color w:val="000000"/>
          <w:sz w:val="20"/>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intend to continue to make distributions to our stockholders to comply with the REIT requirements of the Internal Revenue Code of 1986, as amended (the “Code”), and to avoid or otherwise minimize paying entity level federal income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Critical Accounting Policies and Estimates</w:t>
      </w:r>
    </w:p>
    <w:p>
      <w:pPr>
        <w:pStyle w:val="TextBody"/>
        <w:bidi w:val="0"/>
        <w:spacing w:lineRule="auto" w:line="288" w:before="180" w:after="283"/>
        <w:jc w:val="both"/>
        <w:rPr/>
      </w:pPr>
      <w:r>
        <w:rPr>
          <w:rFonts w:ascii="Times New Roman;serif" w:hAnsi="Times New Roman;serif"/>
          <w:b w:val="false"/>
          <w:color w:val="000000"/>
          <w:sz w:val="20"/>
        </w:rPr>
        <w:t xml:space="preserve">A complete discussion of our critical accounting policies and estimates is included in our </w:t>
      </w:r>
      <w:hyperlink r:id="rId7">
        <w:r>
          <w:rPr>
            <w:rStyle w:val="InternetLink"/>
            <w:rFonts w:ascii="Times New Roman;serif" w:hAnsi="Times New Roman;serif"/>
            <w:b w:val="false"/>
            <w:color w:val="0000FF"/>
            <w:sz w:val="20"/>
            <w:u w:val="single"/>
          </w:rPr>
          <w:t>Annual Report on Form 10-K for the year ended December 31, 2024</w:t>
        </w:r>
      </w:hyperlink>
      <w:r>
        <w:rPr>
          <w:rFonts w:ascii="Times New Roman;serif" w:hAnsi="Times New Roman;serif"/>
          <w:b w:val="false"/>
          <w:color w:val="000000"/>
          <w:sz w:val="20"/>
        </w:rPr>
        <w:t>. There have been no significant changes in our critical policies and estimates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Item 3.        Quantitative and Qualitative Disclosures About Market Risk</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interest rate risk management objective is to limit the impact of future interest rate changes on our earnings and cash flows. To achieve this objective, our consolidated subsidiaries primarily borrow on a fixed-rate basis for longer-term debt issuances. As of June 30, 2025, we had $17.3 billion aggregate principal amount of outstanding indebtedness, of which 98.1% has fixed rate interest and 1.9% has a variable interest rate, representing the US$323.5 million outstanding balance under the Revolving Credit Facility (including amounts denominated in CAD and GBP and based on the applicable exchange rate as of June 30, 2025). As of June 30, 2025, a one percent increase or decrease in the annual interest rate on our variable rate borrowings would increase or decrease our annual cash interest expense by approximately $3.2 million using the applicable exchange rate as of June 30,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Additionally, we are exposed to interest rate risk in connection with the refinancing of our long-term debt as it approaches maturity and between the time we enter into a transaction and the time we finance the related transaction with long-term fixed-rate debt (to the extent we do so). In a heightened interest rate environment, we have from time to time and may in the future seek to mitigate that risk by utilizing forward-starting interest rate swap agreements, U.S. Treasury Rate locks and other derivative instruments. Market interest rates are sensitive to many factors that are beyond our control.</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Capital Markets Risks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long-term indebtedness, borrowings under credit facilities or other debt instruments.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Foreign Currency Exchange Rates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foreign currency exchange variability related to investments in and earnings from our foreign investments. Foreign currency market risk is the possibility that our results of operations or financial position could be better or worse than planned because of changes in foreign currency exchange rates. We primarily hedge our foreign currency risk by borrowing in the currencies in which we invest, thereby providing a natural hedge. We continuously evaluate our foreign currency risk and may in the future use derivative financial instruments, such as currency exchange swaps, foreign currency collars, and foreign currency forward contracts with financial counterparties to further mitigate such risk.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84785"/>
                <wp:effectExtent l="0" t="0" r="0" b="0"/>
                <wp:wrapNone/>
                <wp:docPr id="59" name="Frame5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Item 4.        Controls and Procedures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VICI Properties Inc.</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VICI’s management, including VICI’s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VICI’s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VICI’s principal executive officer and principal financial officer concluded that VICI’s disclosure controls and procedures were effective as of the end of the period covered by this report.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VICI’s internal control over financial reporting (as defined in Rules 13a-15(f) and 15d-15(f) under the Exchange Act) that occurred during the three months ended June 30, 2025, that have materially affected, or are reasonably likely to materially affect, VICI’s internal control over financial reporting.</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VICI Properties L.P.</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LP maintains disclosure controls and procedures (as defined in Rules 13a-15(e) and 15d-15(e) of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VICI LP’s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LP’s management has evaluated, under the supervision and with the participation of VICI LP’s principal executive officer and principal financial officer, the effectiveness of VICI LP’s disclosure controls and procedures pursuant to Exchange Act Rule 13a-15(e) as of the end of the period covered by this report. Based upon this evaluation, VICI LP’s principal executive officer and principal financial officer concluded that VICI LP’s disclosure controls and procedures were effective as of the end of the period covered by this report.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VICI LP’s internal control over financial reporting (as defined in Rules 13a-15(f) and 15d-15(f) under the Exchange Act) that occurred during the three months ended June 30, 2025, that have materially affected, or are reasonably likely to materially affect, VICI LP’s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84785"/>
                <wp:effectExtent l="0" t="0" r="0" b="0"/>
                <wp:wrapNone/>
                <wp:docPr id="60" name="Frame5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Item 1.        Legal Proceedings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The information contained under the heading “Litigation” in </w:t>
      </w:r>
      <w:hyperlink w:anchor="if570836a181f43958dee02a390db0eaf_79">
        <w:r>
          <w:rPr>
            <w:rStyle w:val="InternetLink"/>
            <w:rFonts w:ascii="Times New Roman;serif" w:hAnsi="Times New Roman;serif"/>
            <w:b w:val="false"/>
            <w:color w:val="0000FF"/>
            <w:sz w:val="20"/>
            <w:u w:val="single"/>
          </w:rPr>
          <w:t>Note 10 - Commitments and Contingent Liabilities</w:t>
        </w:r>
      </w:hyperlink>
      <w:r>
        <w:rPr>
          <w:color w:val="000000"/>
        </w:rPr>
        <w:t xml:space="preserve"> </w:t>
      </w:r>
      <w:r>
        <w:rPr>
          <w:rFonts w:ascii="Times New Roman;serif" w:hAnsi="Times New Roman;serif"/>
          <w:b w:val="false"/>
          <w:color w:val="000000"/>
          <w:sz w:val="20"/>
        </w:rPr>
        <w:t xml:space="preserve">to our Financial Statements included in this report is incorporated by reference into this Item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erif" w:hAnsi="Times New Roman;serif"/>
          <w:b/>
          <w:color w:val="000000"/>
          <w:sz w:val="24"/>
        </w:rPr>
      </w:pPr>
      <w:r>
        <w:rPr>
          <w:rFonts w:ascii="Times New Roman;serif" w:hAnsi="Times New Roman;serif"/>
          <w:b/>
          <w:color w:val="000000"/>
          <w:sz w:val="24"/>
        </w:rPr>
        <w:t>Item 1A.    Risk Factors</w:t>
      </w:r>
    </w:p>
    <w:p>
      <w:pPr>
        <w:pStyle w:val="TextBody"/>
        <w:bidi w:val="0"/>
        <w:spacing w:lineRule="auto" w:line="288" w:before="180" w:after="283"/>
        <w:jc w:val="both"/>
        <w:rPr/>
      </w:pPr>
      <w:r>
        <w:rPr>
          <w:rFonts w:ascii="Times New Roman;serif" w:hAnsi="Times New Roman;serif"/>
          <w:b w:val="false"/>
          <w:color w:val="000000"/>
          <w:sz w:val="20"/>
        </w:rPr>
        <w:t xml:space="preserve">A description of certain factors that may affect our future results and risk factors is set forth in our </w:t>
      </w:r>
      <w:hyperlink r:id="rId8">
        <w:r>
          <w:rPr>
            <w:rStyle w:val="InternetLink"/>
            <w:rFonts w:ascii="Times New Roman;serif" w:hAnsi="Times New Roman;serif"/>
            <w:b w:val="false"/>
            <w:color w:val="0000FF"/>
            <w:sz w:val="20"/>
            <w:u w:val="single"/>
          </w:rPr>
          <w:t>Annual Report on Form 10-K for the year ended December 31, 2024</w:t>
        </w:r>
      </w:hyperlink>
      <w:r>
        <w:rPr>
          <w:rFonts w:ascii="Times New Roman;serif" w:hAnsi="Times New Roman;serif"/>
          <w:b w:val="false"/>
          <w:color w:val="000000"/>
          <w:sz w:val="20"/>
        </w:rPr>
        <w:t>, and is incorporated by reference into this Item 1A. There have been no material changes to those factors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erif" w:hAnsi="Times New Roman;serif"/>
          <w:b/>
          <w:color w:val="000000"/>
          <w:sz w:val="24"/>
        </w:rPr>
      </w:pPr>
      <w:r>
        <w:rPr>
          <w:rFonts w:ascii="Times New Roman;serif" w:hAnsi="Times New Roman;serif"/>
          <w:b/>
          <w:color w:val="000000"/>
          <w:sz w:val="24"/>
        </w:rPr>
        <w:t>Item 2.     Unregistered Sales of Equity Securities and Use of Proceeds</w:t>
      </w:r>
    </w:p>
    <w:p>
      <w:pPr>
        <w:pStyle w:val="TextBody"/>
        <w:bidi w:val="0"/>
        <w:spacing w:lineRule="auto" w:line="288" w:before="180" w:after="60"/>
        <w:jc w:val="left"/>
        <w:rPr>
          <w:rFonts w:ascii="Times New Roman;serif" w:hAnsi="Times New Roman;serif"/>
          <w:b/>
          <w:color w:val="000000"/>
          <w:sz w:val="20"/>
        </w:rPr>
      </w:pPr>
      <w:r>
        <w:rPr>
          <w:rFonts w:ascii="Times New Roman;serif" w:hAnsi="Times New Roman;serif"/>
          <w:b/>
          <w:color w:val="000000"/>
          <w:sz w:val="20"/>
        </w:rPr>
        <w:t>(a) Unregistered Sales of Equity Securities and Use of Proceeds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(b) Use of Proceeds from Registered Securities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(c) Issuer Purchases of Equity Securities</w:t>
      </w:r>
    </w:p>
    <w:p>
      <w:pPr>
        <w:pStyle w:val="TextBody"/>
        <w:bidi w:val="0"/>
        <w:spacing w:lineRule="auto" w:line="288" w:before="240" w:after="60"/>
        <w:jc w:val="left"/>
        <w:rPr>
          <w:rFonts w:ascii="Times New Roman;serif" w:hAnsi="Times New Roman;serif"/>
          <w:b/>
          <w:i/>
          <w:color w:val="000000"/>
          <w:sz w:val="20"/>
        </w:rPr>
      </w:pPr>
      <w:r>
        <w:rPr>
          <w:rFonts w:ascii="Times New Roman;serif" w:hAnsi="Times New Roman;serif"/>
          <w:b/>
          <w:i/>
          <w:color w:val="000000"/>
          <w:sz w:val="20"/>
        </w:rPr>
        <w:t>VICI Properties Inc.</w:t>
      </w:r>
    </w:p>
    <w:p>
      <w:pPr>
        <w:pStyle w:val="TextBody"/>
        <w:bidi w:val="0"/>
        <w:spacing w:lineRule="auto" w:line="288" w:before="240" w:after="283"/>
        <w:jc w:val="both"/>
        <w:rPr/>
      </w:pPr>
      <w:r>
        <w:rPr>
          <w:rFonts w:ascii="Times New Roman;serif" w:hAnsi="Times New Roman;serif"/>
          <w:b w:val="false"/>
          <w:color w:val="000000"/>
          <w:sz w:val="20"/>
          <w:shd w:fill="FFFFFF" w:val="clear"/>
        </w:rPr>
        <w:t>During the three months ended June 30, 2025,</w:t>
      </w:r>
      <w:r>
        <w:rPr>
          <w:color w:val="000000"/>
        </w:rPr>
        <w:t xml:space="preserve"> </w:t>
      </w:r>
      <w:r>
        <w:rPr>
          <w:rFonts w:ascii="Times New Roman;serif" w:hAnsi="Times New Roman;serif"/>
          <w:b w:val="false"/>
          <w:color w:val="000000"/>
          <w:sz w:val="20"/>
        </w:rPr>
        <w:t>certain employees surrendered shares of common stock owned by them to VICI to satisfy their statutory minimum federal and state income tax obligations associated with the vesting of shares of restricted common stock issued under our stock incentive plan. The following table summarizes such common stock repurchases during the three months ended June 30, 2025:</w:t>
      </w:r>
    </w:p>
    <w:tbl>
      <w:tblPr>
        <w:tblW w:w="10205" w:type="dxa"/>
        <w:jc w:val="left"/>
        <w:tblInd w:w="0" w:type="dxa"/>
        <w:tblLayout w:type="fixed"/>
        <w:tblCellMar>
          <w:top w:w="28" w:type="dxa"/>
          <w:left w:w="28" w:type="dxa"/>
          <w:bottom w:w="28" w:type="dxa"/>
          <w:right w:w="28" w:type="dxa"/>
        </w:tblCellMar>
      </w:tblPr>
      <w:tblGrid>
        <w:gridCol w:w="537"/>
        <w:gridCol w:w="471"/>
        <w:gridCol w:w="477"/>
        <w:gridCol w:w="109"/>
        <w:gridCol w:w="109"/>
        <w:gridCol w:w="109"/>
        <w:gridCol w:w="504"/>
        <w:gridCol w:w="489"/>
        <w:gridCol w:w="491"/>
        <w:gridCol w:w="109"/>
        <w:gridCol w:w="109"/>
        <w:gridCol w:w="109"/>
        <w:gridCol w:w="300"/>
        <w:gridCol w:w="899"/>
        <w:gridCol w:w="155"/>
        <w:gridCol w:w="109"/>
        <w:gridCol w:w="109"/>
        <w:gridCol w:w="109"/>
        <w:gridCol w:w="717"/>
        <w:gridCol w:w="717"/>
        <w:gridCol w:w="719"/>
        <w:gridCol w:w="109"/>
        <w:gridCol w:w="109"/>
        <w:gridCol w:w="109"/>
        <w:gridCol w:w="706"/>
        <w:gridCol w:w="706"/>
        <w:gridCol w:w="1009"/>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w:t>
              <w:br/>
              <w:t>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Number Of Shares That </w:t>
              <w:br/>
              <w:t>May Yet Be Purchased Under The Plans Or Programs</w:t>
            </w:r>
          </w:p>
        </w:tc>
      </w:tr>
      <w:tr>
        <w:trPr/>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2025 through April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 through 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June 1, 2025 through June 30, 2025 </w:t>
            </w:r>
            <w:r>
              <w:rPr>
                <w:rFonts w:ascii="Times New Roman;serif" w:hAnsi="Times New Roman;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1,360</w:t>
            </w:r>
            <w:r>
              <w:rPr>
                <w:color w:val="000000"/>
              </w:rPr>
              <w:t>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31.71</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All shares of common stock were surrendered by certain employees to VICI to satisfy their statutory minimum federal and state income tax obligations associated with the vesting of performance-based restricted stock units and shares of restricted common stock issued under our stock incentive plan.</w:t>
      </w:r>
    </w:p>
    <w:p>
      <w:pPr>
        <w:pStyle w:val="TextBody"/>
        <w:bidi w:val="0"/>
        <w:spacing w:lineRule="auto" w:line="288" w:before="240" w:after="60"/>
        <w:jc w:val="left"/>
        <w:rPr>
          <w:rFonts w:ascii="Times New Roman;serif" w:hAnsi="Times New Roman;serif"/>
          <w:b/>
          <w:i/>
          <w:color w:val="000000"/>
          <w:sz w:val="20"/>
        </w:rPr>
      </w:pPr>
      <w:r>
        <w:rPr>
          <w:rFonts w:ascii="Times New Roman;serif" w:hAnsi="Times New Roman;serif"/>
          <w:b/>
          <w:i/>
          <w:color w:val="000000"/>
          <w:sz w:val="20"/>
        </w:rPr>
        <w:t>VICI Properties L.P.</w:t>
      </w:r>
    </w:p>
    <w:p>
      <w:pPr>
        <w:pStyle w:val="TextBody"/>
        <w:bidi w:val="0"/>
        <w:spacing w:lineRule="auto" w:line="288" w:before="240" w:after="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VICI LP did not repurchase any equity securities registered pursuant to Section 12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erif" w:hAnsi="Times New Roman;serif"/>
          <w:b/>
          <w:color w:val="000000"/>
          <w:sz w:val="24"/>
        </w:rPr>
      </w:pPr>
      <w:r>
        <w:rPr>
          <w:rFonts w:ascii="Times New Roman;serif" w:hAnsi="Times New Roman;serif"/>
          <w:b/>
          <w:color w:val="000000"/>
          <w:sz w:val="24"/>
        </w:rPr>
        <w:t>Item 3.Defaults Upon Senior Securities</w:t>
      </w:r>
    </w:p>
    <w:p>
      <w:pPr>
        <w:pStyle w:val="TextBody"/>
        <w:bidi w:val="0"/>
        <w:spacing w:lineRule="auto" w:line="288" w:before="180" w:after="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erif" w:hAnsi="Times New Roman;serif"/>
          <w:b/>
          <w:color w:val="000000"/>
          <w:sz w:val="24"/>
        </w:rPr>
      </w:pPr>
      <w:r>
        <w:rPr>
          <w:rFonts w:ascii="Times New Roman;serif" w:hAnsi="Times New Roman;serif"/>
          <w:b/>
          <w:color w:val="000000"/>
          <w:sz w:val="24"/>
        </w:rPr>
        <w:t>Item 4.Mine Safety Disclosures</w:t>
      </w:r>
    </w:p>
    <w:p>
      <w:pPr>
        <w:pStyle w:val="TextBody"/>
        <w:bidi w:val="0"/>
        <w:spacing w:lineRule="auto" w:line="288" w:before="180" w:after="6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84785"/>
                <wp:effectExtent l="0" t="0" r="0" b="0"/>
                <wp:wrapNone/>
                <wp:docPr id="61" name="Frame6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180" w:after="283"/>
        <w:jc w:val="both"/>
        <w:rPr/>
      </w:pPr>
      <w:r>
        <w:rPr/>
      </w:r>
    </w:p>
    <w:p>
      <w:pPr>
        <w:pStyle w:val="TextBody"/>
        <w:bidi w:val="0"/>
        <w:spacing w:lineRule="auto" w:line="288" w:before="240" w:after="283"/>
        <w:ind w:left="0" w:right="0" w:hanging="1440"/>
        <w:jc w:val="both"/>
        <w:rPr>
          <w:rFonts w:ascii="Times New Roman;serif" w:hAnsi="Times New Roman;serif"/>
          <w:b/>
          <w:color w:val="000000"/>
          <w:sz w:val="24"/>
        </w:rPr>
      </w:pPr>
      <w:r>
        <w:rPr>
          <w:rFonts w:ascii="Times New Roman;serif" w:hAnsi="Times New Roman;serif"/>
          <w:b/>
          <w:color w:val="000000"/>
          <w:sz w:val="24"/>
        </w:rPr>
        <w:t>Item 5.Other Information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4"/>
        </w:rPr>
        <w:t>Item 6.</w:t>
      </w:r>
      <w:r>
        <w:rPr>
          <w:rFonts w:ascii="Times New Roman;serif" w:hAnsi="Times New Roman;serif"/>
          <w:b/>
          <w:color w:val="000000"/>
          <w:sz w:val="24"/>
        </w:rPr>
        <w:t>Exhibits</w: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1782"/>
        <w:gridCol w:w="1618"/>
        <w:gridCol w:w="1545"/>
        <w:gridCol w:w="109"/>
        <w:gridCol w:w="109"/>
        <w:gridCol w:w="109"/>
        <w:gridCol w:w="297"/>
        <w:gridCol w:w="297"/>
        <w:gridCol w:w="298"/>
        <w:gridCol w:w="109"/>
        <w:gridCol w:w="109"/>
        <w:gridCol w:w="109"/>
        <w:gridCol w:w="170"/>
        <w:gridCol w:w="170"/>
        <w:gridCol w:w="171"/>
        <w:gridCol w:w="116"/>
        <w:gridCol w:w="116"/>
        <w:gridCol w:w="116"/>
        <w:gridCol w:w="210"/>
        <w:gridCol w:w="210"/>
        <w:gridCol w:w="211"/>
        <w:gridCol w:w="116"/>
        <w:gridCol w:w="116"/>
        <w:gridCol w:w="116"/>
        <w:gridCol w:w="211"/>
        <w:gridCol w:w="211"/>
        <w:gridCol w:w="212"/>
        <w:gridCol w:w="165"/>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Fourth Supplemental Indenture, dated as of April 7, 2025, between VICI Properties L.P.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4/7/2025</w:t>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
              <w:r>
                <w:rPr>
                  <w:rStyle w:val="InternetLink"/>
                  <w:rFonts w:ascii="Times New Roman;serif" w:hAnsi="Times New Roman;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Form of Global Note representing the 4.750% Senior Notes due 2028 (included in Exhibit 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4/7/2025</w:t>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
              <w:r>
                <w:rPr>
                  <w:rStyle w:val="InternetLink"/>
                  <w:rFonts w:ascii="Times New Roman;serif" w:hAnsi="Times New Roman;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Form of Global Note representing the 5.625% Senior Notes due 2035 (included in Exhibit 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4/7/2025</w:t>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regionallease-thirteentham.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egionallease-thirteentham.htm">
              <w:r>
                <w:rPr>
                  <w:rStyle w:val="InternetLink"/>
                  <w:rFonts w:ascii="Times New Roman;serif" w:hAnsi="Times New Roman;serif"/>
                  <w:b w:val="false"/>
                  <w:color w:val="0000FF"/>
                  <w:sz w:val="20"/>
                  <w:u w:val="single"/>
                </w:rPr>
                <w:t>Thirteenth Amendment to Regional Lease, dated as of June 27, 2025, by and among the entities listed on Schedules A and B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5exh311xviciprope.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5exh311xviciprope.htm">
              <w:r>
                <w:rPr>
                  <w:rStyle w:val="InternetLink"/>
                  <w:rFonts w:ascii="Times New Roman;serif" w:hAnsi="Times New Roman;serif"/>
                  <w:b w:val="false"/>
                  <w:color w:val="0000FF"/>
                  <w:sz w:val="20"/>
                  <w:u w:val="single"/>
                </w:rPr>
                <w:t>VICI Properties Inc.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5exh312xviciprope.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5exh312xviciprope.htm">
              <w:r>
                <w:rPr>
                  <w:rStyle w:val="InternetLink"/>
                  <w:rFonts w:ascii="Times New Roman;serif" w:hAnsi="Times New Roman;serif"/>
                  <w:b w:val="false"/>
                  <w:color w:val="0000FF"/>
                  <w:sz w:val="20"/>
                  <w:u w:val="single"/>
                </w:rPr>
                <w:t>VICI Properties Inc.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5exh313xviciprope.htm">
              <w:r>
                <w:rPr>
                  <w:rStyle w:val="InternetLink"/>
                  <w:rFonts w:ascii="Times New Roman;serif" w:hAnsi="Times New Roman;serif"/>
                  <w:b w:val="false"/>
                  <w:color w:val="0000FF"/>
                  <w:sz w:val="20"/>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5exh313xviciprope.htm">
              <w:r>
                <w:rPr>
                  <w:rStyle w:val="InternetLink"/>
                  <w:rFonts w:ascii="Times New Roman;serif" w:hAnsi="Times New Roman;serif"/>
                  <w:b w:val="false"/>
                  <w:color w:val="0000FF"/>
                  <w:sz w:val="20"/>
                  <w:u w:val="single"/>
                </w:rPr>
                <w:t>VICI Properties L.P.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5exh314xviciprope.htm">
              <w:r>
                <w:rPr>
                  <w:rStyle w:val="InternetLink"/>
                  <w:rFonts w:ascii="Times New Roman;serif" w:hAnsi="Times New Roman;serif"/>
                  <w:b w:val="false"/>
                  <w:color w:val="0000FF"/>
                  <w:sz w:val="20"/>
                  <w:u w:val="single"/>
                </w:rPr>
                <w:t>31.4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5exh314xviciprope.htm">
              <w:r>
                <w:rPr>
                  <w:rStyle w:val="InternetLink"/>
                  <w:rFonts w:ascii="Times New Roman;serif" w:hAnsi="Times New Roman;serif"/>
                  <w:b w:val="false"/>
                  <w:color w:val="0000FF"/>
                  <w:sz w:val="20"/>
                  <w:u w:val="single"/>
                </w:rPr>
                <w:t>VICI Properties L.P.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5exh321xviciprope.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5exh321xviciprope.htm">
              <w:r>
                <w:rPr>
                  <w:rStyle w:val="InternetLink"/>
                  <w:rFonts w:ascii="Times New Roman;serif" w:hAnsi="Times New Roman;serif"/>
                  <w:b w:val="false"/>
                  <w:color w:val="0000FF"/>
                  <w:sz w:val="20"/>
                  <w:u w:val="single"/>
                </w:rPr>
                <w:t>VICI Properties Inc.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5exh322xviciprope.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5exh322xviciprope.htm">
              <w:r>
                <w:rPr>
                  <w:rStyle w:val="InternetLink"/>
                  <w:rFonts w:ascii="Times New Roman;serif" w:hAnsi="Times New Roman;serif"/>
                  <w:b w:val="false"/>
                  <w:color w:val="0000FF"/>
                  <w:sz w:val="20"/>
                  <w:u w:val="single"/>
                </w:rPr>
                <w:t>VICI Properties Inc.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5exh323xviciprope.htm">
              <w:r>
                <w:rPr>
                  <w:rStyle w:val="InternetLink"/>
                  <w:rFonts w:ascii="Times New Roman;serif" w:hAnsi="Times New Roman;serif"/>
                  <w:b w:val="false"/>
                  <w:color w:val="0000FF"/>
                  <w:sz w:val="20"/>
                  <w:u w:val="single"/>
                </w:rPr>
                <w:t>32.3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5exh323xviciprope.htm">
              <w:r>
                <w:rPr>
                  <w:rStyle w:val="InternetLink"/>
                  <w:rFonts w:ascii="Times New Roman;serif" w:hAnsi="Times New Roman;serif"/>
                  <w:b w:val="false"/>
                  <w:color w:val="0000FF"/>
                  <w:sz w:val="20"/>
                  <w:u w:val="single"/>
                </w:rPr>
                <w:t>VICI Properties L.P.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5exh324xviciprope.htm">
              <w:r>
                <w:rPr>
                  <w:rStyle w:val="InternetLink"/>
                  <w:rFonts w:ascii="Times New Roman;serif" w:hAnsi="Times New Roman;serif"/>
                  <w:b w:val="false"/>
                  <w:color w:val="0000FF"/>
                  <w:sz w:val="20"/>
                  <w:u w:val="single"/>
                </w:rPr>
                <w:t>32.4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5exh324xviciprope.htm">
              <w:r>
                <w:rPr>
                  <w:rStyle w:val="InternetLink"/>
                  <w:rFonts w:ascii="Times New Roman;serif" w:hAnsi="Times New Roman;serif"/>
                  <w:b w:val="false"/>
                  <w:color w:val="0000FF"/>
                  <w:sz w:val="20"/>
                  <w:u w:val="single"/>
                </w:rPr>
                <w:t>VICI Properties L.P.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pPr>
      <w:hyperlink w:anchor="if570836a181f43958dee02a390db0ea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both"/>
        <w:rPr>
          <w:color w:val="000000"/>
        </w:rPr>
      </w:pPr>
      <w:r>
        <w:rPr>
          <w:color w:val="000000"/>
        </w:rPr>
        <w:t>                        </w:t>
      </w:r>
    </w:p>
    <w:tbl>
      <w:tblPr>
        <w:tblW w:w="8049" w:type="dxa"/>
        <w:jc w:val="left"/>
        <w:tblInd w:w="0" w:type="dxa"/>
        <w:tblLayout w:type="fixed"/>
        <w:tblCellMar>
          <w:top w:w="28" w:type="dxa"/>
          <w:left w:w="28" w:type="dxa"/>
          <w:bottom w:w="28" w:type="dxa"/>
          <w:right w:w="28" w:type="dxa"/>
        </w:tblCellMar>
      </w:tblPr>
      <w:tblGrid>
        <w:gridCol w:w="964"/>
        <w:gridCol w:w="849"/>
        <w:gridCol w:w="857"/>
        <w:gridCol w:w="174"/>
        <w:gridCol w:w="174"/>
        <w:gridCol w:w="174"/>
        <w:gridCol w:w="1047"/>
        <w:gridCol w:w="1047"/>
        <w:gridCol w:w="981"/>
        <w:gridCol w:w="174"/>
        <w:gridCol w:w="174"/>
        <w:gridCol w:w="174"/>
        <w:gridCol w:w="369"/>
        <w:gridCol w:w="369"/>
        <w:gridCol w:w="522"/>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80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VICI PROPERTIES INC.</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30,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30,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GABRIEL F. WASSERMAN</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30,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Gabriel F. Wasserman</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18" w:type="dxa"/>
        <w:jc w:val="left"/>
        <w:tblInd w:w="0" w:type="dxa"/>
        <w:tblLayout w:type="fixed"/>
        <w:tblCellMar>
          <w:top w:w="28" w:type="dxa"/>
          <w:left w:w="28" w:type="dxa"/>
          <w:bottom w:w="28" w:type="dxa"/>
          <w:right w:w="28" w:type="dxa"/>
        </w:tblCellMar>
      </w:tblPr>
      <w:tblGrid>
        <w:gridCol w:w="964"/>
        <w:gridCol w:w="849"/>
        <w:gridCol w:w="857"/>
        <w:gridCol w:w="169"/>
        <w:gridCol w:w="169"/>
        <w:gridCol w:w="169"/>
        <w:gridCol w:w="1020"/>
        <w:gridCol w:w="1020"/>
        <w:gridCol w:w="1034"/>
        <w:gridCol w:w="169"/>
        <w:gridCol w:w="169"/>
        <w:gridCol w:w="169"/>
        <w:gridCol w:w="369"/>
        <w:gridCol w:w="369"/>
        <w:gridCol w:w="522"/>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80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VICI PROPERTIES L.P.</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30,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30,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GABRIEL F. WASSERMAN</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30,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Gabriel F. Wasserman</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84785"/>
                <wp:effectExtent l="0" t="0" r="0" b="0"/>
                <wp:wrapNone/>
                <wp:docPr id="63" name="Frame6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THIRTEENTH AMENDMENT TO LEASE</w:t>
      </w:r>
    </w:p>
    <w:p>
      <w:pPr>
        <w:pStyle w:val="TextBody"/>
        <w:bidi w:val="0"/>
        <w:spacing w:lineRule="auto" w:line="288" w:before="0" w:after="200"/>
        <w:ind w:left="0" w:right="0" w:firstLine="720"/>
        <w:jc w:val="both"/>
        <w:rPr/>
      </w:pPr>
      <w:r>
        <w:rPr>
          <w:rFonts w:ascii="Times New Roman;serif" w:hAnsi="Times New Roman;serif"/>
          <w:b w:val="false"/>
          <w:color w:val="000000"/>
          <w:sz w:val="24"/>
        </w:rPr>
        <w:t xml:space="preserve">This </w:t>
      </w:r>
      <w:r>
        <w:rPr>
          <w:rFonts w:ascii="Times New Roman;serif" w:hAnsi="Times New Roman;serif"/>
          <w:b/>
          <w:color w:val="000000"/>
          <w:sz w:val="24"/>
        </w:rPr>
        <w:t>THIRTEENTH AMENDMENT TO LEASE</w:t>
      </w:r>
      <w:r>
        <w:rPr>
          <w:color w:val="000000"/>
        </w:rPr>
        <w:t xml:space="preserve"> </w:t>
      </w:r>
      <w:r>
        <w:rPr>
          <w:rFonts w:ascii="Times New Roman;serif" w:hAnsi="Times New Roman;serif"/>
          <w:b w:val="false"/>
          <w:color w:val="000000"/>
          <w:sz w:val="24"/>
        </w:rPr>
        <w:t>(this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xml:space="preserve">) is entered into as of June 27, 2025, by and among the entities listed on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attached hereto (collectively, and together with their respective successors and assigns, “</w:t>
      </w:r>
      <w:r>
        <w:rPr>
          <w:rFonts w:ascii="Times New Roman;serif" w:hAnsi="Times New Roman;serif"/>
          <w:b w:val="false"/>
          <w:color w:val="000000"/>
          <w:sz w:val="24"/>
          <w:u w:val="single"/>
        </w:rPr>
        <w:t>Landlord</w:t>
      </w:r>
      <w:r>
        <w:rPr>
          <w:color w:val="000000"/>
        </w:rPr>
        <w:t>”</w:t>
      </w:r>
      <w:r>
        <w:rPr>
          <w:rFonts w:ascii="Times New Roman;serif" w:hAnsi="Times New Roman;serif"/>
          <w:b w:val="false"/>
          <w:color w:val="000000"/>
          <w:sz w:val="24"/>
        </w:rPr>
        <w:t xml:space="preserve">), the entities listed on </w:t>
      </w:r>
      <w:r>
        <w:rPr>
          <w:rFonts w:ascii="Times New Roman;serif" w:hAnsi="Times New Roman;serif"/>
          <w:b w:val="false"/>
          <w:color w:val="000000"/>
          <w:sz w:val="24"/>
          <w:u w:val="single"/>
        </w:rPr>
        <w:t>Schedule B</w:t>
      </w:r>
      <w:r>
        <w:rPr>
          <w:color w:val="000000"/>
        </w:rPr>
        <w:t xml:space="preserve"> </w:t>
      </w:r>
      <w:r>
        <w:rPr>
          <w:rFonts w:ascii="Times New Roman;serif" w:hAnsi="Times New Roman;serif"/>
          <w:b w:val="false"/>
          <w:color w:val="000000"/>
          <w:sz w:val="24"/>
        </w:rPr>
        <w:t>attached hereto (collectively, and together with their respective successors and assigns, “</w:t>
      </w:r>
      <w:r>
        <w:rPr>
          <w:rFonts w:ascii="Times New Roman;serif" w:hAnsi="Times New Roman;serif"/>
          <w:b w:val="false"/>
          <w:color w:val="000000"/>
          <w:sz w:val="24"/>
          <w:u w:val="single"/>
        </w:rPr>
        <w:t>Tenant</w:t>
      </w:r>
      <w:r>
        <w:rPr>
          <w:color w:val="000000"/>
        </w:rPr>
        <w:t>”</w:t>
      </w:r>
      <w:r>
        <w:rPr>
          <w:rFonts w:ascii="Times New Roman;serif" w:hAnsi="Times New Roman;serif"/>
          <w:b w:val="false"/>
          <w:color w:val="000000"/>
          <w:sz w:val="24"/>
        </w:rPr>
        <w:t xml:space="preserve">) and, solely for the purposes of the penultimate paragraph of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of the Lease (as defined below), Propco TRS LLC, a Delaware limited liability company (“</w:t>
      </w:r>
      <w:r>
        <w:rPr>
          <w:rFonts w:ascii="Times New Roman;serif" w:hAnsi="Times New Roman;serif"/>
          <w:b w:val="false"/>
          <w:color w:val="000000"/>
          <w:sz w:val="24"/>
          <w:u w:val="single"/>
        </w:rPr>
        <w:t>Propco TRS</w:t>
      </w:r>
      <w:r>
        <w:rPr>
          <w:color w:val="000000"/>
        </w:rPr>
        <w:t>”</w:t>
      </w:r>
      <w:r>
        <w:rPr>
          <w:rFonts w:ascii="Times New Roman;serif" w:hAnsi="Times New Roman;serif"/>
          <w:b w:val="false"/>
          <w:color w:val="000000"/>
          <w:sz w:val="24"/>
        </w:rPr>
        <w:t>).</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00"/>
        <w:ind w:left="0" w:right="0" w:firstLine="720"/>
        <w:jc w:val="both"/>
        <w:rPr/>
      </w:pPr>
      <w:r>
        <w:rPr>
          <w:rFonts w:ascii="Times New Roman;serif" w:hAnsi="Times New Roman;serif"/>
          <w:b/>
          <w:color w:val="000000"/>
          <w:sz w:val="24"/>
        </w:rPr>
        <w:t xml:space="preserve">WHEREAS, </w:t>
      </w:r>
      <w:r>
        <w:rPr>
          <w:rFonts w:ascii="Times New Roman;serif" w:hAnsi="Times New Roman;serif"/>
          <w:b w:val="false"/>
          <w:color w:val="000000"/>
          <w:sz w:val="24"/>
        </w:rPr>
        <w:t xml:space="preserve">Landlord, Tenant and, solely for the purposes of the penultimate paragraph of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of the Lease, Propco TRS, are parties to that certain Lease (Non-CPLV), dated as of October 6, 2017, as amended by that certain First Amendment to Lease (Non-CPLV), dated as of December 22, 2017, as amended by that certain Second Amendment to Lease (Non-CPLV) and Ratification of SNDA, dated as of February 16, 2018, as amended by that certain Third Amendment to Lease (Non-CPLV), dated as of April 2, 2018, as amended by that certain Fourth Amendment to Lease (Non-CPLV), dated as of December 26, 2018, as amended by that certain Omnibus Amendment to Leases, dated as of June 1, 2020, as amended by that certain Fifth Amendment to Lease (Non-CPLV), dated as of July 20, 2020, as amended by that certain Sixth Amendment to Lease, dated as of September 30, 2020, as amended by that certain Amended and Restated Omnibus Amendment to Leases, dated as of October 27, 2020, as amended by that certain Seventh Amendment to Lease, dated as of November 18, 2020, as amended by that certain Eighth Amendment to Lease, dated as of September 3, 2021, as amended by that certain Ninth Amendment to Lease, dated as of November 1, 2021, as amended by that certain Tenth Amendment to Lease, dated as of December 30, 2021, as amended by that certain Eleventh Amendment to Lease, dated as of August 25, 2022, and as amended by that certain Twelfth Amendment to Lease, dated as of April 7, 2023 (collectively, as amended, the “</w:t>
      </w:r>
      <w:r>
        <w:rPr>
          <w:rFonts w:ascii="Times New Roman;serif" w:hAnsi="Times New Roman;serif"/>
          <w:b w:val="false"/>
          <w:color w:val="000000"/>
          <w:sz w:val="24"/>
          <w:u w:val="single"/>
        </w:rPr>
        <w:t>Lease</w:t>
      </w:r>
      <w:r>
        <w:rPr>
          <w:color w:val="000000"/>
        </w:rPr>
        <w:t>”</w:t>
      </w:r>
      <w:r>
        <w:rPr>
          <w:rFonts w:ascii="Times New Roman;serif" w:hAnsi="Times New Roman;serif"/>
          <w:b w:val="false"/>
          <w:color w:val="000000"/>
          <w:sz w:val="24"/>
        </w:rPr>
        <w:t>), pursuant to which Landlord leases to Tenant, and Tenant leases from Landlord, certain real property as more particularly described in the Lease;</w:t>
      </w:r>
    </w:p>
    <w:p>
      <w:pPr>
        <w:pStyle w:val="TextBody"/>
        <w:bidi w:val="0"/>
        <w:spacing w:lineRule="auto" w:line="288" w:before="0" w:after="20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on the date hereof, Vegas Development LLC, a Delaware limited liability company, and the County of Clark, are closing a purchase and sale transaction under that certain Offer to Purchase, dated as of July 7, 2023, with respect to certain real property located in Las Vegas, Nevada, which is described on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attached hereto (such real property, collectively, the “</w:t>
      </w:r>
      <w:r>
        <w:rPr>
          <w:rFonts w:ascii="Times New Roman;serif" w:hAnsi="Times New Roman;serif"/>
          <w:b w:val="false"/>
          <w:color w:val="000000"/>
          <w:sz w:val="24"/>
          <w:u w:val="single"/>
        </w:rPr>
        <w:t>Harmon/Koval Property</w:t>
      </w:r>
      <w:r>
        <w:rPr>
          <w:color w:val="000000"/>
        </w:rPr>
        <w:t xml:space="preserve">” </w:t>
      </w:r>
      <w:r>
        <w:rPr>
          <w:rFonts w:ascii="Times New Roman;serif" w:hAnsi="Times New Roman;serif"/>
          <w:b w:val="false"/>
          <w:color w:val="000000"/>
          <w:sz w:val="24"/>
        </w:rPr>
        <w:t>and the purchase and sale of the Harmon/Koval Property, the “</w:t>
      </w:r>
      <w:r>
        <w:rPr>
          <w:rFonts w:ascii="Times New Roman;serif" w:hAnsi="Times New Roman;serif"/>
          <w:b w:val="false"/>
          <w:color w:val="000000"/>
          <w:sz w:val="24"/>
          <w:u w:val="single"/>
        </w:rPr>
        <w:t>County Purchase</w:t>
      </w:r>
      <w:r>
        <w:rPr>
          <w:color w:val="000000"/>
        </w:rPr>
        <w:t>”</w:t>
      </w:r>
      <w:r>
        <w:rPr>
          <w:rFonts w:ascii="Times New Roman;serif" w:hAnsi="Times New Roman;serif"/>
          <w:b w:val="false"/>
          <w:color w:val="000000"/>
          <w:sz w:val="24"/>
        </w:rPr>
        <w:t>);</w:t>
      </w:r>
    </w:p>
    <w:p>
      <w:pPr>
        <w:pStyle w:val="TextBody"/>
        <w:bidi w:val="0"/>
        <w:spacing w:lineRule="auto" w:line="288" w:before="0" w:after="20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(a) the portion of the Harmon/Koval Property identified on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 xml:space="preserve">attached hereto under the header “Cluster Parcel 4 Released Property” constitutes a portion of Cluster Parcel Number 4 described in </w:t>
      </w:r>
      <w:r>
        <w:rPr>
          <w:rFonts w:ascii="Times New Roman;serif" w:hAnsi="Times New Roman;serif"/>
          <w:b w:val="false"/>
          <w:color w:val="000000"/>
          <w:sz w:val="24"/>
          <w:u w:val="single"/>
        </w:rPr>
        <w:t>Schedule 8</w:t>
      </w:r>
      <w:r>
        <w:rPr>
          <w:color w:val="000000"/>
        </w:rPr>
        <w:t xml:space="preserve"> </w:t>
      </w:r>
      <w:r>
        <w:rPr>
          <w:rFonts w:ascii="Times New Roman;serif" w:hAnsi="Times New Roman;serif"/>
          <w:b w:val="false"/>
          <w:color w:val="000000"/>
          <w:sz w:val="24"/>
        </w:rPr>
        <w:t xml:space="preserve">of the Lease, (b) the portion of the Harmon/Koval Property identified on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 xml:space="preserve">attached hereto under the header “Cluster Parcel 5 Released Property” constitutes a portion of Cluster Parcel Number 5 described in </w:t>
      </w:r>
      <w:r>
        <w:rPr>
          <w:rFonts w:ascii="Times New Roman;serif" w:hAnsi="Times New Roman;serif"/>
          <w:b w:val="false"/>
          <w:color w:val="000000"/>
          <w:sz w:val="24"/>
          <w:u w:val="single"/>
        </w:rPr>
        <w:t>Schedule 8</w:t>
      </w:r>
      <w:r>
        <w:rPr>
          <w:color w:val="000000"/>
        </w:rPr>
        <w:t xml:space="preserve"> </w:t>
      </w:r>
      <w:r>
        <w:rPr>
          <w:rFonts w:ascii="Times New Roman;serif" w:hAnsi="Times New Roman;serif"/>
          <w:b w:val="false"/>
          <w:color w:val="000000"/>
          <w:sz w:val="24"/>
        </w:rPr>
        <w:t xml:space="preserve">of the Lease and (c) the portion of the Harmon/Koval Property identified on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 xml:space="preserve">attached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4"/>
        </w:rPr>
        <w:t xml:space="preserve">hereto under the header “Cluster Parcel 6 Released Property” constitutes a portion of Cluster Parcel Number 6 described in </w:t>
      </w:r>
      <w:r>
        <w:rPr>
          <w:rFonts w:ascii="Times New Roman;serif" w:hAnsi="Times New Roman;serif"/>
          <w:b w:val="false"/>
          <w:color w:val="000000"/>
          <w:sz w:val="24"/>
          <w:u w:val="single"/>
        </w:rPr>
        <w:t>Schedule 8</w:t>
      </w:r>
      <w:r>
        <w:rPr>
          <w:color w:val="000000"/>
        </w:rPr>
        <w:t xml:space="preserve"> </w:t>
      </w:r>
      <w:r>
        <w:rPr>
          <w:rFonts w:ascii="Times New Roman;serif" w:hAnsi="Times New Roman;serif"/>
          <w:b w:val="false"/>
          <w:color w:val="000000"/>
          <w:sz w:val="24"/>
        </w:rPr>
        <w:t>of the Lease; and</w:t>
      </w:r>
    </w:p>
    <w:p>
      <w:pPr>
        <w:pStyle w:val="TextBody"/>
        <w:bidi w:val="0"/>
        <w:spacing w:lineRule="auto" w:line="288" w:before="0" w:after="20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in connection with the County Purchase, the parties hereto desire to amend the Lease as set forth herein.</w:t>
      </w:r>
    </w:p>
    <w:p>
      <w:pPr>
        <w:pStyle w:val="TextBody"/>
        <w:bidi w:val="0"/>
        <w:spacing w:lineRule="auto" w:line="288" w:before="0" w:after="20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and agreements hereinafter set forth and for other good and valuable consideration, the receipt and sufficiency of which are hereby acknowledged, the parties hereto, intending to be legally bound hereby, agree as follows:</w:t>
      </w:r>
    </w:p>
    <w:p>
      <w:pPr>
        <w:pStyle w:val="TextBody"/>
        <w:bidi w:val="0"/>
        <w:spacing w:lineRule="auto" w:line="288"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rPr>
        <w:t>Definitions. Except as otherwise defined herein, all capitalized terms used herein without definition shall have the meanings applicable to such terms, respectively, as set forth in the Lease.</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4"/>
          <w:u w:val="single"/>
        </w:rPr>
        <w:t>Amendments to the Lease</w:t>
      </w:r>
      <w:r>
        <w:rPr>
          <w:rFonts w:ascii="Times New Roman;serif" w:hAnsi="Times New Roman;serif"/>
          <w:b w:val="false"/>
          <w:color w:val="000000"/>
          <w:sz w:val="24"/>
        </w:rPr>
        <w:t>. Effective as of the date hereof:</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A.Termination of the Lease as to the Harmon/Koval Property.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i.the Lease is hereby terminated with respect to the Harmon/Koval Property, the Harmon/Koval Property no longer constitutes Leased Property under the Lease nor a portion of the Las Vegas Land Assemblage nor a portion of the applicable Cluster Parcels nor a portion of the Las Vegas Land Assemblage Facility, and neither Landlord nor Tenant has any further liabilities or obligations under the Lease, from and after the date hereof, in respect of the Harmon/Koval Property (provided that any such liabilities or obligations arising prior to such date shall not be terminated, limited or affected by or upon entry into this Amendment);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ii.the Guaranty hereby automatically, and without further action by any party, ceases to apply with respect to any Obligations (as defined in the Guaranty) with respect to the Harmon/Koval Property to the extent arising from and after the date hereof (provided that any such Obligations arising prior to such date shall not be terminated, limited or affected by or upon entry into this Amendment). The term “</w:t>
      </w:r>
      <w:r>
        <w:rPr>
          <w:rFonts w:ascii="Times New Roman;serif" w:hAnsi="Times New Roman;serif"/>
          <w:b w:val="false"/>
          <w:color w:val="000000"/>
          <w:sz w:val="24"/>
          <w:u w:val="single"/>
        </w:rPr>
        <w:t>Las Vegas Land Assemblage Facility</w:t>
      </w:r>
      <w:r>
        <w:rPr>
          <w:color w:val="000000"/>
        </w:rPr>
        <w:t xml:space="preserve">” </w:t>
      </w:r>
      <w:r>
        <w:rPr>
          <w:rFonts w:ascii="Times New Roman;serif" w:hAnsi="Times New Roman;serif"/>
          <w:b w:val="false"/>
          <w:color w:val="000000"/>
          <w:sz w:val="24"/>
        </w:rPr>
        <w:t xml:space="preserve">refers to the Facility identified as No. 14 on the list of the Facilities annexed as Exhibit A to the Lease.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B.Rent. Landlord and Tenant hereby expressly acknowledge and agree that there shall be no reduction in the Rent under the Lease as a result of the removal of the Harmon/Koval Property from the Lease or otherwise as a result of the County Purchase.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C.Variable Rent. From and after the date hereof, for purposes of any calculation of Variable Rent under the Lease, including any adjustments in Variable Rent based on increases or decreases in Net Revenue, such calculations of Net Revenue shall exclude Net Revenue attributable to the Harmon/Koval Property.</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41350"/>
                <wp:effectExtent l="0" t="0" r="0" b="0"/>
                <wp:wrapNone/>
                <wp:docPr id="65" name="Frame64"/>
                <a:graphic xmlns:a="http://schemas.openxmlformats.org/drawingml/2006/main">
                  <a:graphicData uri="http://schemas.microsoft.com/office/word/2010/wordprocessingShape">
                    <wps:wsp>
                      <wps:cNvSpPr txBox="1"/>
                      <wps:spPr>
                        <a:xfrm>
                          <a:off x="0" y="0"/>
                          <a:ext cx="6480175" cy="64135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County Purchase.</w:t>
      </w:r>
      <w:r>
        <w:rPr>
          <w:color w:val="000000"/>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i.Each of Landlord and Tenant hereby acknowledges and agrees that (i) such party consents to the sale of the Harmon/Koval Property, including the severance of the Harmon/Koval Property from the Lease as of the date of this Amendment, and (ii) the removal of the Harmon/Koval Property from the Lease shall not constitute a L1/L2 Transfer nor a transfer and sale pursuant to </w:t>
      </w:r>
      <w:r>
        <w:rPr>
          <w:rFonts w:ascii="Times New Roman;serif" w:hAnsi="Times New Roman;serif"/>
          <w:b w:val="false"/>
          <w:color w:val="000000"/>
          <w:sz w:val="24"/>
          <w:u w:val="single"/>
        </w:rPr>
        <w:t>Section 22.2(ix)</w:t>
      </w:r>
      <w:r>
        <w:rPr>
          <w:color w:val="000000"/>
        </w:rPr>
        <w:t xml:space="preserve"> </w:t>
      </w:r>
      <w:r>
        <w:rPr>
          <w:rFonts w:ascii="Times New Roman;serif" w:hAnsi="Times New Roman;serif"/>
          <w:b w:val="false"/>
          <w:color w:val="000000"/>
          <w:sz w:val="24"/>
        </w:rPr>
        <w:t>of the Lease.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ii.All of the applicable requirements and conditions set forth in Article XVIII or Article XXII of the Lease with respect to the County Purchase (if, and to the extent, applicable to the County Purchase) are deemed satisfied or waived.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iii.The amounts of the 2018 EBITDAR Pool and 2018 EBITDAR Pool Before Fifth Amendment shall not be reduced as a result of the Harmon/Koval Property no longer constituting Leased Property under the Lease and, without limitation, </w:t>
      </w:r>
      <w:r>
        <w:rPr>
          <w:rFonts w:ascii="Times New Roman;serif" w:hAnsi="Times New Roman;serif"/>
          <w:b w:val="false"/>
          <w:color w:val="000000"/>
          <w:sz w:val="24"/>
          <w:u w:val="single"/>
        </w:rPr>
        <w:t>Schedule 11</w:t>
      </w:r>
      <w:r>
        <w:rPr>
          <w:color w:val="000000"/>
        </w:rPr>
        <w:t xml:space="preserve"> </w:t>
      </w:r>
      <w:r>
        <w:rPr>
          <w:rFonts w:ascii="Times New Roman;serif" w:hAnsi="Times New Roman;serif"/>
          <w:b w:val="false"/>
          <w:color w:val="000000"/>
          <w:sz w:val="24"/>
        </w:rPr>
        <w:t>to the Lease (setting forth the 2018 Facility EBITDAR of Tenant and Joliet Tenant) shall not be modified as a result of the County Purchase.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iv.The treatment of the County Purchase hereunder is not intended to serve as a precedent for the treatment of future dispositions (if any) which may be effectuated under any applicable provision of the Lease or otherwise.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E.Revisions to Exhibits and Schedules to the Lease. The Exhibits and Schedules to the Lease are hereby amended as follows:</w:t>
      </w:r>
    </w:p>
    <w:p>
      <w:pPr>
        <w:pStyle w:val="TextBody"/>
        <w:bidi w:val="0"/>
        <w:spacing w:lineRule="auto" w:line="288" w:before="0" w:after="240"/>
        <w:ind w:left="0" w:right="0" w:firstLine="90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Legal Description (Harmon/Koval Property)</w:t>
      </w:r>
      <w:r>
        <w:rPr>
          <w:rFonts w:ascii="Times New Roman;serif" w:hAnsi="Times New Roman;serif"/>
          <w:b w:val="false"/>
          <w:color w:val="000000"/>
          <w:sz w:val="24"/>
        </w:rPr>
        <w:t xml:space="preserve">. The legal descriptions with respect to the Leased Property set forth on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Exhibit F</w:t>
      </w:r>
      <w:r>
        <w:rPr>
          <w:color w:val="000000"/>
        </w:rPr>
        <w:t xml:space="preserve"> </w:t>
      </w:r>
      <w:r>
        <w:rPr>
          <w:rFonts w:ascii="Times New Roman;serif" w:hAnsi="Times New Roman;serif"/>
          <w:b w:val="false"/>
          <w:color w:val="000000"/>
          <w:sz w:val="24"/>
        </w:rPr>
        <w:t xml:space="preserve">annexed to the Lease are hereby amended such that the legal description with respect to the Leased Property pertaining to the Harmon/Koval Property, as set forth on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 xml:space="preserve">attached hereto, is hereby excluded from said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Exhibit F</w:t>
      </w:r>
      <w:r>
        <w:rPr>
          <w:rFonts w:ascii="Times New Roman;serif" w:hAnsi="Times New Roman;serif"/>
          <w:b w:val="false"/>
          <w:color w:val="000000"/>
          <w:sz w:val="24"/>
        </w:rPr>
        <w:t>.</w:t>
      </w:r>
    </w:p>
    <w:p>
      <w:pPr>
        <w:pStyle w:val="TextBody"/>
        <w:bidi w:val="0"/>
        <w:spacing w:lineRule="auto" w:line="288" w:before="0" w:after="240"/>
        <w:ind w:left="0" w:right="0" w:firstLine="90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Cluster Parcels</w:t>
      </w:r>
      <w:r>
        <w:rPr>
          <w:rFonts w:ascii="Times New Roman;serif" w:hAnsi="Times New Roman;serif"/>
          <w:b w:val="false"/>
          <w:color w:val="000000"/>
          <w:sz w:val="24"/>
        </w:rPr>
        <w:t xml:space="preserve">. The list of properties set forth as Cluster Parcel Numbers 4, 5 and 6 on </w:t>
      </w:r>
      <w:r>
        <w:rPr>
          <w:rFonts w:ascii="Times New Roman;serif" w:hAnsi="Times New Roman;serif"/>
          <w:b w:val="false"/>
          <w:color w:val="000000"/>
          <w:sz w:val="24"/>
          <w:u w:val="single"/>
        </w:rPr>
        <w:t>Schedule 8</w:t>
      </w:r>
      <w:r>
        <w:rPr>
          <w:color w:val="000000"/>
        </w:rPr>
        <w:t xml:space="preserve"> </w:t>
      </w:r>
      <w:r>
        <w:rPr>
          <w:rFonts w:ascii="Times New Roman;serif" w:hAnsi="Times New Roman;serif"/>
          <w:b w:val="false"/>
          <w:color w:val="000000"/>
          <w:sz w:val="24"/>
        </w:rPr>
        <w:t xml:space="preserve">annexed to the Lease is hereby amended and restated such that Cluster Parcel Numbers 4, 5 and 6 on such </w:t>
      </w:r>
      <w:r>
        <w:rPr>
          <w:rFonts w:ascii="Times New Roman;serif" w:hAnsi="Times New Roman;serif"/>
          <w:b w:val="false"/>
          <w:color w:val="000000"/>
          <w:sz w:val="24"/>
          <w:u w:val="single"/>
        </w:rPr>
        <w:t>Schedule 8</w:t>
      </w:r>
      <w:r>
        <w:rPr>
          <w:color w:val="000000"/>
        </w:rPr>
        <w:t xml:space="preserve"> </w:t>
      </w:r>
      <w:r>
        <w:rPr>
          <w:rFonts w:ascii="Times New Roman;serif" w:hAnsi="Times New Roman;serif"/>
          <w:b w:val="false"/>
          <w:color w:val="000000"/>
          <w:sz w:val="24"/>
        </w:rPr>
        <w:t xml:space="preserve">shall read as follows, and the subtotals of “APN Acreage” and “Total Cluster Acreage” set forth in the first table set forth on </w:t>
      </w:r>
      <w:r>
        <w:rPr>
          <w:rFonts w:ascii="Times New Roman;serif" w:hAnsi="Times New Roman;serif"/>
          <w:b w:val="false"/>
          <w:color w:val="000000"/>
          <w:sz w:val="24"/>
          <w:u w:val="single"/>
        </w:rPr>
        <w:t>Schedule 8</w:t>
      </w:r>
      <w:r>
        <w:rPr>
          <w:color w:val="000000"/>
        </w:rPr>
        <w:t xml:space="preserve"> </w:t>
      </w:r>
      <w:r>
        <w:rPr>
          <w:rFonts w:ascii="Times New Roman;serif" w:hAnsi="Times New Roman;serif"/>
          <w:b w:val="false"/>
          <w:color w:val="000000"/>
          <w:sz w:val="24"/>
        </w:rPr>
        <w:t>annexed to the Lease shall be recalculated and updated to reflect such amendment and restatement:</w:t>
      </w:r>
    </w:p>
    <w:tbl>
      <w:tblPr>
        <w:tblW w:w="5249" w:type="dxa"/>
        <w:jc w:val="left"/>
        <w:tblInd w:w="0" w:type="dxa"/>
        <w:tblLayout w:type="fixed"/>
        <w:tblCellMar>
          <w:top w:w="28" w:type="dxa"/>
          <w:left w:w="28" w:type="dxa"/>
          <w:bottom w:w="28" w:type="dxa"/>
          <w:right w:w="28" w:type="dxa"/>
        </w:tblCellMar>
      </w:tblPr>
      <w:tblGrid>
        <w:gridCol w:w="522"/>
        <w:gridCol w:w="459"/>
        <w:gridCol w:w="460"/>
        <w:gridCol w:w="874"/>
        <w:gridCol w:w="874"/>
        <w:gridCol w:w="876"/>
        <w:gridCol w:w="135"/>
        <w:gridCol w:w="135"/>
        <w:gridCol w:w="136"/>
        <w:gridCol w:w="109"/>
        <w:gridCol w:w="109"/>
        <w:gridCol w:w="109"/>
        <w:gridCol w:w="132"/>
        <w:gridCol w:w="132"/>
        <w:gridCol w:w="187"/>
      </w:tblGrid>
      <w:tr>
        <w:trPr/>
        <w:tc>
          <w:tcPr>
            <w:tcW w:w="52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16221102006</w:t>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Vegas Development, LLC</w:t>
            </w:r>
          </w:p>
        </w:tc>
        <w:tc>
          <w:tcPr>
            <w:tcW w:w="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4.6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4</w:t>
            </w:r>
          </w:p>
        </w:tc>
        <w:tc>
          <w:tcPr>
            <w:tcW w:w="4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4.6</w:t>
            </w:r>
          </w:p>
        </w:tc>
      </w:tr>
      <w:tr>
        <w:trPr/>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16221202006</w:t>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Vegas Development, LLC</w:t>
            </w:r>
          </w:p>
        </w:tc>
        <w:tc>
          <w:tcPr>
            <w:tcW w:w="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3</w:t>
            </w:r>
          </w:p>
        </w:tc>
        <w:tc>
          <w:tcPr>
            <w:tcW w:w="327" w:type="dxa"/>
            <w:gridSpan w:val="3"/>
            <w:vMerge w:val="restart"/>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5</w:t>
            </w:r>
          </w:p>
        </w:tc>
        <w:tc>
          <w:tcPr>
            <w:tcW w:w="451"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4.5</w:t>
            </w:r>
          </w:p>
        </w:tc>
      </w:tr>
      <w:tr>
        <w:trPr/>
        <w:tc>
          <w:tcPr>
            <w:tcW w:w="1441"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16221202003</w:t>
            </w:r>
          </w:p>
        </w:tc>
        <w:tc>
          <w:tcPr>
            <w:tcW w:w="262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Vegas Development, LLC</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1.5</w:t>
            </w:r>
          </w:p>
        </w:tc>
        <w:tc>
          <w:tcPr>
            <w:tcW w:w="327" w:type="dxa"/>
            <w:gridSpan w:val="3"/>
            <w:vMerge w:val="continue"/>
            <w:tcBorders>
              <w:top w:val="single" w:sz="8" w:space="0" w:color="000000"/>
              <w:right w:val="single" w:sz="8" w:space="0" w:color="000000"/>
            </w:tcBorders>
            <w:tcMar>
              <w:top w:w="30" w:type="dxa"/>
              <w:left w:w="0" w:type="dxa"/>
              <w:bottom w:w="0" w:type="dxa"/>
            </w:tcMar>
            <w:vAlign w:val="center"/>
          </w:tcPr>
          <w:p>
            <w:pPr>
              <w:pStyle w:val="Normal"/>
              <w:bidi w:val="0"/>
              <w:jc w:val="left"/>
              <w:rPr/>
            </w:pPr>
            <w:r>
              <w:rPr/>
            </w:r>
          </w:p>
        </w:tc>
        <w:tc>
          <w:tcPr>
            <w:tcW w:w="45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r>
      <w:tr>
        <w:trPr/>
        <w:tc>
          <w:tcPr>
            <w:tcW w:w="14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16221202007</w:t>
            </w:r>
          </w:p>
        </w:tc>
        <w:tc>
          <w:tcPr>
            <w:tcW w:w="26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Vegas Development, LLC</w:t>
            </w:r>
          </w:p>
        </w:tc>
        <w:tc>
          <w:tcPr>
            <w:tcW w:w="4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6.8</w:t>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6</w:t>
            </w:r>
          </w:p>
        </w:tc>
        <w:tc>
          <w:tcPr>
            <w:tcW w:w="45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6.8</w:t>
            </w:r>
          </w:p>
        </w:tc>
      </w:tr>
    </w:tbl>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41350"/>
                <wp:effectExtent l="0" t="0" r="0" b="0"/>
                <wp:wrapNone/>
                <wp:docPr id="66" name="Frame65"/>
                <a:graphic xmlns:a="http://schemas.openxmlformats.org/drawingml/2006/main">
                  <a:graphicData uri="http://schemas.microsoft.com/office/word/2010/wordprocessingShape">
                    <wps:wsp>
                      <wps:cNvSpPr txBox="1"/>
                      <wps:spPr>
                        <a:xfrm>
                          <a:off x="0" y="0"/>
                          <a:ext cx="6480175" cy="64135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u w:val="single"/>
        </w:rPr>
        <w:t>No Other Modification or Amendment to the Lease</w:t>
      </w:r>
      <w:r>
        <w:rPr>
          <w:rFonts w:ascii="Times New Roman;serif" w:hAnsi="Times New Roman;serif"/>
          <w:b w:val="false"/>
          <w:color w:val="000000"/>
          <w:sz w:val="24"/>
        </w:rPr>
        <w:t xml:space="preserve">. The Lease shall remain in full force and effect except as expressly amended or modified by this Amendment. From and after the date of this Amendment, all references in the Lease to the “Lease” shall be deemed to refer to the Lease as amended by this Amendment. For the avoidance of doubt, the Lease shall continue in full force and effect with respect to the balance of the Leased Property (other than the Harmon/Koval Property as of the date hereof in accordance with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of this Amendment).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u w:val="single"/>
        </w:rPr>
        <w:t>Governing Law; Jurisdiction</w:t>
      </w:r>
      <w:r>
        <w:rPr>
          <w:rFonts w:ascii="Times New Roman;serif" w:hAnsi="Times New Roman;serif"/>
          <w:b w:val="false"/>
          <w:color w:val="000000"/>
          <w:sz w:val="24"/>
        </w:rPr>
        <w:t>. This Amendment shall be construed according to and governed by the laws of the 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4"/>
          <w:u w:val="single"/>
        </w:rPr>
        <w:t>Counterparts</w:t>
      </w:r>
      <w:r>
        <w:rPr>
          <w:rFonts w:ascii="Times New Roman;serif" w:hAnsi="Times New Roman;serif"/>
          <w:b w:val="false"/>
          <w:color w:val="000000"/>
          <w:sz w:val="24"/>
        </w:rPr>
        <w:t>. This Amendment may be executed by one or more of the parties hereto on any number of separate counterparts, and all of such counterparts taken together shall be deemed to constitute one and the same instrument. Facsimile and/or .pdf signatures shall be deemed to be originals for all purposes.</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u w:val="single"/>
        </w:rPr>
        <w:t>Effectiveness</w:t>
      </w:r>
      <w:r>
        <w:rPr>
          <w:rFonts w:ascii="Times New Roman;serif" w:hAnsi="Times New Roman;serif"/>
          <w:b w:val="false"/>
          <w:color w:val="000000"/>
          <w:sz w:val="24"/>
        </w:rPr>
        <w:t>. This Amendment shall be effective, as of the date hereof, only upon execution and delivery by each of the parties 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4"/>
          <w:u w:val="single"/>
        </w:rPr>
        <w:t>Miscellaneous</w:t>
      </w:r>
      <w:r>
        <w:rPr>
          <w:rFonts w:ascii="Times New Roman;serif" w:hAnsi="Times New Roman;serif"/>
          <w:b w:val="false"/>
          <w:color w:val="000000"/>
          <w:sz w:val="24"/>
        </w:rPr>
        <w:t>. If any provision of this Amendment is adjudicated to be invalid, illegal or unenforceable, in whole 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pStyle w:val="TextBody"/>
        <w:bidi w:val="0"/>
        <w:spacing w:lineRule="auto" w:line="288" w:before="0" w:after="240"/>
        <w:ind w:left="0" w:right="0" w:firstLine="108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41350"/>
                <wp:effectExtent l="0" t="0" r="0" b="0"/>
                <wp:wrapNone/>
                <wp:docPr id="67" name="Frame66"/>
                <a:graphic xmlns:a="http://schemas.openxmlformats.org/drawingml/2006/main">
                  <a:graphicData uri="http://schemas.microsoft.com/office/word/2010/wordprocessingShape">
                    <wps:wsp>
                      <wps:cNvSpPr txBox="1"/>
                      <wps:spPr>
                        <a:xfrm>
                          <a:off x="0" y="0"/>
                          <a:ext cx="6480175" cy="64135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Amendment to be duly executed by their duly authorized representatives, all as of the date hereof.</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LANDLORD:</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HORSESHOE COUNCIL BLUFFS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HARRAH’S COUNCIL BLUFFS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HARRAH’S METROPOLIS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NEW HORSESHOE HAMMOND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NEW HARRAH’S NORTH KANSAS CITY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GRAND BILOXI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HORSESHOE TUNICA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NEW TUNICA ROADHOUSE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CAESARS ATLANTIC CITY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WWW PROPCO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HARRAH’S LAKE TAHOE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HARVEY’S LAKE TAHOE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HARRAH’S RENO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VEGAS DEVELOPMENT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VEGAS OPERATING PROPERTY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MISCELLANEOUS LAND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PROPCO GULFPORT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PHILADELPHIA PROPCO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HARRAH’S ATLANTIC CITY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NEW LAUGHLIN OWNER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HARRAH’S NEW ORLEANS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each, a Delaware limited liability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Samantha S. Gallagher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Samantha S. Gallagher</w:t>
      </w:r>
    </w:p>
    <w:p>
      <w:pPr>
        <w:pStyle w:val="TextBody"/>
        <w:bidi w:val="0"/>
        <w:spacing w:lineRule="auto" w:line="288" w:before="0" w:after="360"/>
        <w:jc w:val="both"/>
        <w:rPr>
          <w:rFonts w:ascii="Times New Roman;serif" w:hAnsi="Times New Roman;serif"/>
          <w:b w:val="false"/>
          <w:color w:val="000000"/>
          <w:sz w:val="24"/>
        </w:rPr>
      </w:pPr>
      <w:r>
        <w:rPr>
          <w:rFonts w:ascii="Times New Roman;serif" w:hAnsi="Times New Roman;serif"/>
          <w:b w:val="false"/>
          <w:color w:val="000000"/>
          <w:sz w:val="24"/>
        </w:rPr>
        <w:t>Title: Secretary</w:t>
      </w:r>
    </w:p>
    <w:p>
      <w:pPr>
        <w:pStyle w:val="TextBody"/>
        <w:bidi w:val="0"/>
        <w:spacing w:lineRule="auto" w:line="288" w:before="0" w:after="0"/>
        <w:jc w:val="both"/>
        <w:rPr/>
      </w:pPr>
      <w:r>
        <w:rPr>
          <w:rFonts w:ascii="Times New Roman;serif" w:hAnsi="Times New Roman;serif"/>
          <w:b/>
          <w:color w:val="000000"/>
          <w:sz w:val="24"/>
        </w:rPr>
        <w:t>HORSESHOE BOSSIER CITY PROP LLC</w:t>
      </w:r>
      <w:r>
        <w:rPr>
          <w:rFonts w:ascii="Times New Roman;serif" w:hAnsi="Times New Roman;serif"/>
          <w:b w:val="false"/>
          <w:color w:val="000000"/>
          <w:sz w:val="24"/>
        </w:rPr>
        <w: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Louisiana limited liability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Samantha S. Gallagher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Samantha S. Gallagher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Secretary</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[Signatures Continue on Following Pages]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32460"/>
                <wp:effectExtent l="0" t="0" r="0" b="0"/>
                <wp:wrapNone/>
                <wp:docPr id="68" name="Frame67"/>
                <a:graphic xmlns:a="http://schemas.openxmlformats.org/drawingml/2006/main">
                  <a:graphicData uri="http://schemas.microsoft.com/office/word/2010/wordprocessingShape">
                    <wps:wsp>
                      <wps:cNvSpPr txBox="1"/>
                      <wps:spPr>
                        <a:xfrm>
                          <a:off x="0" y="0"/>
                          <a:ext cx="6480175" cy="632460"/>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Thirteenth Amendment to Regional Lease]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Thirteenth Amendment to Regional Lease]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TENANT:</w:t>
      </w:r>
    </w:p>
    <w:p>
      <w:pPr>
        <w:pStyle w:val="TextBody"/>
        <w:bidi w:val="0"/>
        <w:spacing w:lineRule="auto" w:line="288" w:before="240" w:after="283"/>
        <w:jc w:val="both"/>
        <w:rPr/>
      </w:pPr>
      <w:r>
        <w:rPr>
          <w:rFonts w:ascii="Times New Roman;serif" w:hAnsi="Times New Roman;serif"/>
          <w:b/>
          <w:color w:val="000000"/>
          <w:sz w:val="24"/>
        </w:rPr>
        <w:t>CEOC, LLC</w:t>
      </w:r>
      <w:r>
        <w:rPr>
          <w:rFonts w:ascii="Times New Roman;serif" w:hAnsi="Times New Roman;serif"/>
          <w:b w:val="false"/>
          <w:color w:val="000000"/>
          <w:sz w:val="24"/>
        </w:rPr>
        <w:t>, a Delaware limited liability company,</w:t>
      </w:r>
    </w:p>
    <w:p>
      <w:pPr>
        <w:pStyle w:val="TextBody"/>
        <w:bidi w:val="0"/>
        <w:spacing w:lineRule="auto" w:line="288" w:before="0" w:after="0"/>
        <w:jc w:val="both"/>
        <w:rPr/>
      </w:pPr>
      <w:r>
        <w:rPr>
          <w:rFonts w:ascii="Times New Roman;serif" w:hAnsi="Times New Roman;serif"/>
          <w:b/>
          <w:color w:val="000000"/>
          <w:sz w:val="24"/>
        </w:rPr>
        <w:t>HBR REALTY COMPANY LLC</w:t>
      </w:r>
      <w:r>
        <w:rPr>
          <w:rFonts w:ascii="Times New Roman;serif" w:hAnsi="Times New Roman;serif"/>
          <w:b w:val="false"/>
          <w:color w:val="000000"/>
          <w:sz w:val="24"/>
        </w:rPr>
        <w:t>, a Nevada limited liability company,</w:t>
      </w:r>
    </w:p>
    <w:p>
      <w:pPr>
        <w:pStyle w:val="TextBody"/>
        <w:bidi w:val="0"/>
        <w:spacing w:lineRule="auto" w:line="288" w:before="0" w:after="0"/>
        <w:jc w:val="both"/>
        <w:rPr/>
      </w:pPr>
      <w:r>
        <w:rPr>
          <w:rFonts w:ascii="Times New Roman;serif" w:hAnsi="Times New Roman;serif"/>
          <w:b/>
          <w:color w:val="000000"/>
          <w:sz w:val="24"/>
        </w:rPr>
        <w:t>HARVEYS IOWA MANAGEMENT COMPANY LLC</w:t>
      </w:r>
      <w:r>
        <w:rPr>
          <w:rFonts w:ascii="Times New Roman;serif" w:hAnsi="Times New Roman;serif"/>
          <w:b w:val="false"/>
          <w:color w:val="000000"/>
          <w:sz w:val="24"/>
        </w:rPr>
        <w:t>, a Nevada limited liability company,</w:t>
      </w:r>
    </w:p>
    <w:p>
      <w:pPr>
        <w:pStyle w:val="TextBody"/>
        <w:bidi w:val="0"/>
        <w:spacing w:lineRule="auto" w:line="288" w:before="0" w:after="0"/>
        <w:jc w:val="both"/>
        <w:rPr/>
      </w:pPr>
      <w:r>
        <w:rPr>
          <w:rFonts w:ascii="Times New Roman;serif" w:hAnsi="Times New Roman;serif"/>
          <w:b/>
          <w:color w:val="000000"/>
          <w:sz w:val="24"/>
        </w:rPr>
        <w:t>SOUTHERN ILLINOIS RIVERBOAT/CASINO CRUISES LLC</w:t>
      </w:r>
      <w:r>
        <w:rPr>
          <w:rFonts w:ascii="Times New Roman;serif" w:hAnsi="Times New Roman;serif"/>
          <w:b w:val="false"/>
          <w:color w:val="000000"/>
          <w:sz w:val="24"/>
        </w:rPr>
        <w:t>, an Illinois limited liability company,</w:t>
      </w:r>
    </w:p>
    <w:p>
      <w:pPr>
        <w:pStyle w:val="TextBody"/>
        <w:bidi w:val="0"/>
        <w:spacing w:lineRule="auto" w:line="288" w:before="0" w:after="0"/>
        <w:jc w:val="both"/>
        <w:rPr/>
      </w:pPr>
      <w:r>
        <w:rPr>
          <w:rFonts w:ascii="Times New Roman;serif" w:hAnsi="Times New Roman;serif"/>
          <w:b/>
          <w:color w:val="000000"/>
          <w:sz w:val="24"/>
        </w:rPr>
        <w:t>HORSESHOE HAMMOND, LLC</w:t>
      </w:r>
      <w:r>
        <w:rPr>
          <w:rFonts w:ascii="Times New Roman;serif" w:hAnsi="Times New Roman;serif"/>
          <w:b w:val="false"/>
          <w:color w:val="000000"/>
          <w:sz w:val="24"/>
        </w:rPr>
        <w:t>, an Indiana limited liability company,</w:t>
      </w:r>
    </w:p>
    <w:p>
      <w:pPr>
        <w:pStyle w:val="TextBody"/>
        <w:bidi w:val="0"/>
        <w:spacing w:lineRule="auto" w:line="288" w:before="0" w:after="0"/>
        <w:jc w:val="both"/>
        <w:rPr/>
      </w:pPr>
      <w:r>
        <w:rPr>
          <w:rFonts w:ascii="Times New Roman;serif" w:hAnsi="Times New Roman;serif"/>
          <w:b/>
          <w:color w:val="000000"/>
          <w:sz w:val="24"/>
        </w:rPr>
        <w:t>HARRAH’S NORTH KANSAS CITY LLC</w:t>
      </w:r>
      <w:r>
        <w:rPr>
          <w:rFonts w:ascii="Times New Roman;serif" w:hAnsi="Times New Roman;serif"/>
          <w:b w:val="false"/>
          <w:color w:val="000000"/>
          <w:sz w:val="24"/>
        </w:rPr>
        <w:t>, a Missouri limited liability company,</w:t>
      </w:r>
    </w:p>
    <w:p>
      <w:pPr>
        <w:pStyle w:val="TextBody"/>
        <w:bidi w:val="0"/>
        <w:spacing w:lineRule="auto" w:line="288" w:before="0" w:after="0"/>
        <w:jc w:val="both"/>
        <w:rPr/>
      </w:pPr>
      <w:r>
        <w:rPr>
          <w:rFonts w:ascii="Times New Roman;serif" w:hAnsi="Times New Roman;serif"/>
          <w:b/>
          <w:color w:val="000000"/>
          <w:sz w:val="24"/>
        </w:rPr>
        <w:t>GRAND CASINOS OF BILOXI, LLC</w:t>
      </w:r>
      <w:r>
        <w:rPr>
          <w:rFonts w:ascii="Times New Roman;serif" w:hAnsi="Times New Roman;serif"/>
          <w:b w:val="false"/>
          <w:color w:val="000000"/>
          <w:sz w:val="24"/>
        </w:rPr>
        <w:t>, a Minnesota limited liability company,</w:t>
      </w:r>
    </w:p>
    <w:p>
      <w:pPr>
        <w:pStyle w:val="TextBody"/>
        <w:bidi w:val="0"/>
        <w:spacing w:lineRule="auto" w:line="288" w:before="0" w:after="0"/>
        <w:jc w:val="both"/>
        <w:rPr/>
      </w:pPr>
      <w:r>
        <w:rPr>
          <w:rFonts w:ascii="Times New Roman;serif" w:hAnsi="Times New Roman;serif"/>
          <w:b/>
          <w:color w:val="000000"/>
          <w:sz w:val="24"/>
        </w:rPr>
        <w:t>ROBINSON PROPERTY GROUP LLC</w:t>
      </w:r>
      <w:r>
        <w:rPr>
          <w:rFonts w:ascii="Times New Roman;serif" w:hAnsi="Times New Roman;serif"/>
          <w:b w:val="false"/>
          <w:color w:val="000000"/>
          <w:sz w:val="24"/>
        </w:rPr>
        <w:t>, a Mississippi limited liability company,</w:t>
      </w:r>
    </w:p>
    <w:p>
      <w:pPr>
        <w:pStyle w:val="TextBody"/>
        <w:bidi w:val="0"/>
        <w:spacing w:lineRule="auto" w:line="288" w:before="0" w:after="0"/>
        <w:jc w:val="both"/>
        <w:rPr/>
      </w:pPr>
      <w:r>
        <w:rPr>
          <w:rFonts w:ascii="Times New Roman;serif" w:hAnsi="Times New Roman;serif"/>
          <w:b/>
          <w:color w:val="000000"/>
          <w:sz w:val="24"/>
        </w:rPr>
        <w:t>TUNICA ROADHOUSE LLC</w:t>
      </w:r>
      <w:r>
        <w:rPr>
          <w:rFonts w:ascii="Times New Roman;serif" w:hAnsi="Times New Roman;serif"/>
          <w:b w:val="false"/>
          <w:color w:val="000000"/>
          <w:sz w:val="24"/>
        </w:rPr>
        <w:t>, a Delaware limited liability company,</w:t>
      </w:r>
    </w:p>
    <w:p>
      <w:pPr>
        <w:pStyle w:val="TextBody"/>
        <w:bidi w:val="0"/>
        <w:spacing w:lineRule="auto" w:line="288" w:before="0" w:after="0"/>
        <w:jc w:val="both"/>
        <w:rPr/>
      </w:pPr>
      <w:r>
        <w:rPr>
          <w:rFonts w:ascii="Times New Roman;serif" w:hAnsi="Times New Roman;serif"/>
          <w:b/>
          <w:color w:val="000000"/>
          <w:sz w:val="24"/>
        </w:rPr>
        <w:t>CAESARS NEW JERSEY LLC</w:t>
      </w:r>
      <w:r>
        <w:rPr>
          <w:rFonts w:ascii="Times New Roman;serif" w:hAnsi="Times New Roman;serif"/>
          <w:b w:val="false"/>
          <w:color w:val="000000"/>
          <w:sz w:val="24"/>
        </w:rPr>
        <w:t>, a New Jersey limited liability company,</w:t>
      </w:r>
    </w:p>
    <w:p>
      <w:pPr>
        <w:pStyle w:val="TextBody"/>
        <w:bidi w:val="0"/>
        <w:spacing w:lineRule="auto" w:line="288" w:before="0" w:after="0"/>
        <w:jc w:val="both"/>
        <w:rPr/>
      </w:pPr>
      <w:r>
        <w:rPr>
          <w:rFonts w:ascii="Times New Roman;serif" w:hAnsi="Times New Roman;serif"/>
          <w:b/>
          <w:color w:val="000000"/>
          <w:sz w:val="24"/>
        </w:rPr>
        <w:t>HARVEYS TAHOE MANAGEMENT COMPANY LLC</w:t>
      </w:r>
      <w:r>
        <w:rPr>
          <w:rFonts w:ascii="Times New Roman;serif" w:hAnsi="Times New Roman;serif"/>
          <w:b w:val="false"/>
          <w:color w:val="000000"/>
          <w:sz w:val="24"/>
        </w:rPr>
        <w:t>, a Nevada limited liability company,</w:t>
      </w:r>
    </w:p>
    <w:p>
      <w:pPr>
        <w:pStyle w:val="TextBody"/>
        <w:bidi w:val="0"/>
        <w:spacing w:lineRule="auto" w:line="288" w:before="0" w:after="0"/>
        <w:jc w:val="both"/>
        <w:rPr/>
      </w:pPr>
      <w:r>
        <w:rPr>
          <w:rFonts w:ascii="Times New Roman;serif" w:hAnsi="Times New Roman;serif"/>
          <w:b/>
          <w:color w:val="000000"/>
          <w:sz w:val="24"/>
        </w:rPr>
        <w:t>CASINO COMPUTER PROGRAMMING, INC.</w:t>
      </w:r>
      <w:r>
        <w:rPr>
          <w:rFonts w:ascii="Times New Roman;serif" w:hAnsi="Times New Roman;serif"/>
          <w:b w:val="false"/>
          <w:color w:val="000000"/>
          <w:sz w:val="24"/>
        </w:rPr>
        <w:t>, an Indiana corporation,</w:t>
      </w:r>
    </w:p>
    <w:p>
      <w:pPr>
        <w:pStyle w:val="TextBody"/>
        <w:bidi w:val="0"/>
        <w:spacing w:lineRule="auto" w:line="288" w:before="0" w:after="0"/>
        <w:jc w:val="both"/>
        <w:rPr/>
      </w:pPr>
      <w:r>
        <w:rPr>
          <w:rFonts w:ascii="Times New Roman;serif" w:hAnsi="Times New Roman;serif"/>
          <w:b/>
          <w:color w:val="000000"/>
          <w:sz w:val="24"/>
        </w:rPr>
        <w:t>HARVEYS BR MANAGEMENT COMPANY, INC.</w:t>
      </w:r>
      <w:r>
        <w:rPr>
          <w:rFonts w:ascii="Times New Roman;serif" w:hAnsi="Times New Roman;serif"/>
          <w:b w:val="false"/>
          <w:color w:val="000000"/>
          <w:sz w:val="24"/>
        </w:rPr>
        <w:t>, a Nevada corporation,</w:t>
      </w:r>
    </w:p>
    <w:p>
      <w:pPr>
        <w:pStyle w:val="TextBody"/>
        <w:bidi w:val="0"/>
        <w:spacing w:lineRule="auto" w:line="288" w:before="0" w:after="0"/>
        <w:jc w:val="both"/>
        <w:rPr/>
      </w:pPr>
      <w:r>
        <w:rPr>
          <w:rFonts w:ascii="Times New Roman;serif" w:hAnsi="Times New Roman;serif"/>
          <w:b/>
          <w:color w:val="000000"/>
          <w:sz w:val="24"/>
        </w:rPr>
        <w:t>HARRAH’S LAUGHLIN, LLC</w:t>
      </w:r>
      <w:r>
        <w:rPr>
          <w:rFonts w:ascii="Times New Roman;serif" w:hAnsi="Times New Roman;serif"/>
          <w:b w:val="false"/>
          <w:color w:val="000000"/>
          <w:sz w:val="24"/>
        </w:rPr>
        <w:t>, a Nevada limited liability company,</w:t>
      </w:r>
    </w:p>
    <w:p>
      <w:pPr>
        <w:pStyle w:val="TextBody"/>
        <w:bidi w:val="0"/>
        <w:spacing w:lineRule="auto" w:line="288" w:before="0" w:after="0"/>
        <w:jc w:val="both"/>
        <w:rPr/>
      </w:pPr>
      <w:r>
        <w:rPr>
          <w:rFonts w:ascii="Times New Roman;serif" w:hAnsi="Times New Roman;serif"/>
          <w:b/>
          <w:color w:val="000000"/>
          <w:sz w:val="24"/>
        </w:rPr>
        <w:t>JAZZ CASINO COMPANY, L.L.C.</w:t>
      </w:r>
      <w:r>
        <w:rPr>
          <w:rFonts w:ascii="Times New Roman;serif" w:hAnsi="Times New Roman;serif"/>
          <w:b w:val="false"/>
          <w:color w:val="000000"/>
          <w:sz w:val="24"/>
        </w:rPr>
        <w:t>, a Louisiana limited liability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Bret D. Yunker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Bret D. Yunker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32460"/>
                <wp:effectExtent l="0" t="0" r="0" b="0"/>
                <wp:wrapNone/>
                <wp:docPr id="69" name="Frame68"/>
                <a:graphic xmlns:a="http://schemas.openxmlformats.org/drawingml/2006/main">
                  <a:graphicData uri="http://schemas.microsoft.com/office/word/2010/wordprocessingShape">
                    <wps:wsp>
                      <wps:cNvSpPr txBox="1"/>
                      <wps:spPr>
                        <a:xfrm>
                          <a:off x="0" y="0"/>
                          <a:ext cx="6480175" cy="632460"/>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Thirteenth Amendment to Regional Lease]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Thirteenth Amendment to Regional Lease]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HORSESHOE ENTERTAINMENT,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Louisiana limited partnership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New Gaming Capital Partnership,</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 Nevada limited partnership,</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its general partner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By:    Horseshoe GP, LLC,</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 Nevada limited liability company,</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its general partner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Bret D. Yunker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Bret D. Yunker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Title: Chief Financial Officer</w: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BOARDWALK REGENCY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New Jersey limited liability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Caesars New Jersey LLC,</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 New Jersey limited liability company,</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its sole member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Bret D. Yunker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Bret D. Yunker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Title: Chief Financial Officer</w: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HOLE IN THE WALL,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Nevada limited liability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CEOC, LLC,</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 Delaware limited liability company,</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its sole member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Bret D. Yunker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Bret D. Yunker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Title: Chief Financial Officer</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32460"/>
                <wp:effectExtent l="0" t="0" r="0" b="0"/>
                <wp:wrapNone/>
                <wp:docPr id="70" name="Frame69"/>
                <a:graphic xmlns:a="http://schemas.openxmlformats.org/drawingml/2006/main">
                  <a:graphicData uri="http://schemas.microsoft.com/office/word/2010/wordprocessingShape">
                    <wps:wsp>
                      <wps:cNvSpPr txBox="1"/>
                      <wps:spPr>
                        <a:xfrm>
                          <a:off x="0" y="0"/>
                          <a:ext cx="6480175" cy="632460"/>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Thirteenth Amendment to Regional Lease]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Thirteenth Amendment to Regional Lease]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CHESTER DOWNS AND MARINA,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Pennsylvania limited liability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Harrah’s Chester Downs Investment Company, LLC,</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its sole member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Bret D. Yunker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Bret D. Yunker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Title: Chief Financial Officer</w:t>
      </w:r>
    </w:p>
    <w:p>
      <w:pPr>
        <w:pStyle w:val="TextBody"/>
        <w:bidi w:val="0"/>
        <w:spacing w:lineRule="auto" w:line="288" w:before="480" w:after="283"/>
        <w:jc w:val="both"/>
        <w:rPr>
          <w:rFonts w:ascii="Times New Roman;serif" w:hAnsi="Times New Roman;serif"/>
          <w:b/>
          <w:color w:val="000000"/>
          <w:sz w:val="24"/>
        </w:rPr>
      </w:pPr>
      <w:r>
        <w:rPr>
          <w:rFonts w:ascii="Times New Roman;serif" w:hAnsi="Times New Roman;serif"/>
          <w:b/>
          <w:color w:val="000000"/>
          <w:sz w:val="24"/>
        </w:rPr>
        <w:t>HARRAH’S ATLANTIC CITY OPERATING COMPANY,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New Jersey limited liability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Caesars Resort Collection, LLC,</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 Delaware limited liability company,</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its sole member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Bret D. Yunker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Bret D. Yunker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Title: Chief Financial Officer</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24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32460"/>
                <wp:effectExtent l="0" t="0" r="0" b="0"/>
                <wp:wrapNone/>
                <wp:docPr id="71" name="Frame70"/>
                <a:graphic xmlns:a="http://schemas.openxmlformats.org/drawingml/2006/main">
                  <a:graphicData uri="http://schemas.microsoft.com/office/word/2010/wordprocessingShape">
                    <wps:wsp>
                      <wps:cNvSpPr txBox="1"/>
                      <wps:spPr>
                        <a:xfrm>
                          <a:off x="0" y="0"/>
                          <a:ext cx="6480175" cy="632460"/>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Thirteenth Amendment to Regional Lease]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Thirteenth Amendment to Regional Lease]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Acknowledged and agreed, solely for the purposes of the penultimate paragraph of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of the 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PROPCO TRS LLC,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Delaware limited liability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Samantha S. Gallagher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Samantha S. Gallagher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Secretary</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32460"/>
                <wp:effectExtent l="0" t="0" r="0" b="0"/>
                <wp:wrapNone/>
                <wp:docPr id="72" name="Frame71"/>
                <a:graphic xmlns:a="http://schemas.openxmlformats.org/drawingml/2006/main">
                  <a:graphicData uri="http://schemas.microsoft.com/office/word/2010/wordprocessingShape">
                    <wps:wsp>
                      <wps:cNvSpPr txBox="1"/>
                      <wps:spPr>
                        <a:xfrm>
                          <a:off x="0" y="0"/>
                          <a:ext cx="6480175" cy="632460"/>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Thirteenth Amendment to Regional Lease]1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Thirteenth Amendment to Regional Lease]1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ACKNOWLEDGMENT AND AGREEMENT OF GUARANTOR</w:t>
      </w:r>
    </w:p>
    <w:p>
      <w:pPr>
        <w:pStyle w:val="TextBody"/>
        <w:bidi w:val="0"/>
        <w:spacing w:lineRule="auto" w:line="288" w:before="0" w:after="240"/>
        <w:jc w:val="both"/>
        <w:rPr/>
      </w:pPr>
      <w:r>
        <w:rPr>
          <w:rFonts w:ascii="Times New Roman;serif" w:hAnsi="Times New Roman;serif"/>
          <w:b w:val="false"/>
          <w:color w:val="000000"/>
          <w:sz w:val="24"/>
        </w:rPr>
        <w:t>The undersigned (“</w:t>
      </w:r>
      <w:r>
        <w:rPr>
          <w:rFonts w:ascii="Times New Roman;serif" w:hAnsi="Times New Roman;serif"/>
          <w:b w:val="false"/>
          <w:color w:val="000000"/>
          <w:sz w:val="24"/>
          <w:u w:val="single"/>
        </w:rPr>
        <w:t>Guarantor</w:t>
      </w:r>
      <w:r>
        <w:rPr>
          <w:color w:val="000000"/>
        </w:rPr>
        <w:t>”</w:t>
      </w:r>
      <w:r>
        <w:rPr>
          <w:rFonts w:ascii="Times New Roman;serif" w:hAnsi="Times New Roman;serif"/>
          <w:b w:val="false"/>
          <w:color w:val="000000"/>
          <w:sz w:val="24"/>
        </w:rPr>
        <w:t>) hereby: (a) acknowledges receipt of the Thirteenth Amendment to Lease (the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xml:space="preserve">; capitalized terms used herein without definition having the meanings set forth in the Amendment), dated as of June 27, 2025, by and among the entities listed on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 xml:space="preserve">attached thereto, as Landlord, and the entities listed on </w:t>
      </w:r>
      <w:r>
        <w:rPr>
          <w:rFonts w:ascii="Times New Roman;serif" w:hAnsi="Times New Roman;serif"/>
          <w:b w:val="false"/>
          <w:color w:val="000000"/>
          <w:sz w:val="24"/>
          <w:u w:val="single"/>
        </w:rPr>
        <w:t>Schedule B</w:t>
      </w:r>
      <w:r>
        <w:rPr>
          <w:color w:val="000000"/>
        </w:rPr>
        <w:t xml:space="preserve"> </w:t>
      </w:r>
      <w:r>
        <w:rPr>
          <w:rFonts w:ascii="Times New Roman;serif" w:hAnsi="Times New Roman;serif"/>
          <w:b w:val="false"/>
          <w:color w:val="000000"/>
          <w:sz w:val="24"/>
        </w:rPr>
        <w:t>attached thereto, as Tenant, and the other parties party thereto; (b) consents to the terms and execution thereof; (c) ratifies and reaffirms Guarantor’s obligations to Landlord pursuant to the terms of that certain Guaranty of Lease, dated as of July 20, 2020 (the “</w:t>
      </w:r>
      <w:r>
        <w:rPr>
          <w:rFonts w:ascii="Times New Roman;serif" w:hAnsi="Times New Roman;serif"/>
          <w:b w:val="false"/>
          <w:color w:val="000000"/>
          <w:sz w:val="24"/>
          <w:u w:val="single"/>
        </w:rPr>
        <w:t>Guaranty</w:t>
      </w:r>
      <w:r>
        <w:rPr>
          <w:color w:val="000000"/>
        </w:rPr>
        <w:t>”</w:t>
      </w:r>
      <w:r>
        <w:rPr>
          <w:rFonts w:ascii="Times New Roman;serif" w:hAnsi="Times New Roman;serif"/>
          <w:b w:val="false"/>
          <w:color w:val="000000"/>
          <w:sz w:val="24"/>
        </w:rPr>
        <w:t xml:space="preserve">), by and between Guarantor and Landlord, and agrees that, except as expressly set forth in </w:t>
      </w:r>
      <w:r>
        <w:rPr>
          <w:rFonts w:ascii="Times New Roman;serif" w:hAnsi="Times New Roman;serif"/>
          <w:b w:val="false"/>
          <w:color w:val="000000"/>
          <w:sz w:val="24"/>
          <w:u w:val="single"/>
        </w:rPr>
        <w:t>Section 2.A.ii</w:t>
      </w:r>
      <w:r>
        <w:rPr>
          <w:color w:val="000000"/>
        </w:rPr>
        <w:t xml:space="preserve"> </w:t>
      </w:r>
      <w:r>
        <w:rPr>
          <w:rFonts w:ascii="Times New Roman;serif" w:hAnsi="Times New Roman;serif"/>
          <w:b w:val="false"/>
          <w:color w:val="000000"/>
          <w:sz w:val="24"/>
        </w:rPr>
        <w:t>of the Amendment, nothing in the Amendment in any way impairs or lessens the Guarantor’s obligations under the Guaranty; and (d) acknowledges and agrees that the Guaranty is in full force and effect and is valid, binding and enforceable in accordance with its terms.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caused this Acknowledgment and Agreement of Guarantor to be duly executed as of June 27, 2025.</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32460"/>
                <wp:effectExtent l="0" t="0" r="0" b="0"/>
                <wp:wrapNone/>
                <wp:docPr id="73" name="Frame72"/>
                <a:graphic xmlns:a="http://schemas.openxmlformats.org/drawingml/2006/main">
                  <a:graphicData uri="http://schemas.microsoft.com/office/word/2010/wordprocessingShape">
                    <wps:wsp>
                      <wps:cNvSpPr txBox="1"/>
                      <wps:spPr>
                        <a:xfrm>
                          <a:off x="0" y="0"/>
                          <a:ext cx="6480175" cy="632460"/>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[Acknowledgment and Agreement of Guarantor]</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[Acknowledgment and Agreement of Guarantor]</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CAESARS ENTERTAINMENT,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Bret D. Yunker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Bret D. Yunker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32460"/>
                <wp:effectExtent l="0" t="0" r="0" b="0"/>
                <wp:wrapNone/>
                <wp:docPr id="74" name="Frame73"/>
                <a:graphic xmlns:a="http://schemas.openxmlformats.org/drawingml/2006/main">
                  <a:graphicData uri="http://schemas.microsoft.com/office/word/2010/wordprocessingShape">
                    <wps:wsp>
                      <wps:cNvSpPr txBox="1"/>
                      <wps:spPr>
                        <a:xfrm>
                          <a:off x="0" y="0"/>
                          <a:ext cx="6480175" cy="632460"/>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Acknowledgment and Agreement of Guarantor]</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Acknowledgment and Agreement of Guarantor]</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Schedule A</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LANDLORD ENTITIES</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Horseshoe Council Bluffs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Harrah’s Council Bluffs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Harrah’s Metropolis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New Horseshoe Hammond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Horseshoe Bossier City Prop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New Harrah’s North Kansas City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Grand Biloxi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Horseshoe Tunica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 xml:space="preserve">New Tunica Roadhouse LLC </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 xml:space="preserve">Caesars Atlantic City LLC </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WWW Propco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 xml:space="preserve">Harrah’s Lake Tahoe LLC </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Harvey’s Lake Tahoe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Harrah’s Reno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Vegas Development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Vegas Operating Property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Miscellaneous Land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Propco Gulfport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Philadelphia Propco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Harrah’s Atlantic City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New Laughlin Owner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Harrah’s New Orleans LLC</w:t>
      </w:r>
    </w:p>
    <w:p>
      <w:pPr>
        <w:pStyle w:val="TextBody"/>
        <w:bidi w:val="0"/>
        <w:spacing w:before="0" w:after="240"/>
        <w:ind w:left="0" w:right="0" w:hanging="50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41350"/>
                <wp:effectExtent l="0" t="0" r="0" b="0"/>
                <wp:wrapNone/>
                <wp:docPr id="75" name="Frame74"/>
                <a:graphic xmlns:a="http://schemas.openxmlformats.org/drawingml/2006/main">
                  <a:graphicData uri="http://schemas.microsoft.com/office/word/2010/wordprocessingShape">
                    <wps:wsp>
                      <wps:cNvSpPr txBox="1"/>
                      <wps:spPr>
                        <a:xfrm>
                          <a:off x="0" y="0"/>
                          <a:ext cx="6480175" cy="64135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Schedule A</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Schedule A</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Schedule B</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TENANT ENTITIES</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 xml:space="preserve">CEOC, LLC, successor in interest by merger to Caesars Entertainment Operating Company, Inc. </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HBR Realty Company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Harveys Iowa Management Company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Southern Illinois Riverboat/Casino Cruises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Horseshoe Hammond,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Horseshoe Entertainment</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Harrah’s North Kansas City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Grand Casinos of Biloxi,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Robinson Property Group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Tunica Roadhouse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Boardwalk Regency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Caesars New Jersey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Harveys Tahoe Management Company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Casino Computer Programming, Inc.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Harveys BR Management Company, Inc.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Hole in the Wall,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Chester Downs and Marina,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Harrah’s Atlantic City Operating Company,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Harrah’s Laughlin, LLC</w:t>
      </w:r>
    </w:p>
    <w:p>
      <w:pPr>
        <w:pStyle w:val="TextBody"/>
        <w:bidi w:val="0"/>
        <w:spacing w:lineRule="auto" w:line="288" w:before="0" w:after="120"/>
        <w:ind w:left="0" w:right="0" w:hanging="5040"/>
        <w:jc w:val="both"/>
        <w:rPr>
          <w:rFonts w:ascii="Times New Roman;serif" w:hAnsi="Times New Roman;serif"/>
          <w:b w:val="false"/>
          <w:color w:val="000000"/>
          <w:sz w:val="24"/>
        </w:rPr>
      </w:pPr>
      <w:r>
        <w:rPr>
          <w:rFonts w:ascii="Times New Roman;serif" w:hAnsi="Times New Roman;serif"/>
          <w:b w:val="false"/>
          <w:color w:val="000000"/>
          <w:sz w:val="24"/>
        </w:rPr>
        <w:t>Jazz Casino Company, L.L.C.</w:t>
      </w:r>
    </w:p>
    <w:p>
      <w:pPr>
        <w:pStyle w:val="TextBody"/>
        <w:bidi w:val="0"/>
        <w:spacing w:before="0" w:after="120"/>
        <w:ind w:left="0" w:right="0" w:hanging="50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641350"/>
                <wp:effectExtent l="0" t="0" r="0" b="0"/>
                <wp:wrapNone/>
                <wp:docPr id="76" name="Frame75"/>
                <a:graphic xmlns:a="http://schemas.openxmlformats.org/drawingml/2006/main">
                  <a:graphicData uri="http://schemas.microsoft.com/office/word/2010/wordprocessingShape">
                    <wps:wsp>
                      <wps:cNvSpPr txBox="1"/>
                      <wps:spPr>
                        <a:xfrm>
                          <a:off x="0" y="0"/>
                          <a:ext cx="6480175" cy="64135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Schedule B</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Schedule B</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Annex A</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Cluster Parcel 4 Released Property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(Relating to Parcel 13: APN 162-21-102-006)</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 PORTION OF PARCEL 2 AS SHOWN IN FILE 1, PAGE 35 OF PARCEL MAPS, ON FILE AT THE CLARK COUNTY, NEVADA RECORDER'S OFFICE LYING WITHIN THE NORTHWEST QUARTER (NW 1/4) OF SECTION 21, TOWNSHIP 21 SOUTH, RANGE 61 EAST, M.D.M., CLARK COUNTY, NEVADA DESCRIBED AS FOLLOWS: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COMMENCING AT THE NORTHEAST CORNER OF THE NORTHWEST QUARTER (NW 1/4) OF SAID SECTION 21; THENCE ALONG THE EAST LINE THEREOF SOUTH 00°42'51" EAST, 1408.43 FEET; THENCE DEPARTING SAID EAST LINE SOUTH 89°17'08" WEST, 40.00 FEET TO THE WESTERLY RIGHT-OF-WAY LINE OF KOVAL LANE AS DESCRIBED IN THAT CERTAIN DOCUMENT RECORDED IN BOOK 507, AS INSTRUMENT NO. 408684 ON FILE AT SAID RECORDER'S OFFICE, ALSO BEING THE POINT OF BEGINNING; THENCE DEPARTING SAID WESTERLY RIGHT-OF-WAY LINE NORTH 88°24'19'' WEST, 3.00 FEET; THENCE NORTH 00°42'16" WEST, 79.69 FEET; THENCE NORTH 01°42'54" WEST, 105.41 FEET; THENCE NORTH 01°25'10"' WEST, 265.14 FEET; THENCE SOUTH 88°29'14" EAST, 8.09 FEET TO THE WESTERLY RIGHT-OF</w:t>
        <w:softHyphen/>
        <w:t xml:space="preserve">WAY LINE OF SAID KOVAL LANE; THENCE ALONG SAID RIGHT-OF-WAY LINE THE FOLLOWING TWO (2) COURSES: 1) SOUTH 00°42'51" EAST, 316.52 FEET; 2) SOUTH 00°42'52" EAST, 133.48 FEET TO THE POINT OF BEGINNING.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CONTAINS 2,361 SQUARE FEET, MORE OR LESS.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BASIS OF BEARINGS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SOUTH 00°42'51 EAST, BEING THE BEARING OF THE EAST LINE OF THE NORTHEAST QUARTER (NE 1/4) OF THE NORTHWEST QUARTER (NW 1/4) OF SECTION 21, TOWNSHIP 21 SOUTH, RANGE 61 EAST, M.D.M., CLARK COUNTY, AS SHOWN IN FILE 201, PAGE 54 OF SURVEYS ON FILE AT THE CLARK COUNTY, NEVADA RECORDER'S OFFICE.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END OF DESCRIPTION.</w:t>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Cluster Parcel 5 Released Property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(Relating to Parcel 15: APN 162-21-202-003)</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 PORTION OF PARCEL 2 AS SHOWN IN FILE 1, PAGE 35 OF PARCEL MAPS, ON FILE AT THE CLARK COUNTY, NEVADA, RECORDER'S OFFICE, LYING WITHIN THE SOUTHEAST QUARTER (SE 1/4) OF THE NORTHWEST QUARTER (NW 1/4) OF </w:t>
      </w: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SECTION 21, TOWNSHIP 21 SOUTH, RANGE 61 EAST, M.D.M., CLARK COUNTY, NEVADA, DESCRIBED AS FOLLOWS: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COMMENCING AT SOUTHEAST CORNER OF THE NORTHWEST QUARTER (NW 1/4) OF SAID SECTION 21; THENCE ALONG THE EAST LINE THEREOF NORTH 00°42’52” WEST, 1142.46 FEET; THENCE DEPARTING SAID EAST LINE SOUTH 89°17'08” WEST, 40.00 FEET TO THE WESTERLY RIGHT-OF-WAY LINE OF KOVAL LANE AS DESCRIBED IN THAT CERTAIN DOCUMENT RECORDED IN BOOK 507, AS INSTRUMENT NO. 408684 ON FILE AT SAID RECORDER'S OFFICE, AND ALSO BEING THE POINT OF BEGINNING; THENCE ALONG SAID RIGHT OF-WAY LINE SOUTH 00°42’52” EAST, 425.00 FEET; THENCE DEPARTING SAID RIGHT-OF-WAY LINE NORTH 88°24'18” WEST, 3.00 FEET; THENCE NORTH 00°42'52” WEST, 425.00 FEET; THENCE SOUTH 88°24'18” EAST, 3.00 FEET TO THE POINT OF BEGINNING.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CONTAINS 1,275 SQUARE FEET, MORE OR LESS.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BASIS OF BEARINGS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NORTH 00°42'52" WEST, BEING THE BEARING OF THE EAST LINE OF THE SOUTHEAST QUARTER (SE 1/4) OF THE NORTHWEST QUARTER (NW 1/4) OF SECTION 21, TOWNSHIP 21 SOUTH, RANGE 61 EAST, M.D.M., CLARK COUNTY, AS SHOWN IN FILE 201, PAGE 54 OF SURVEYS ON FILE-AT THE CLARK COUNTY, NEVADA RECORDER'S OFFICE.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END OF DESCRIPTION</w:t>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(Relating to Parcel 14: APN 162-21-202-006)</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 PORTION OF PARCEL 2 AS SHOWN IN FILE 1, PAGE 35 OF PARCEL MAPS, ON FILE AT THE CLARK COUNTY, NEVADA RECORDER'S OFFICE, LYING WITHIN THE SOUTHEAST QUARTER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(SE 1/4) OF THE NORTHWEST QUARTER (NW 1/4) OF SECTION 21, TOWNSHIP 21 SOUTH, RANGE 61 EAST, M.D.M., DESCRIBED AS FOLLOWS: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COMMENCING AT THE SOUTHEAST CORNER OF THE NORTHWEST QUARTER (NW 1/4) OF SAID SECTION 21; THENCE ALONG THE EAST LINE THEREOF NORTH 00°42'52" WEST, 717.46 FEET; THENCE DEPARTING SAID EAST LINE SOUTH 89°17'08” WEST, 40.00 FEET TO THE WESTERLY RIGHT-OF-WAY LINE OF KOVAL LANE AS DESCRIBED IN THAT CERTAIN DOCUMENT RECORDED IN BOOK 507, AS INSTRUMENT NO. 408684 ON FILE AT SAID RECORDER'S OFFICE, ALSO BEING THE POINT OF BEGINNING; THENCE ALONG SAID WESTERLY RIGHT-OF-WAY LINE SOUTH 00°42'52” EAST, 8.93 FEET; THENCE DEPARTING SAID WESTERLY RIGHT-</w:t>
      </w: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OF-WAY LINE SOUTH 89°46'01" WEST, 3.00 FEET; THENCE NORTH 00°42'52" WEST, 9.03 FEET; THENCE SOUTH 88°24'18” EAST, 3.00 FEET TO THE POINT OF BEGINNING.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CONTAINS 27 SQUARE FEET, MORE OR LESS.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BASIS OF BEARINGS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NORTH 00°42'52” WEST, BEING THE BEARING OF THE EAST LINE OF THE SOUTHEAST QUARTER (SE 1/4) OF THE NORTHWEST QUARTER (NW 1/4) OF SECTION 21, TOWNSHIP 21 SOUTH, RANGE 61 EAST, M.D.M., CLARK COUNTY, AS SHOWN IN FILE 201, PAGE 54 OF SURVEYS ON FILE AT THE CLARK COUNTY, NEVADA RECORDER'S OFFICE.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END OF DESCRIPTION.</w:t>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Cluster Parcel 6 Released Property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(Relating to Parcel 16: APN 162-21-202-007)</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 PORTION OF PARCEL 2 AS SHOWN IN FILE 1, PAGE 35 OF PARCEL MAPS, ON FILE AT THE CLARK COUNTY, NEVADA, RECORDER'S OFFICE, LYING WITHIN THE SOUTHEAST QUARTER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(SE 1/4) OF THE NORTHWEST QUARTER (NW 1/4) OF SECTION 21, TOWNSHIP 21 SOUTH, RANGE 61 EAST, M.D.M., CLARK COUNTY, NEVADA, DESCRIBED AS FOLLOWS: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COMMENCING AT THE SOUTHEAST CORNER OF SAID NORTHWEST QUARTER (NW 1/4) OF SECTION 21; THENCE ALONG THE EAST LINE THEREOF NORTH 00°42'52" WEST, 708.53 FEET; THENCE DEPARTING SAID EAST LINE SOUTH 89°17'08" WEST, 40.00 FEET TO THE WESTERLY RIGHT-OF-WAY LINE OF KOVAL LANE AS DEDICATED PER BOOK 507, INSTRUMENT NUMBER 0408684, RECORDED JANUARY 21, 1964, ON FILE AT SAID RECORDER'S OFFICE ALSO BEING THE POINT OF BEGINNING; THENCE ALONG SAID WESTERLY RIGHT-OF-WAY LINE, SOUTH 00°42'52" EAST, 648.02 FEET TO THE BEGINNING OF A CURVE, CONCAVE TO THE NORTHWEST, HAVING A RADIUS OF 20.00 FEET; THENCE SOUTHWESTERLY ALONG SAID CURVE AND THE RIGHT-OF-WAY LINE AS DEDICATED PER SAID PARCEL MAP, THROUGH A CENTRAL ANGLE OF 90°28'53", AN ARC LENGTH OF 31.58 FEET TO THE NORTHERLY RIGHT</w:t>
        <w:softHyphen/>
        <w:t xml:space="preserve">OF-WAY LINE OF HARMON AVENUE AS DEDICATED PER BOOK 399, AS INSTRUMENT NUMBER 321732, RECORDED NOVEMBER 14, 1962, ON FILE AT SAID RECORDER'S OFFICE; THENCE ALONG SAID NORTHERLY RIGHT-OF-WAY LINE SOUTH 89°46'01" WEST, 436.21 FEET; THENCE DEPARTING SAID NORTHERLY RIGHT-OF-WAY LINE AND ALONG THE WEST LINE OF SAID PARCEL 2, NORTH 00°32'08" WEST, 3.00 FEET; THENCE DEPARTING SAID </w:t>
      </w:r>
    </w:p>
    <w:p>
      <w:pPr>
        <w:pStyle w:val="TextBody"/>
        <w:bidi w:val="0"/>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WEST LINE, NORTH 87°59'06" EAST, 224.98 FEET; THENCE NORTH 89°46'01" EAST, 158.46 FEET TO THE BEGINNING OF A CURVE, CONCAVE TO THE NORTHWEST, HAVING A RADIUS OF 54.00 FEET; THENCE NORTHEASTERLY ALONG SAID CURVE, THROUGH A CENTRAL ANGLE OF 88°03'50", AN ARC LENGTH OF 83.00 FEET; THENCE NORTH 01°42'11" EAST, 369.18 FEET: THENCE NORTH 00°42'52" WEST, 237.03 FEET TO THE NORTH LINE OF PARCEL 16 AS DESCRIBED IN THAT "GRANT, BARGAIN AND SALE DEED", RECORDED OCTOBER 12, 2017, AS INSTRUMENT NUMBER 20171012-0001102, ON FILE AT SAID RECORDER'S OFFICE; THENCE ALONG SAID NORTH LINE, NORTH 89°46'01" EAST, 3.00 FEET TO THE POINT OF BEGINNING.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CONTAINING 9,984 SQUARE FEET, MORE OR LESS.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BASIS OF BEARINGS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NORTH 00°42'52" WEST, BEING THE BEARING OF THE EAST LINE OF THE SOUTHEAST QUARTER (SE 1/4) OF THE NORTHWEST QUARTER (NW 1/4) OF SECTION 21, TOWNSHIP 21 SOUTH, RANGE 61 EAST, M.D.M., CLARK COUNTY, NEVADA, AS SHOWN IN FILE 201, PAGE 54 OF SURVEYS, ON FILE AT THE CLARK COUNTY, NEVADA, RECORDER'S OFFICE.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END OF DESCRIPTION.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31.1</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VICI Properties Inc.;</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58"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31.2</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89560"/>
                <wp:effectExtent l="0" t="0" r="0" b="0"/>
                <wp:wrapNone/>
                <wp:docPr id="81" name="Frame80"/>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VICI Properties Inc.;</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color w:val="000000"/>
        </w:rPr>
      </w:pPr>
      <w:r>
        <w:rPr>
          <w:color w:val="000000"/>
        </w:rPr>
        <w:t> </w:t>
      </w:r>
    </w:p>
    <w:tbl>
      <w:tblPr>
        <w:tblW w:w="4273"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31.3</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89560"/>
                <wp:effectExtent l="0" t="0" r="0" b="0"/>
                <wp:wrapNone/>
                <wp:docPr id="82" name="Frame8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VICI Properties L.P.;</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57" w:type="dxa"/>
        <w:jc w:val="center"/>
        <w:tblInd w:w="0" w:type="dxa"/>
        <w:tblLayout w:type="fixed"/>
        <w:tblCellMar>
          <w:top w:w="28" w:type="dxa"/>
          <w:left w:w="28" w:type="dxa"/>
          <w:bottom w:w="28" w:type="dxa"/>
          <w:right w:w="28" w:type="dxa"/>
        </w:tblCellMar>
      </w:tblPr>
      <w:tblGrid>
        <w:gridCol w:w="200"/>
        <w:gridCol w:w="177"/>
        <w:gridCol w:w="178"/>
        <w:gridCol w:w="404"/>
        <w:gridCol w:w="404"/>
        <w:gridCol w:w="406"/>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30,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31.4</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89560"/>
                <wp:effectExtent l="0" t="0" r="0" b="0"/>
                <wp:wrapNone/>
                <wp:docPr id="83" name="Frame8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VICI Properties L.P.;</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color w:val="000000"/>
        </w:rPr>
      </w:pPr>
      <w:r>
        <w:rPr>
          <w:color w:val="000000"/>
        </w:rPr>
        <w:t> </w:t>
      </w:r>
    </w:p>
    <w:tbl>
      <w:tblPr>
        <w:tblW w:w="4272" w:type="dxa"/>
        <w:jc w:val="left"/>
        <w:tblInd w:w="0" w:type="dxa"/>
        <w:tblLayout w:type="fixed"/>
        <w:tblCellMar>
          <w:top w:w="28" w:type="dxa"/>
          <w:left w:w="28" w:type="dxa"/>
          <w:bottom w:w="28" w:type="dxa"/>
          <w:right w:w="28" w:type="dxa"/>
        </w:tblCellMar>
      </w:tblPr>
      <w:tblGrid>
        <w:gridCol w:w="200"/>
        <w:gridCol w:w="177"/>
        <w:gridCol w:w="178"/>
        <w:gridCol w:w="404"/>
        <w:gridCol w:w="404"/>
        <w:gridCol w:w="406"/>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30,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32.1</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89560"/>
                <wp:effectExtent l="0" t="0" r="0" b="0"/>
                <wp:wrapNone/>
                <wp:docPr id="84" name="Frame8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w:t>
      </w:r>
      <w:r>
        <w:rPr>
          <w:rFonts w:ascii="Times New Roman;serif" w:hAnsi="Times New Roman;serif"/>
          <w:b w:val="false"/>
          <w:color w:val="000000"/>
          <w:sz w:val="20"/>
        </w:rPr>
        <w:t xml:space="preserve">the accompanying Quarterly Report on Form 10-Q of the Company for the quarterly period ended June 30, 2025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(ii)</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w:t>
      </w:r>
    </w:p>
    <w:tbl>
      <w:tblPr>
        <w:tblW w:w="4558"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spacing w:before="180" w:after="283"/>
        <w:jc w:val="both"/>
        <w:rPr/>
      </w:pPr>
      <w:r>
        <w:rPr/>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32.2</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89560"/>
                <wp:effectExtent l="0" t="0" r="0" b="0"/>
                <wp:wrapNone/>
                <wp:docPr id="85" name="Frame84"/>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w:t>
      </w:r>
      <w:r>
        <w:rPr>
          <w:rFonts w:ascii="Times New Roman;serif" w:hAnsi="Times New Roman;serif"/>
          <w:b w:val="false"/>
          <w:color w:val="000000"/>
          <w:sz w:val="20"/>
        </w:rPr>
        <w:t xml:space="preserve">the accompanying Quarterly Report on Form 10-Q of the Company for the quarterly period ended June 30, 2025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(ii)</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w:t>
      </w:r>
    </w:p>
    <w:tbl>
      <w:tblPr>
        <w:tblW w:w="4273"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32.3</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89560"/>
                <wp:effectExtent l="0" t="0" r="0" b="0"/>
                <wp:wrapNone/>
                <wp:docPr id="86" name="Frame85"/>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w:t>
      </w:r>
      <w:r>
        <w:rPr>
          <w:rFonts w:ascii="Times New Roman;serif" w:hAnsi="Times New Roman;serif"/>
          <w:b w:val="false"/>
          <w:color w:val="000000"/>
          <w:sz w:val="20"/>
        </w:rPr>
        <w:t xml:space="preserve">the accompanying Quarterly Report on Form 10-Q of the Partnership for the quarterly period ended June 30, 2025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(ii)</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Partnership. </w:t>
      </w:r>
    </w:p>
    <w:tbl>
      <w:tblPr>
        <w:tblW w:w="4557" w:type="dxa"/>
        <w:jc w:val="center"/>
        <w:tblInd w:w="0" w:type="dxa"/>
        <w:tblLayout w:type="fixed"/>
        <w:tblCellMar>
          <w:top w:w="28" w:type="dxa"/>
          <w:left w:w="28" w:type="dxa"/>
          <w:bottom w:w="28" w:type="dxa"/>
          <w:right w:w="28" w:type="dxa"/>
        </w:tblCellMar>
      </w:tblPr>
      <w:tblGrid>
        <w:gridCol w:w="200"/>
        <w:gridCol w:w="177"/>
        <w:gridCol w:w="178"/>
        <w:gridCol w:w="404"/>
        <w:gridCol w:w="404"/>
        <w:gridCol w:w="406"/>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30,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32.4</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89560"/>
                <wp:effectExtent l="0" t="0" r="0" b="0"/>
                <wp:wrapNone/>
                <wp:docPr id="87" name="Frame86"/>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w:t>
      </w:r>
      <w:r>
        <w:rPr>
          <w:rFonts w:ascii="Times New Roman;serif" w:hAnsi="Times New Roman;serif"/>
          <w:b w:val="false"/>
          <w:color w:val="000000"/>
          <w:sz w:val="20"/>
        </w:rPr>
        <w:t xml:space="preserve">the accompanying Quarterly Report on Form 10-Q of the Partnership for the quarterly period ended June 30, 2025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(ii)</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Partnership. </w:t>
      </w:r>
    </w:p>
    <w:tbl>
      <w:tblPr>
        <w:tblW w:w="4272" w:type="dxa"/>
        <w:jc w:val="center"/>
        <w:tblInd w:w="0" w:type="dxa"/>
        <w:tblLayout w:type="fixed"/>
        <w:tblCellMar>
          <w:top w:w="28" w:type="dxa"/>
          <w:left w:w="28" w:type="dxa"/>
          <w:bottom w:w="28" w:type="dxa"/>
          <w:right w:w="28" w:type="dxa"/>
        </w:tblCellMar>
      </w:tblPr>
      <w:tblGrid>
        <w:gridCol w:w="200"/>
        <w:gridCol w:w="177"/>
        <w:gridCol w:w="178"/>
        <w:gridCol w:w="404"/>
        <w:gridCol w:w="404"/>
        <w:gridCol w:w="406"/>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30,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89560"/>
                <wp:effectExtent l="0" t="0" r="0" b="0"/>
                <wp:wrapNone/>
                <wp:docPr id="88" name="Frame87"/>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ix?doc=/Archives/edgar/data/0001705696/000170569625000033/vici-20241231.htm" TargetMode="External"/><Relationship Id="rId4" Type="http://schemas.openxmlformats.org/officeDocument/2006/relationships/hyperlink" Target="https://www.sec.gov/ix?doc=/Archives/edgar/data/0001705696/000170569625000033/vici-20241231.htm" TargetMode="External"/><Relationship Id="rId5" Type="http://schemas.openxmlformats.org/officeDocument/2006/relationships/hyperlink" Target="https://www.sec.gov/ix?doc=/Archives/edgar/data/0001705696/000170569625000033/vici-20241231.htm" TargetMode="External"/><Relationship Id="rId6" Type="http://schemas.openxmlformats.org/officeDocument/2006/relationships/hyperlink" Target="https://www.sec.gov/ix?doc=/Archives/edgar/data/0001705696/000170569625000033/vici-20241231.htm" TargetMode="External"/><Relationship Id="rId7" Type="http://schemas.openxmlformats.org/officeDocument/2006/relationships/hyperlink" Target="https://www.sec.gov/ix?doc=/Archives/edgar/data/0001705696/000170569625000033/vici-20241231.htm" TargetMode="External"/><Relationship Id="rId8" Type="http://schemas.openxmlformats.org/officeDocument/2006/relationships/hyperlink" Target="https://www.sec.gov/ix?doc=/Archives/edgar/data/0001705696/000170569625000033/vici-20241231.htm" TargetMode="External"/><Relationship Id="rId9" Type="http://schemas.openxmlformats.org/officeDocument/2006/relationships/hyperlink" Target="https://www.sec.gov/Archives/edgar/data/1705696/000110465925032640/tm2511522d1_ex4-2.htm" TargetMode="External"/><Relationship Id="rId10" Type="http://schemas.openxmlformats.org/officeDocument/2006/relationships/hyperlink" Target="https://www.sec.gov/Archives/edgar/data/1705696/000110465925032640/tm2511522d1_ex4-2.htm" TargetMode="External"/><Relationship Id="rId11" Type="http://schemas.openxmlformats.org/officeDocument/2006/relationships/hyperlink" Target="https://www.sec.gov/Archives/edgar/data/1705696/000110465925032640/tm2511522d1_ex4-2.htm" TargetMode="External"/><Relationship Id="rId12" Type="http://schemas.openxmlformats.org/officeDocument/2006/relationships/hyperlink" Target="https://www.sec.gov/Archives/edgar/data/1705696/000110465925032640/tm2511522d1_ex4-2.htm" TargetMode="External"/><Relationship Id="rId13" Type="http://schemas.openxmlformats.org/officeDocument/2006/relationships/hyperlink" Target="https://www.sec.gov/Archives/edgar/data/1705696/000110465925032640/tm2511522d1_ex4-2.htm" TargetMode="External"/><Relationship Id="rId14" Type="http://schemas.openxmlformats.org/officeDocument/2006/relationships/hyperlink" Target="https://www.sec.gov/Archives/edgar/data/1705696/000110465925032640/tm2511522d1_ex4-2.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36143</Words>
  <Characters>200086</Characters>
  <CharactersWithSpaces>233749</CharactersWithSpaces>
  <Paragraphs>5019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