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91"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3680" w:right="1260" w:hanging="2538"/>
        <w:spacing w:after="0" w:line="384" w:lineRule="auto"/>
        <w:tabs>
          <w:tab w:leader="none" w:pos="173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001-38372 (VICI Properties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333-264352-01 (VICI Properties L.P.)</w:t>
      </w:r>
    </w:p>
    <w:p>
      <w:pPr>
        <w:spacing w:after="0" w:line="7"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32"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Inc.</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29"/>
          <w:szCs w:val="29"/>
          <w:b w:val="1"/>
          <w:bCs w:val="1"/>
          <w:color w:val="auto"/>
        </w:rPr>
        <w:t>VICI Properties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23"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6"/>
              </w:rPr>
              <w:t>Maryland</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Inc.)</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81-4177147</w:t>
            </w:r>
          </w:p>
        </w:tc>
      </w:tr>
      <w:tr>
        <w:trPr>
          <w:trHeight w:val="225"/>
        </w:trPr>
        <w:tc>
          <w:tcPr>
            <w:tcW w:w="4040" w:type="dxa"/>
            <w:vAlign w:val="bottom"/>
          </w:tcPr>
          <w:p>
            <w:pPr>
              <w:jc w:val="center"/>
              <w:ind w:right="236"/>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ind w:left="320"/>
              <w:spacing w:after="0"/>
              <w:rPr>
                <w:sz w:val="20"/>
                <w:szCs w:val="20"/>
                <w:color w:val="auto"/>
              </w:rPr>
            </w:pPr>
            <w:r>
              <w:rPr>
                <w:rFonts w:ascii="Arial" w:cs="Arial" w:eastAsia="Arial" w:hAnsi="Arial"/>
                <w:sz w:val="18"/>
                <w:szCs w:val="18"/>
                <w:b w:val="1"/>
                <w:bCs w:val="1"/>
                <w:color w:val="auto"/>
              </w:rPr>
              <w:t>(VICI Properties L.P.)</w:t>
            </w:r>
          </w:p>
        </w:tc>
        <w:tc>
          <w:tcPr>
            <w:tcW w:w="2900" w:type="dxa"/>
            <w:vAlign w:val="bottom"/>
          </w:tcPr>
          <w:p>
            <w:pPr>
              <w:jc w:val="center"/>
              <w:ind w:left="636"/>
              <w:spacing w:after="0"/>
              <w:rPr>
                <w:sz w:val="20"/>
                <w:szCs w:val="20"/>
                <w:color w:val="auto"/>
              </w:rPr>
            </w:pPr>
            <w:r>
              <w:rPr>
                <w:rFonts w:ascii="Arial" w:cs="Arial" w:eastAsia="Arial" w:hAnsi="Arial"/>
                <w:sz w:val="18"/>
                <w:szCs w:val="18"/>
                <w:b w:val="1"/>
                <w:bCs w:val="1"/>
                <w:color w:val="auto"/>
                <w:w w:val="89"/>
              </w:rPr>
              <w:t>35-2576503</w:t>
            </w:r>
          </w:p>
        </w:tc>
      </w:tr>
      <w:tr>
        <w:trPr>
          <w:trHeight w:val="186"/>
        </w:trPr>
        <w:tc>
          <w:tcPr>
            <w:tcW w:w="4040" w:type="dxa"/>
            <w:vAlign w:val="bottom"/>
          </w:tcPr>
          <w:p>
            <w:pPr>
              <w:jc w:val="center"/>
              <w:ind w:right="236"/>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740" w:type="dxa"/>
            <w:vAlign w:val="bottom"/>
          </w:tcPr>
          <w:p>
            <w:pPr>
              <w:spacing w:after="0"/>
              <w:rPr>
                <w:sz w:val="16"/>
                <w:szCs w:val="16"/>
                <w:color w:val="auto"/>
              </w:rPr>
            </w:pPr>
          </w:p>
        </w:tc>
        <w:tc>
          <w:tcPr>
            <w:tcW w:w="2900" w:type="dxa"/>
            <w:vAlign w:val="bottom"/>
          </w:tcPr>
          <w:p>
            <w:pPr>
              <w:jc w:val="center"/>
              <w:ind w:left="616"/>
              <w:spacing w:after="0"/>
              <w:rPr>
                <w:sz w:val="20"/>
                <w:szCs w:val="20"/>
                <w:color w:val="auto"/>
              </w:rPr>
            </w:pPr>
            <w:r>
              <w:rPr>
                <w:rFonts w:ascii="Arial" w:cs="Arial" w:eastAsia="Arial" w:hAnsi="Arial"/>
                <w:sz w:val="14"/>
                <w:szCs w:val="14"/>
                <w:b w:val="1"/>
                <w:bCs w:val="1"/>
                <w:color w:val="auto"/>
                <w:w w:val="95"/>
              </w:rPr>
              <w:t>(I.R.S. Employer Identification No.)</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1"/>
          <w:szCs w:val="11"/>
          <w:color w:val="auto"/>
        </w:rPr>
        <w:t>_____________________________</w:t>
      </w:r>
    </w:p>
    <w:p>
      <w:pPr>
        <w:spacing w:after="0" w:line="95"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46"/>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340" w:type="dxa"/>
            <w:vAlign w:val="bottom"/>
          </w:tcPr>
          <w:p>
            <w:pPr>
              <w:spacing w:after="0"/>
              <w:rPr>
                <w:sz w:val="21"/>
                <w:szCs w:val="21"/>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340" w:type="dxa"/>
            <w:vAlign w:val="bottom"/>
          </w:tcPr>
          <w:p>
            <w:pPr>
              <w:spacing w:after="0"/>
              <w:rPr>
                <w:sz w:val="21"/>
                <w:szCs w:val="21"/>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4240" w:type="dxa"/>
            <w:vAlign w:val="bottom"/>
            <w:gridSpan w:val="2"/>
          </w:tcPr>
          <w:p>
            <w:pPr>
              <w:jc w:val="center"/>
              <w:ind w:right="360"/>
              <w:spacing w:after="0"/>
              <w:rPr>
                <w:sz w:val="20"/>
                <w:szCs w:val="20"/>
                <w:color w:val="auto"/>
              </w:rPr>
            </w:pPr>
            <w:r>
              <w:rPr>
                <w:rFonts w:ascii="Arial" w:cs="Arial" w:eastAsia="Arial" w:hAnsi="Arial"/>
                <w:sz w:val="16"/>
                <w:szCs w:val="16"/>
                <w:color w:val="auto"/>
                <w:w w:val="92"/>
              </w:rPr>
              <w:t>Common stock, $0.01 par value</w:t>
            </w:r>
          </w:p>
        </w:tc>
        <w:tc>
          <w:tcPr>
            <w:tcW w:w="2880" w:type="dxa"/>
            <w:vAlign w:val="bottom"/>
            <w:gridSpan w:val="2"/>
          </w:tcPr>
          <w:p>
            <w:pPr>
              <w:jc w:val="center"/>
              <w:ind w:right="340"/>
              <w:spacing w:after="0"/>
              <w:rPr>
                <w:sz w:val="20"/>
                <w:szCs w:val="20"/>
                <w:color w:val="auto"/>
              </w:rPr>
            </w:pPr>
            <w:r>
              <w:rPr>
                <w:rFonts w:ascii="Arial" w:cs="Arial" w:eastAsia="Arial" w:hAnsi="Arial"/>
                <w:sz w:val="16"/>
                <w:szCs w:val="16"/>
                <w:color w:val="auto"/>
              </w:rPr>
              <w:t>VICI</w:t>
            </w:r>
          </w:p>
        </w:tc>
        <w:tc>
          <w:tcPr>
            <w:tcW w:w="378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47"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6"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jc w:val="both"/>
        <w:ind w:firstLine="324"/>
        <w:spacing w:after="0" w:line="317"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360"/>
        <w:spacing w:after="0" w:line="184" w:lineRule="exact"/>
        <w:tabs>
          <w:tab w:leader="none" w:pos="2320" w:val="left"/>
          <w:tab w:leader="none" w:pos="6560" w:val="left"/>
          <w:tab w:leader="none" w:pos="860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2880" w:type="dxa"/>
            <w:vAlign w:val="bottom"/>
            <w:gridSpan w:val="2"/>
          </w:tcPr>
          <w:p>
            <w:pPr>
              <w:ind w:left="200"/>
              <w:spacing w:after="0"/>
              <w:rPr>
                <w:sz w:val="20"/>
                <w:szCs w:val="20"/>
                <w:color w:val="auto"/>
              </w:rPr>
            </w:pPr>
            <w:r>
              <w:rPr>
                <w:rFonts w:ascii="Arial" w:cs="Arial" w:eastAsia="Arial" w:hAnsi="Arial"/>
                <w:sz w:val="16"/>
                <w:szCs w:val="16"/>
                <w:color w:val="auto"/>
              </w:rPr>
              <w:t>VICI Properties Inc.</w:t>
            </w:r>
          </w:p>
        </w:tc>
        <w:tc>
          <w:tcPr>
            <w:tcW w:w="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900" w:type="dxa"/>
            <w:vAlign w:val="bottom"/>
            <w:gridSpan w:val="2"/>
          </w:tcPr>
          <w:p>
            <w:pPr>
              <w:ind w:left="220"/>
              <w:spacing w:after="0"/>
              <w:rPr>
                <w:sz w:val="20"/>
                <w:szCs w:val="20"/>
                <w:color w:val="auto"/>
              </w:rPr>
            </w:pPr>
            <w:r>
              <w:rPr>
                <w:rFonts w:ascii="Arial" w:cs="Arial" w:eastAsia="Arial" w:hAnsi="Arial"/>
                <w:sz w:val="16"/>
                <w:szCs w:val="16"/>
                <w:color w:val="auto"/>
              </w:rPr>
              <w:t>VICI Properties L.P.</w:t>
            </w:r>
          </w:p>
        </w:tc>
        <w:tc>
          <w:tcPr>
            <w:tcW w:w="480" w:type="dxa"/>
            <w:vAlign w:val="bottom"/>
          </w:tcPr>
          <w:p>
            <w:pPr>
              <w:spacing w:after="0"/>
              <w:rPr>
                <w:sz w:val="16"/>
                <w:szCs w:val="16"/>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Large 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ind w:left="420"/>
              <w:spacing w:after="0"/>
              <w:rPr>
                <w:sz w:val="20"/>
                <w:szCs w:val="20"/>
                <w:color w:val="auto"/>
              </w:rPr>
            </w:pPr>
            <w:r>
              <w:rPr>
                <w:rFonts w:ascii="Arial" w:cs="Arial" w:eastAsia="Arial" w:hAnsi="Arial"/>
                <w:sz w:val="16"/>
                <w:szCs w:val="16"/>
                <w:color w:val="auto"/>
              </w:rPr>
              <w:t>Non-accelerated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00" w:type="dxa"/>
            <w:vAlign w:val="bottom"/>
          </w:tcPr>
          <w:p>
            <w:pPr>
              <w:ind w:left="22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7" w:lineRule="exact"/>
        <w:rPr>
          <w:sz w:val="24"/>
          <w:szCs w:val="24"/>
          <w:color w:val="auto"/>
        </w:rPr>
      </w:pPr>
    </w:p>
    <w:p>
      <w:pPr>
        <w:ind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83" w:lineRule="exact"/>
        <w:rPr>
          <w:sz w:val="24"/>
          <w:szCs w:val="24"/>
          <w:color w:val="auto"/>
        </w:rPr>
      </w:pPr>
    </w:p>
    <w:p>
      <w:pPr>
        <w:ind w:left="360"/>
        <w:spacing w:after="0" w:line="184" w:lineRule="exact"/>
        <w:tabs>
          <w:tab w:leader="none" w:pos="2320" w:val="left"/>
          <w:tab w:leader="none" w:pos="6560" w:val="left"/>
          <w:tab w:leader="none" w:pos="8560" w:val="left"/>
        </w:tabs>
        <w:rPr>
          <w:sz w:val="20"/>
          <w:szCs w:val="20"/>
          <w:color w:val="auto"/>
        </w:rPr>
      </w:pPr>
      <w:r>
        <w:rPr>
          <w:rFonts w:ascii="Arial" w:cs="Arial" w:eastAsia="Arial" w:hAnsi="Arial"/>
          <w:sz w:val="16"/>
          <w:szCs w:val="16"/>
          <w:color w:val="auto"/>
        </w:rPr>
        <w:t xml:space="preserve">VICI Properties Inc.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VICI Properties L.P.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8" w:lineRule="exact"/>
        <w:rPr>
          <w:sz w:val="24"/>
          <w:szCs w:val="24"/>
          <w:color w:val="auto"/>
        </w:rPr>
      </w:pPr>
    </w:p>
    <w:p>
      <w:pPr>
        <w:ind w:right="20" w:firstLine="324"/>
        <w:spacing w:after="0" w:line="293" w:lineRule="auto"/>
        <w:rPr>
          <w:sz w:val="20"/>
          <w:szCs w:val="20"/>
          <w:color w:val="auto"/>
        </w:rPr>
      </w:pPr>
      <w:r>
        <w:rPr>
          <w:rFonts w:ascii="Arial" w:cs="Arial" w:eastAsia="Arial" w:hAnsi="Arial"/>
          <w:sz w:val="16"/>
          <w:szCs w:val="16"/>
          <w:color w:val="auto"/>
        </w:rPr>
        <w:t>As of October 26, 2022, VICI Properties Inc. had 963,097,848 shares of common stock, $0.01 par value per share, outstanding. VICI Properties L.P. has no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combines the quarterly reports on Form 10-Q for the three and nine months ended September 30, 2022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VICI is a real estate investment trust (“REIT”) that is the sole owner of VICI Properties GP LLC (the “General Partner”), the sole general partner of VICI LP. As of September 30, 2022, VICI owns 100% of the limited liability company interests of VICI Properties HoldCo LLC (“HoldCo”), which in turn owns approximately 98.7% of the limited liability company interest of VICI OP (such interests, “VICI OP Units”), our operating partnership, which in turns owns 100% of the limited partnership interest in VICI LP. The balance of the VICI OP Units not held by HoldCo are held by MGM Resorts International or its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diagram details VICI’s organizational structure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We believe combining the quarterly reports on Form 10-Q of VICI and VICI LP into this single report:</w:t>
      </w:r>
    </w:p>
    <w:p>
      <w:pPr>
        <w:spacing w:after="0" w:line="171"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VICI and VICI LP by enabling investors to view the business as a whole in the same manner as management views and operates the business;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streamlined and readable presentation;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ectPr>
          <w:pgSz w:w="11900" w:h="16838" w:orient="portrait"/>
          <w:cols w:equalWidth="0" w:num="1">
            <w:col w:w="11240"/>
          </w:cols>
          <w:pgMar w:left="320" w:top="133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2" w:name="page3"/>
    <w:bookmarkEnd w:id="2"/>
    <w:p>
      <w:pPr>
        <w:jc w:val="both"/>
        <w:spacing w:after="0" w:line="342" w:lineRule="auto"/>
        <w:rPr>
          <w:sz w:val="20"/>
          <w:szCs w:val="20"/>
          <w:color w:val="auto"/>
        </w:rPr>
      </w:pPr>
      <w:r>
        <w:rPr>
          <w:rFonts w:ascii="Arial" w:cs="Arial" w:eastAsia="Arial" w:hAnsi="Arial"/>
          <w:sz w:val="16"/>
          <w:szCs w:val="16"/>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September 30, 2022, the primary areas of difference between the unaudited Consolidated Financial Statements of VICI and those of VICI LP were stockholders’ equity and partners’ capital, non-controlling interests, and golf operations, which include the assets and liabilities and income and expenses of VICI Golf.</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consolidated financial statements for VICI and VICI LP;</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single set of notes to such consolidated financial statements that includes separate discussions of stockholders’ equity or partners’ equity and per share and per unit data, as applicable;</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combined Management’s Discussion and Analysis of Financial Condition and Results of Operations section that also includes discrete information related to each entity, as applicable;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separate Part I, Item 4. Controls and Procedures sections;</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separate Part II, Item 2. Issuer Purchases of Equity Securities sections related to each entity; and</w:t>
      </w:r>
    </w:p>
    <w:p>
      <w:pPr>
        <w:spacing w:after="0" w:line="6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separate Exhibits 31 and 32 certifications for each VICI and VICI LP in order to establish that the requisite certifications have been made and that VICI and VICI LP are each compliant with Rule 13a-14(a) or Rule 15d-14(a) of the Securities Exchange Act of 1934 and 18 U.S.C. §1350.</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SEPTEMBER 30,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96"/>
              </w:rPr>
              <w:t>PART I.</w:t>
            </w:r>
          </w:p>
        </w:tc>
        <w:tc>
          <w:tcPr>
            <w:tcW w:w="360" w:type="dxa"/>
            <w:vAlign w:val="bottom"/>
            <w:gridSpan w:val="3"/>
            <w:vMerge w:val="restart"/>
          </w:tcPr>
          <w:p>
            <w:pPr>
              <w:spacing w:after="0"/>
              <w:rPr>
                <w:sz w:val="20"/>
                <w:szCs w:val="20"/>
                <w:color w:val="auto"/>
              </w:rPr>
            </w:pPr>
          </w:p>
        </w:tc>
        <w:tc>
          <w:tcPr>
            <w:tcW w:w="240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7240" w:type="dxa"/>
            <w:vAlign w:val="bottom"/>
            <w:gridSpan w:val="12"/>
            <w:vMerge w:val="restart"/>
          </w:tcPr>
          <w:p>
            <w:pPr>
              <w:spacing w:after="0"/>
              <w:rPr>
                <w:sz w:val="20"/>
                <w:szCs w:val="20"/>
                <w:color w:val="auto"/>
              </w:rPr>
            </w:pPr>
          </w:p>
        </w:tc>
        <w:tc>
          <w:tcPr>
            <w:tcW w:w="5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40" w:type="dxa"/>
            <w:vAlign w:val="bottom"/>
            <w:tcBorders>
              <w:bottom w:val="single" w:sz="8" w:color="0000FF"/>
            </w:tcBorders>
            <w:gridSpan w:val="2"/>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9"/>
            <w:vMerge w:val="continue"/>
          </w:tcPr>
          <w:p>
            <w:pPr>
              <w:spacing w:after="0"/>
              <w:rPr>
                <w:sz w:val="14"/>
                <w:szCs w:val="14"/>
                <w:color w:val="auto"/>
              </w:rPr>
            </w:pPr>
          </w:p>
        </w:tc>
        <w:tc>
          <w:tcPr>
            <w:tcW w:w="7240" w:type="dxa"/>
            <w:vAlign w:val="bottom"/>
            <w:gridSpan w:val="1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1.</w:t>
            </w:r>
          </w:p>
        </w:tc>
        <w:tc>
          <w:tcPr>
            <w:tcW w:w="520" w:type="dxa"/>
            <w:vAlign w:val="bottom"/>
            <w:gridSpan w:val="4"/>
          </w:tcPr>
          <w:p>
            <w:pPr>
              <w:spacing w:after="0"/>
              <w:rPr>
                <w:sz w:val="18"/>
                <w:szCs w:val="18"/>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0000FF"/>
              </w:rPr>
              <w:t>Financial Statements of VICI Properties Inc. (Unaudited)</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000FF"/>
              </w:rPr>
              <w:t>Consolidated Balance Sheets as of September 30, 2022 and December 31, 2021</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000FF"/>
                <w:w w:val="90"/>
              </w:rPr>
              <w:t>Consolidated Statements of Operations and Comprehensive Income for the Three and Nine Months Ended September 30, 2022</w:t>
            </w:r>
          </w:p>
        </w:tc>
        <w:tc>
          <w:tcPr>
            <w:tcW w:w="24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color w:val="0000FF"/>
                <w:w w:val="99"/>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and 2021</w:t>
            </w:r>
          </w:p>
        </w:tc>
        <w:tc>
          <w:tcPr>
            <w:tcW w:w="81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000FF"/>
                <w:w w:val="98"/>
              </w:rPr>
              <w:t>Consolidated Statements of Stockholders’ Equity for the Three and Nine Months Ended September 30, 2022 and 2021</w:t>
            </w:r>
          </w:p>
        </w:tc>
        <w:tc>
          <w:tcPr>
            <w:tcW w:w="340" w:type="dxa"/>
            <w:vAlign w:val="bottom"/>
            <w:gridSpan w:val="2"/>
          </w:tcPr>
          <w:p>
            <w:pPr>
              <w:jc w:val="center"/>
              <w:ind w:left="150"/>
              <w:spacing w:after="0"/>
              <w:rPr>
                <w:sz w:val="20"/>
                <w:szCs w:val="20"/>
                <w:color w:val="auto"/>
              </w:rPr>
            </w:pPr>
            <w:r>
              <w:rPr>
                <w:rFonts w:ascii="Arial" w:cs="Arial" w:eastAsia="Arial" w:hAnsi="Arial"/>
                <w:sz w:val="18"/>
                <w:szCs w:val="18"/>
                <w:color w:val="0000FF"/>
                <w:w w:val="99"/>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2022 and 2021</w:t>
            </w:r>
          </w:p>
        </w:tc>
        <w:tc>
          <w:tcPr>
            <w:tcW w:w="1440" w:type="dxa"/>
            <w:vAlign w:val="bottom"/>
            <w:tcBorders>
              <w:top w:val="single" w:sz="8" w:color="0000FF"/>
            </w:tcBorders>
            <w:gridSpan w:val="2"/>
          </w:tcPr>
          <w:p>
            <w:pPr>
              <w:spacing w:after="0"/>
              <w:rPr>
                <w:sz w:val="18"/>
                <w:szCs w:val="18"/>
                <w:color w:val="auto"/>
              </w:rPr>
            </w:pPr>
          </w:p>
        </w:tc>
        <w:tc>
          <w:tcPr>
            <w:tcW w:w="76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Financial Statements of VICI Properties L.P. (Unaudited)</w:t>
            </w:r>
          </w:p>
        </w:tc>
        <w:tc>
          <w:tcPr>
            <w:tcW w:w="550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000FF"/>
              </w:rPr>
              <w:t>Consolidated Balance Sheets as of September 30, 2022 and December 31, 2021</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Arial" w:cs="Arial" w:eastAsia="Arial" w:hAnsi="Arial"/>
                <w:sz w:val="18"/>
                <w:szCs w:val="18"/>
                <w:color w:val="0000FF"/>
                <w:w w:val="90"/>
              </w:rPr>
              <w:t>Consolidated Statements of Operations and Comprehensive Income for the Three and Nine Months Ended September 30, 2022</w:t>
            </w:r>
          </w:p>
        </w:tc>
        <w:tc>
          <w:tcPr>
            <w:tcW w:w="340" w:type="dxa"/>
            <w:vAlign w:val="bottom"/>
            <w:gridSpan w:val="2"/>
            <w:vMerge w:val="restart"/>
          </w:tcPr>
          <w:p>
            <w:pPr>
              <w:jc w:val="center"/>
              <w:ind w:left="70"/>
              <w:spacing w:after="0"/>
              <w:rPr>
                <w:sz w:val="20"/>
                <w:szCs w:val="20"/>
                <w:color w:val="auto"/>
              </w:rPr>
            </w:pPr>
            <w:r>
              <w:rPr>
                <w:rFonts w:ascii="Arial" w:cs="Arial" w:eastAsia="Arial" w:hAnsi="Arial"/>
                <w:sz w:val="18"/>
                <w:szCs w:val="18"/>
                <w:color w:val="0000FF"/>
                <w:w w:val="89"/>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and 2021</w:t>
            </w:r>
          </w:p>
        </w:tc>
        <w:tc>
          <w:tcPr>
            <w:tcW w:w="8200" w:type="dxa"/>
            <w:vAlign w:val="bottom"/>
            <w:tcBorders>
              <w:top w:val="single" w:sz="8" w:color="0000FF"/>
            </w:tcBorders>
            <w:gridSpan w:val="15"/>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2080" w:type="dxa"/>
            <w:vAlign w:val="bottom"/>
            <w:gridSpan w:val="2"/>
          </w:tcPr>
          <w:p>
            <w:pPr>
              <w:spacing w:after="0"/>
              <w:rPr>
                <w:sz w:val="2"/>
                <w:szCs w:val="2"/>
                <w:color w:val="auto"/>
              </w:rPr>
            </w:pPr>
          </w:p>
        </w:tc>
        <w:tc>
          <w:tcPr>
            <w:tcW w:w="2120" w:type="dxa"/>
            <w:vAlign w:val="bottom"/>
            <w:gridSpan w:val="2"/>
          </w:tcPr>
          <w:p>
            <w:pPr>
              <w:spacing w:after="0"/>
              <w:rPr>
                <w:sz w:val="2"/>
                <w:szCs w:val="2"/>
                <w:color w:val="auto"/>
              </w:rPr>
            </w:pPr>
          </w:p>
        </w:tc>
        <w:tc>
          <w:tcPr>
            <w:tcW w:w="1060" w:type="dxa"/>
            <w:vAlign w:val="bottom"/>
            <w:gridSpan w:val="4"/>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20" w:type="dxa"/>
            <w:vAlign w:val="bottom"/>
            <w:gridSpan w:val="16"/>
          </w:tcPr>
          <w:p>
            <w:pPr>
              <w:spacing w:after="0"/>
              <w:rPr>
                <w:sz w:val="20"/>
                <w:szCs w:val="20"/>
                <w:color w:val="auto"/>
              </w:rPr>
            </w:pPr>
            <w:r>
              <w:rPr>
                <w:rFonts w:ascii="Arial" w:cs="Arial" w:eastAsia="Arial" w:hAnsi="Arial"/>
                <w:sz w:val="18"/>
                <w:szCs w:val="18"/>
                <w:color w:val="0000FF"/>
                <w:w w:val="89"/>
              </w:rPr>
              <w:t>Consolidated Statements of Partners’ Capital for the Three and Nine Months Ended September 30, 2022 and 2021</w:t>
            </w:r>
          </w:p>
        </w:tc>
        <w:tc>
          <w:tcPr>
            <w:tcW w:w="1060" w:type="dxa"/>
            <w:vAlign w:val="bottom"/>
            <w:gridSpan w:val="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2022 and 2021</w:t>
            </w:r>
          </w:p>
        </w:tc>
        <w:tc>
          <w:tcPr>
            <w:tcW w:w="1140" w:type="dxa"/>
            <w:vAlign w:val="bottom"/>
          </w:tcPr>
          <w:p>
            <w:pPr>
              <w:spacing w:after="0"/>
              <w:rPr>
                <w:sz w:val="18"/>
                <w:szCs w:val="18"/>
                <w:color w:val="auto"/>
              </w:rPr>
            </w:pPr>
          </w:p>
        </w:tc>
        <w:tc>
          <w:tcPr>
            <w:tcW w:w="1060" w:type="dxa"/>
            <w:vAlign w:val="bottom"/>
            <w:gridSpan w:val="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0"/>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480" w:type="dxa"/>
            <w:vAlign w:val="bottom"/>
            <w:gridSpan w:val="11"/>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17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2.</w:t>
            </w:r>
          </w:p>
        </w:tc>
        <w:tc>
          <w:tcPr>
            <w:tcW w:w="520" w:type="dxa"/>
            <w:vAlign w:val="bottom"/>
            <w:gridSpan w:val="4"/>
          </w:tcPr>
          <w:p>
            <w:pPr>
              <w:spacing w:after="0"/>
              <w:rPr>
                <w:sz w:val="18"/>
                <w:szCs w:val="18"/>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3.</w:t>
            </w:r>
          </w:p>
        </w:tc>
        <w:tc>
          <w:tcPr>
            <w:tcW w:w="520" w:type="dxa"/>
            <w:vAlign w:val="bottom"/>
            <w:gridSpan w:val="4"/>
          </w:tcPr>
          <w:p>
            <w:pPr>
              <w:spacing w:after="0"/>
              <w:rPr>
                <w:sz w:val="18"/>
                <w:szCs w:val="18"/>
                <w:color w:val="auto"/>
              </w:rPr>
            </w:pPr>
          </w:p>
        </w:tc>
        <w:tc>
          <w:tcPr>
            <w:tcW w:w="4380" w:type="dxa"/>
            <w:vAlign w:val="bottom"/>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gridSpan w:val="2"/>
          </w:tcPr>
          <w:p>
            <w:pPr>
              <w:spacing w:after="0"/>
              <w:rPr>
                <w:sz w:val="18"/>
                <w:szCs w:val="18"/>
                <w:color w:val="auto"/>
              </w:rPr>
            </w:pPr>
          </w:p>
        </w:tc>
        <w:tc>
          <w:tcPr>
            <w:tcW w:w="3180" w:type="dxa"/>
            <w:vAlign w:val="bottom"/>
            <w:gridSpan w:val="6"/>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4.</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600" w:type="dxa"/>
            <w:vAlign w:val="bottom"/>
            <w:gridSpan w:val="7"/>
          </w:tcPr>
          <w:p>
            <w:pPr>
              <w:spacing w:after="0"/>
              <w:rPr>
                <w:sz w:val="18"/>
                <w:szCs w:val="18"/>
                <w:color w:val="auto"/>
              </w:rPr>
            </w:pPr>
          </w:p>
        </w:tc>
        <w:tc>
          <w:tcPr>
            <w:tcW w:w="526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8"/>
                <w:szCs w:val="18"/>
                <w:b w:val="1"/>
                <w:bCs w:val="1"/>
                <w:color w:val="0000FF"/>
              </w:rPr>
              <w:t>PART II.</w:t>
            </w:r>
          </w:p>
        </w:tc>
        <w:tc>
          <w:tcPr>
            <w:tcW w:w="9640" w:type="dxa"/>
            <w:vAlign w:val="bottom"/>
            <w:gridSpan w:val="21"/>
          </w:tcPr>
          <w:p>
            <w:pPr>
              <w:spacing w:after="0"/>
              <w:rPr>
                <w:sz w:val="20"/>
                <w:szCs w:val="20"/>
                <w:color w:val="auto"/>
              </w:rPr>
            </w:pPr>
            <w:r>
              <w:rPr>
                <w:rFonts w:ascii="Arial" w:cs="Arial" w:eastAsia="Arial" w:hAnsi="Arial"/>
                <w:sz w:val="18"/>
                <w:szCs w:val="18"/>
                <w:b w:val="1"/>
                <w:bCs w:val="1"/>
                <w:color w:val="0000FF"/>
              </w:rPr>
              <w:t>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79"/>
              </w:rPr>
              <w:t>Item 1.</w:t>
            </w:r>
          </w:p>
        </w:tc>
        <w:tc>
          <w:tcPr>
            <w:tcW w:w="220" w:type="dxa"/>
            <w:vAlign w:val="bottom"/>
            <w:tcBorders>
              <w:top w:val="single" w:sz="8" w:color="0000FF"/>
            </w:tcBorders>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85"/>
              </w:rPr>
              <w:t>Legal Proceedings</w:t>
            </w:r>
          </w:p>
        </w:tc>
        <w:tc>
          <w:tcPr>
            <w:tcW w:w="700" w:type="dxa"/>
            <w:vAlign w:val="bottom"/>
            <w:tcBorders>
              <w:top w:val="single" w:sz="8" w:color="0000FF"/>
            </w:tcBorders>
            <w:gridSpan w:val="2"/>
          </w:tcPr>
          <w:p>
            <w:pPr>
              <w:spacing w:after="0"/>
              <w:rPr>
                <w:sz w:val="18"/>
                <w:szCs w:val="18"/>
                <w:color w:val="auto"/>
              </w:rPr>
            </w:pPr>
          </w:p>
        </w:tc>
        <w:tc>
          <w:tcPr>
            <w:tcW w:w="762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64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8"/>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180" w:type="dxa"/>
            <w:vAlign w:val="bottom"/>
            <w:tcBorders>
              <w:bottom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260" w:type="dxa"/>
            <w:vAlign w:val="bottom"/>
            <w:gridSpan w:val="8"/>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3.</w:t>
            </w:r>
          </w:p>
        </w:tc>
        <w:tc>
          <w:tcPr>
            <w:tcW w:w="520" w:type="dxa"/>
            <w:vAlign w:val="bottom"/>
            <w:gridSpan w:val="4"/>
          </w:tcPr>
          <w:p>
            <w:pPr>
              <w:spacing w:after="0"/>
              <w:rPr>
                <w:sz w:val="18"/>
                <w:szCs w:val="18"/>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4.</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gridSpan w:val="2"/>
          </w:tcPr>
          <w:p>
            <w:pPr>
              <w:spacing w:after="0"/>
              <w:rPr>
                <w:sz w:val="18"/>
                <w:szCs w:val="18"/>
                <w:color w:val="auto"/>
              </w:rPr>
            </w:pPr>
          </w:p>
        </w:tc>
        <w:tc>
          <w:tcPr>
            <w:tcW w:w="732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5</w:t>
            </w:r>
            <w:r>
              <w:rPr>
                <w:rFonts w:ascii="Arial" w:cs="Arial" w:eastAsia="Arial" w:hAnsi="Arial"/>
                <w:sz w:val="18"/>
                <w:szCs w:val="18"/>
                <w:color w:val="000000"/>
                <w:w w:val="79"/>
              </w:rPr>
              <w:t>.</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0000FF"/>
              </w:rPr>
              <w:t>Other Information</w:t>
            </w:r>
          </w:p>
        </w:tc>
        <w:tc>
          <w:tcPr>
            <w:tcW w:w="7860" w:type="dxa"/>
            <w:vAlign w:val="bottom"/>
            <w:gridSpan w:val="1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0000FF"/>
                <w:w w:val="79"/>
              </w:rPr>
              <w:t>Item 6.</w:t>
            </w:r>
          </w:p>
        </w:tc>
        <w:tc>
          <w:tcPr>
            <w:tcW w:w="520" w:type="dxa"/>
            <w:vAlign w:val="bottom"/>
            <w:gridSpan w:val="4"/>
          </w:tcPr>
          <w:p>
            <w:pPr>
              <w:spacing w:after="0"/>
              <w:rPr>
                <w:sz w:val="18"/>
                <w:szCs w:val="18"/>
                <w:color w:val="auto"/>
              </w:rPr>
            </w:pPr>
          </w:p>
        </w:tc>
        <w:tc>
          <w:tcPr>
            <w:tcW w:w="964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8"/>
                <w:szCs w:val="18"/>
                <w:b w:val="1"/>
                <w:bCs w:val="1"/>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0000FF"/>
                <w:w w:val="89"/>
              </w:rPr>
              <w:t>77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14"/>
          </w:tcPr>
          <w:p>
            <w:pPr>
              <w:ind w:left="45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7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VICI PROPERTIES INC.</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CONSOLIDATED BALANCE SHEETS</w:t>
      </w:r>
    </w:p>
    <w:p>
      <w:pPr>
        <w:spacing w:after="0" w:line="13"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(UNAUDITED)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16,441,616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r>
      <w:tr>
        <w:trPr>
          <w:trHeight w:val="229"/>
        </w:trPr>
        <w:tc>
          <w:tcPr>
            <w:tcW w:w="7140" w:type="dxa"/>
            <w:vAlign w:val="bottom"/>
          </w:tcPr>
          <w:p>
            <w:pPr>
              <w:ind w:left="440"/>
              <w:spacing w:after="0"/>
              <w:rPr>
                <w:sz w:val="20"/>
                <w:szCs w:val="20"/>
                <w:color w:val="auto"/>
              </w:rPr>
            </w:pPr>
            <w:r>
              <w:rPr>
                <w:rFonts w:ascii="Arial" w:cs="Arial" w:eastAsia="Arial" w:hAnsi="Arial"/>
                <w:sz w:val="18"/>
                <w:szCs w:val="18"/>
                <w:color w:val="auto"/>
              </w:rPr>
              <w:t>Investment in unconsolidated affiliate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1,463,230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518,383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739,614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37,307,982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17,597,373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13,730,503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4,694,523</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113,530</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Dividends and distributions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380,174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226,309</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375,837</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15,245,685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5,410,199</w:t>
            </w:r>
          </w:p>
        </w:tc>
      </w:tr>
      <w:tr>
        <w:trPr>
          <w:trHeight w:val="196"/>
        </w:trPr>
        <w:tc>
          <w:tcPr>
            <w:tcW w:w="7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Common stock, $0.01 par value, 1,350,000,000 shares authorized and 963,093,424 and</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628,942,092 shares issued and outstanding at September 30, 2022 and December 31, 2021,</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176"/>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40" w:type="dxa"/>
            <w:vAlign w:val="bottom"/>
          </w:tcPr>
          <w:p>
            <w:pPr>
              <w:ind w:left="220"/>
              <w:spacing w:after="0"/>
              <w:rPr>
                <w:sz w:val="20"/>
                <w:szCs w:val="20"/>
                <w:color w:val="auto"/>
              </w:rPr>
            </w:pPr>
            <w:r>
              <w:rPr>
                <w:rFonts w:ascii="Arial" w:cs="Arial" w:eastAsia="Arial" w:hAnsi="Arial"/>
                <w:sz w:val="18"/>
                <w:szCs w:val="18"/>
                <w:color w:val="auto"/>
              </w:rPr>
              <w:t>September 30, 2022 and December 31, 2021</w:t>
            </w:r>
          </w:p>
        </w:tc>
        <w:tc>
          <w:tcPr>
            <w:tcW w:w="22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21,641,945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11,755,069</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191,314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(deficit) earnings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346,026</w:t>
            </w: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VICI stockholders’ equity</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21,709,579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12,108,268</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78,906</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22,062,297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12,187,174</w:t>
            </w: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37,307,982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17,597,373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5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Note: As of September 30, 2022 and December 31, 2021, our Investments in leases - sales-type, Investments in leases - financing receivables, Investments in loans and Other assets (sales-type sub-leases) are net of $687.4 million, $660.8 million, $6.0 million and $22.0 million, respectively, and $434.9 million, $91.1 million, $0.8 million and $6.5 million of Allowance for credit losses, respectively. Refer to </w:t>
      </w:r>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color w:val="auto"/>
        </w:rPr>
        <w:t xml:space="preserve"> for further details.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VICI PROPERTIES INC.</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6"/>
                <w:szCs w:val="16"/>
                <w:color w:val="auto"/>
              </w:rPr>
            </w:pPr>
          </w:p>
        </w:tc>
        <w:tc>
          <w:tcPr>
            <w:tcW w:w="264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8"/>
                <w:szCs w:val="18"/>
                <w:color w:val="auto"/>
              </w:rPr>
            </w:pPr>
          </w:p>
        </w:tc>
        <w:tc>
          <w:tcPr>
            <w:tcW w:w="2640" w:type="dxa"/>
            <w:vAlign w:val="bottom"/>
            <w:gridSpan w:val="4"/>
          </w:tcPr>
          <w:p>
            <w:pPr>
              <w:jc w:val="right"/>
              <w:ind w:right="87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3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376,048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292,059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1,077,952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873,337</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210,578</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20,897</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r>
      <w:tr>
        <w:trPr>
          <w:trHeight w:val="223"/>
        </w:trPr>
        <w:tc>
          <w:tcPr>
            <w:tcW w:w="53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1,126,414</w:t>
            </w:r>
          </w:p>
        </w:tc>
      </w:tr>
      <w:tr>
        <w:trPr>
          <w:trHeight w:val="237"/>
        </w:trPr>
        <w:tc>
          <w:tcPr>
            <w:tcW w:w="5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Golf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14,881</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47,426</w:t>
            </w:r>
          </w:p>
        </w:tc>
      </w:tr>
      <w:tr>
        <w:trPr>
          <w:trHeight w:val="237"/>
        </w:trPr>
        <w:tc>
          <w:tcPr>
            <w:tcW w:w="5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unconsolidated affiliate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(370,624)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(321,953)</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(15,622)</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741,488</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739,360</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732,372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2"/>
              </w:rPr>
              <w:t>Weighted average number of shares of common stock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962,573,646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555,153,692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848,839,357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542,843,855</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964,134,340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571,894,545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850,823,037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557,113,510</w:t>
            </w:r>
          </w:p>
        </w:tc>
      </w:t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336,878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164,184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521,425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739,360</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derivative (gain) loss to Interest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Unrealized gain on cash flow hedges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28,282</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831,881</w:t>
            </w:r>
          </w:p>
        </w:tc>
      </w:tr>
      <w:tr>
        <w:trPr>
          <w:trHeight w:val="223"/>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Comprehensive income attributable to non-controlling interest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824,893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VICI PROPERTIES INC.</w:t>
      </w:r>
    </w:p>
    <w:p>
      <w:pPr>
        <w:spacing w:after="0" w:line="4"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Accumulated Other</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7"/>
                <w:szCs w:val="17"/>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272,099</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(177,217)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(179,288)</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($0.3300 per common 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9,364,294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(80,143)</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232,038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9,521,559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9,599,692</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303,077</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(177,223)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(179,295)</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($0.3300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1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9,366,561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355,524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9,656,640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9,735,069</w:t>
            </w:r>
          </w:p>
        </w:tc>
        <w:tc>
          <w:tcPr>
            <w:tcW w:w="0" w:type="dxa"/>
            <w:vAlign w:val="bottom"/>
          </w:tcPr>
          <w:p>
            <w:pPr>
              <w:spacing w:after="0"/>
              <w:rPr>
                <w:sz w:val="1"/>
                <w:szCs w:val="1"/>
                <w:color w:val="auto"/>
              </w:rPr>
            </w:pPr>
          </w:p>
        </w:tc>
      </w:tr>
      <w:tr>
        <w:trPr>
          <w:trHeight w:val="206"/>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161,862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161,862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164,184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2,384,815</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(226,420)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(226,420)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(228,492)</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($0.3600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Reclassification of derivative loss to Interest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6,289</w:t>
            </w:r>
          </w:p>
        </w:tc>
        <w:tc>
          <w:tcPr>
            <w:tcW w:w="1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11,752,852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290,966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12,050,107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78,679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12,128,786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VICI PROPERTIES INC.</w:t>
      </w:r>
    </w:p>
    <w:p>
      <w:pPr>
        <w:spacing w:after="0" w:line="4" w:lineRule="exact"/>
        <w:rPr>
          <w:sz w:val="20"/>
          <w:szCs w:val="20"/>
          <w:color w:val="auto"/>
        </w:rPr>
      </w:pPr>
    </w:p>
    <w:p>
      <w:pPr>
        <w:ind w:left="2140"/>
        <w:spacing w:after="0"/>
        <w:rPr>
          <w:sz w:val="20"/>
          <w:szCs w:val="20"/>
          <w:color w:val="auto"/>
        </w:rPr>
      </w:pPr>
      <w:r>
        <w:rPr>
          <w:rFonts w:ascii="Arial" w:cs="Arial" w:eastAsia="Arial" w:hAnsi="Arial"/>
          <w:sz w:val="20"/>
          <w:szCs w:val="20"/>
          <w:b w:val="1"/>
          <w:bCs w:val="1"/>
          <w:color w:val="auto"/>
        </w:rPr>
        <w:t>CONSOLIDATED STATEMENTS OF STOCKHOLDERS’ EQUITY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04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7"/>
                <w:szCs w:val="17"/>
                <w:color w:val="auto"/>
              </w:rPr>
            </w:pPr>
          </w:p>
        </w:tc>
        <w:tc>
          <w:tcPr>
            <w:tcW w:w="104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11,755,069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12,108,268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12,187,174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242,688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3,218,097</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(270,600)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(270,600)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(272,703)</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($0.3600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108,611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14,971,890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15,404,678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15,483,786</w:t>
            </w:r>
          </w:p>
        </w:tc>
        <w:tc>
          <w:tcPr>
            <w:tcW w:w="0" w:type="dxa"/>
            <w:vAlign w:val="bottom"/>
          </w:tcPr>
          <w:p>
            <w:pPr>
              <w:spacing w:after="0"/>
              <w:rPr>
                <w:sz w:val="1"/>
                <w:szCs w:val="1"/>
                <w:color w:val="auto"/>
              </w:rPr>
            </w:pPr>
          </w:p>
        </w:tc>
      </w:tr>
      <w:tr>
        <w:trPr>
          <w:trHeight w:val="207"/>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(57,706)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(58,141)</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6,572,231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Issuance of VICI OP Units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374,769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166"/>
        </w:trPr>
        <w:tc>
          <w:tcPr>
            <w:tcW w:w="2960" w:type="dxa"/>
            <w:vAlign w:val="bottom"/>
          </w:tcPr>
          <w:p>
            <w:pPr>
              <w:ind w:left="20"/>
              <w:spacing w:after="0" w:line="166"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(346,713)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(346,713)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(353,178)</w:t>
            </w:r>
          </w:p>
        </w:tc>
        <w:tc>
          <w:tcPr>
            <w:tcW w:w="0" w:type="dxa"/>
            <w:vAlign w:val="bottom"/>
          </w:tcPr>
          <w:p>
            <w:pPr>
              <w:spacing w:after="0"/>
              <w:rPr>
                <w:sz w:val="1"/>
                <w:szCs w:val="1"/>
                <w:color w:val="auto"/>
              </w:rPr>
            </w:pPr>
          </w:p>
        </w:tc>
      </w:tr>
      <w:tr>
        <w:trPr>
          <w:trHeight w:val="209"/>
        </w:trPr>
        <w:tc>
          <w:tcPr>
            <w:tcW w:w="2960" w:type="dxa"/>
            <w:vAlign w:val="bottom"/>
          </w:tcPr>
          <w:p>
            <w:pPr>
              <w:ind w:left="20"/>
              <w:spacing w:after="0"/>
              <w:rPr>
                <w:sz w:val="20"/>
                <w:szCs w:val="20"/>
                <w:color w:val="auto"/>
              </w:rPr>
            </w:pPr>
            <w:r>
              <w:rPr>
                <w:rFonts w:ascii="Arial" w:cs="Arial" w:eastAsia="Arial" w:hAnsi="Arial"/>
                <w:sz w:val="16"/>
                <w:szCs w:val="16"/>
                <w:color w:val="auto"/>
              </w:rPr>
              <w:t>($0.3600 per common share)</w:t>
            </w: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Reclassification of derivative gain to Interest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21,644,198</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197,275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(88,610)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21,762,494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352,393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22,114,887</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336,878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Reallocation of equity</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Dividends and distributions declared</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(375,606)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(375,606)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(382,520)</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($0.3900 per common share)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Reclassification of derivative gain to Interest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21,641,945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191,314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(133,311)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21,709,579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352,718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22,062,297</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5"/>
          </w:tcPr>
          <w:p>
            <w:pPr>
              <w:ind w:left="36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0" w:type="dxa"/>
            <w:vAlign w:val="bottom"/>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521,425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739,360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(230,522)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(89,714)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Non-cash transaction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28,099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50,723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Income from unconsolidated affiliate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from unconsolidated affiliate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Net proceeds from settlement of derivatives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44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50,676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(94,542)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1,455,477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610,924</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paid in connection with MGP Transactions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(4,574,536)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(4,012,845)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(87,166)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(19,161)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30,448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Investments in short-term investments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(207,722)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Proceeds from sale of real estate</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60" w:type="dxa"/>
            <w:vAlign w:val="bottom"/>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(8,889,098)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19,856</w:t>
            </w:r>
          </w:p>
        </w:tc>
        <w:tc>
          <w:tcPr>
            <w:tcW w:w="20" w:type="dxa"/>
            <w:vAlign w:val="bottom"/>
          </w:tcPr>
          <w:p>
            <w:pPr>
              <w:spacing w:after="0"/>
              <w:rPr>
                <w:sz w:val="19"/>
                <w:szCs w:val="19"/>
                <w:color w:val="auto"/>
              </w:rPr>
            </w:pPr>
          </w:p>
        </w:tc>
      </w:tr>
      <w:tr>
        <w:trPr>
          <w:trHeight w:val="777"/>
        </w:trPr>
        <w:tc>
          <w:tcPr>
            <w:tcW w:w="7100" w:type="dxa"/>
            <w:vAlign w:val="bottom"/>
            <w:gridSpan w:val="2"/>
          </w:tcPr>
          <w:p>
            <w:pPr>
              <w:jc w:val="right"/>
              <w:ind w:right="135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 net</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3,219,101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2,386,129</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April 2022 Notes offering</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Term Loan B Facility</w:t>
            </w:r>
          </w:p>
        </w:tc>
        <w:tc>
          <w:tcPr>
            <w:tcW w:w="6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interests</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(843,706)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(532,360)</w:t>
            </w:r>
          </w:p>
        </w:tc>
      </w:tr>
      <w:tr>
        <w:trPr>
          <w:trHeight w:val="223"/>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7,212,390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(277,259)</w:t>
            </w:r>
          </w:p>
        </w:tc>
      </w:tr>
      <w:tr>
        <w:trPr>
          <w:trHeight w:val="250"/>
        </w:trPr>
        <w:tc>
          <w:tcPr>
            <w:tcW w:w="7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353,521</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518,383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290,119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272,574</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and distributions declared, not paid</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226,420</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50,716</w:t>
            </w: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Equity issuance costs payable</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w:t>
            </w: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541,676</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09"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VICI PROPERTIES L.P.</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Arial" w:cs="Arial" w:eastAsia="Arial" w:hAnsi="Arial"/>
                <w:sz w:val="16"/>
                <w:szCs w:val="16"/>
                <w:b w:val="1"/>
                <w:bCs w:val="1"/>
                <w:color w:val="auto"/>
                <w:w w:val="98"/>
              </w:rPr>
              <w:t>December 31, 2021</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r>
      <w:tr>
        <w:trPr>
          <w:trHeight w:val="230"/>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16,441,616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2,644,824</w:t>
            </w: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r>
      <w:tr>
        <w:trPr>
          <w:trHeight w:val="230"/>
        </w:trPr>
        <w:tc>
          <w:tcPr>
            <w:tcW w:w="7140" w:type="dxa"/>
            <w:vAlign w:val="bottom"/>
          </w:tcPr>
          <w:p>
            <w:pPr>
              <w:ind w:left="440"/>
              <w:spacing w:after="0"/>
              <w:rPr>
                <w:sz w:val="20"/>
                <w:szCs w:val="20"/>
                <w:color w:val="auto"/>
              </w:rPr>
            </w:pPr>
            <w:r>
              <w:rPr>
                <w:rFonts w:ascii="Arial" w:cs="Arial" w:eastAsia="Arial" w:hAnsi="Arial"/>
                <w:sz w:val="18"/>
                <w:szCs w:val="18"/>
                <w:color w:val="auto"/>
              </w:rPr>
              <w:t>Investment in unconsolidated affiliate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1,463,230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153,576</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455,343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705,566</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344,014</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37,166,243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17,482,646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13,730,503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4,694,523</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110,056</w:t>
            </w: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Distributions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380,377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226,309</w:t>
            </w: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361,270</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15,227,216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5,392,158</w:t>
            </w:r>
          </w:p>
        </w:tc>
      </w:tr>
      <w:tr>
        <w:trPr>
          <w:trHeight w:val="250"/>
        </w:trPr>
        <w:tc>
          <w:tcPr>
            <w:tcW w:w="7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70"/>
        </w:trPr>
        <w:tc>
          <w:tcPr>
            <w:tcW w:w="7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Partners’ Capital</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Partners’ capital, 975,324,797 and 628,942,092 operating partnership units issued and</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21,669,219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12,010,698</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VICI LP’s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12,011,582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78,906</w:t>
            </w: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capital attributable to partners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21,939,027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12,090,488</w:t>
            </w:r>
          </w:p>
        </w:tc>
      </w:tr>
      <w:tr>
        <w:trPr>
          <w:trHeight w:val="223"/>
        </w:trPr>
        <w:tc>
          <w:tcPr>
            <w:tcW w:w="7140" w:type="dxa"/>
            <w:vAlign w:val="bottom"/>
          </w:tcPr>
          <w:p>
            <w:pPr>
              <w:ind w:left="72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37,166,243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17,482,646</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i w:val="1"/>
          <w:iCs w:val="1"/>
          <w:color w:val="auto"/>
        </w:rPr>
        <w:t xml:space="preserve">Note: As of September 30, 2022 and December 31, 2021, our Investments in leases - sales-type, Investments in leases - financing receivables, Investments in loans and Other assets (sales-type sub-leases) are net of $687.4 million, $660.8 million, $6.0 million and $22.0 million, respectively, and $434.9 million, $91.1 million, $0.8 million and $6.5 million of Allowance for credit losses, respectively. Refer to </w:t>
      </w:r>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color w:val="auto"/>
        </w:rPr>
        <w:t xml:space="preserve"> for further details.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VICI PROPERTIES L.P.</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Income from sales-type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376,048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292,059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1,077,952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873,337</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210,578</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1,104,812</w:t>
            </w:r>
          </w:p>
        </w:tc>
      </w:tr>
      <w:tr>
        <w:trPr>
          <w:trHeight w:val="237"/>
        </w:trPr>
        <w:tc>
          <w:tcPr>
            <w:tcW w:w="5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24,092</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20,897</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allowance for credit losses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r>
      <w:tr>
        <w:trPr>
          <w:trHeight w:val="229"/>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r>
      <w:tr>
        <w:trPr>
          <w:trHeight w:val="223"/>
        </w:trPr>
        <w:tc>
          <w:tcPr>
            <w:tcW w:w="5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30,317</w:t>
            </w:r>
          </w:p>
        </w:tc>
      </w:tr>
      <w:tr>
        <w:trPr>
          <w:trHeight w:val="237"/>
        </w:trPr>
        <w:tc>
          <w:tcPr>
            <w:tcW w:w="5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unconsolidated affiliate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(370,624)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(321,953)</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736,981</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735,853</w:t>
            </w:r>
          </w:p>
        </w:tc>
      </w:tr>
      <w:tr>
        <w:trPr>
          <w:trHeight w:val="230"/>
        </w:trPr>
        <w:tc>
          <w:tcPr>
            <w:tcW w:w="5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728,865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Net income per Partnership unit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Weighted average number of Partnership units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974,805,019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555,153,692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855,783,910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542,843,855</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976,365,713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571,894,545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857,767,590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557,113,510</w:t>
            </w: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partners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334,271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161,383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509,584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728,865</w:t>
            </w: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derivative (gain) loss to Interest expense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Unrealized gain on cash flow hedges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200,550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28,282</w:t>
            </w:r>
          </w:p>
        </w:tc>
      </w:tr>
      <w:tr>
        <w:trPr>
          <w:trHeight w:val="248"/>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partners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821,386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VICI PROPERTIES L.P.</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CONSOLIDATED STATEMENTS OF PARTNERS’ CAPITAL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 Interest</w:t>
            </w:r>
          </w:p>
        </w:tc>
        <w:tc>
          <w:tcPr>
            <w:tcW w:w="460" w:type="dxa"/>
            <w:vAlign w:val="bottom"/>
          </w:tcPr>
          <w:p>
            <w:pPr>
              <w:spacing w:after="0"/>
              <w:rPr>
                <w:sz w:val="14"/>
                <w:szCs w:val="14"/>
                <w:color w:val="auto"/>
              </w:rPr>
            </w:pPr>
          </w:p>
        </w:tc>
        <w:tc>
          <w:tcPr>
            <w:tcW w:w="148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 (Loss) Income</w:t>
            </w:r>
          </w:p>
        </w:tc>
        <w:tc>
          <w:tcPr>
            <w:tcW w:w="1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9,417,794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77,906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9,403,179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268,593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270,891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(189,915)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(189,915)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9,511,897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(80,143)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78,133</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9,509,887</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301,257</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3,152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9,328</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9,635,560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78,429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9,643,174</w:t>
            </w:r>
          </w:p>
        </w:tc>
        <w:tc>
          <w:tcPr>
            <w:tcW w:w="0" w:type="dxa"/>
            <w:vAlign w:val="bottom"/>
          </w:tcPr>
          <w:p>
            <w:pPr>
              <w:spacing w:after="0"/>
              <w:rPr>
                <w:sz w:val="1"/>
                <w:szCs w:val="1"/>
                <w:color w:val="auto"/>
              </w:rPr>
            </w:pPr>
          </w:p>
        </w:tc>
      </w:tr>
      <w:tr>
        <w:trPr>
          <w:trHeight w:val="206"/>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161,383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163,705</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2,386,874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2,386,874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(228,937)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(228,937)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99"/>
              </w:rPr>
              <w:t>Reclassification of derivative loss to Interest</w:t>
            </w: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64,239</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11,957,246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78,679</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12,035,925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VICI PROPERTIES L.P.</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CONSOLIDATED STATEMENTS OF PARTNERS’ CAPITAL</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 Interest</w:t>
            </w:r>
          </w:p>
        </w:tc>
        <w:tc>
          <w:tcPr>
            <w:tcW w:w="460" w:type="dxa"/>
            <w:vAlign w:val="bottom"/>
          </w:tcPr>
          <w:p>
            <w:pPr>
              <w:spacing w:after="0"/>
              <w:rPr>
                <w:sz w:val="14"/>
                <w:szCs w:val="14"/>
                <w:color w:val="auto"/>
              </w:rPr>
            </w:pPr>
          </w:p>
        </w:tc>
        <w:tc>
          <w:tcPr>
            <w:tcW w:w="148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 (Loss) Income</w:t>
            </w:r>
          </w:p>
        </w:tc>
        <w:tc>
          <w:tcPr>
            <w:tcW w:w="1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12,010,698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78,906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12,090,488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238,348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240,653</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3,229,165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(281,990)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(281,990)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2,602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108,611</w:t>
            </w:r>
          </w:p>
        </w:tc>
        <w:tc>
          <w:tcPr>
            <w:tcW w:w="0" w:type="dxa"/>
            <w:vAlign w:val="bottom"/>
          </w:tcPr>
          <w:p>
            <w:pPr>
              <w:spacing w:after="0"/>
              <w:rPr>
                <w:sz w:val="1"/>
                <w:szCs w:val="1"/>
                <w:color w:val="auto"/>
              </w:rPr>
            </w:pPr>
          </w:p>
        </w:tc>
      </w:tr>
      <w:tr>
        <w:trPr>
          <w:trHeight w:val="206"/>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15,198,823</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109,495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79,108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15,387,426</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6,949,119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6,949,119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(375,626)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(2,062)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Unrealized gain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91,939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91,939</w:t>
            </w:r>
          </w:p>
        </w:tc>
        <w:tc>
          <w:tcPr>
            <w:tcW w:w="0" w:type="dxa"/>
            <w:vAlign w:val="bottom"/>
          </w:tcPr>
          <w:p>
            <w:pPr>
              <w:spacing w:after="0"/>
              <w:rPr>
                <w:sz w:val="1"/>
                <w:szCs w:val="1"/>
                <w:color w:val="auto"/>
              </w:rPr>
            </w:pPr>
          </w:p>
        </w:tc>
      </w:tr>
      <w:tr>
        <w:trPr>
          <w:trHeight w:val="169"/>
        </w:trPr>
        <w:tc>
          <w:tcPr>
            <w:tcW w:w="31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Reclassification of derivative gain to Interest</w:t>
            </w:r>
          </w:p>
        </w:tc>
        <w:tc>
          <w:tcPr>
            <w:tcW w:w="2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21,712,517</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197,275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78,933</w:t>
            </w:r>
          </w:p>
        </w:tc>
        <w:tc>
          <w:tcPr>
            <w:tcW w:w="1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21,988,725</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334,271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336,052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(381,204)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166"/>
        </w:trPr>
        <w:tc>
          <w:tcPr>
            <w:tcW w:w="3140" w:type="dxa"/>
            <w:vAlign w:val="bottom"/>
          </w:tcPr>
          <w:p>
            <w:pPr>
              <w:ind w:left="20"/>
              <w:spacing w:after="0" w:line="166" w:lineRule="exact"/>
              <w:rPr>
                <w:sz w:val="20"/>
                <w:szCs w:val="20"/>
                <w:color w:val="auto"/>
              </w:rPr>
            </w:pPr>
            <w:r>
              <w:rPr>
                <w:rFonts w:ascii="Arial" w:cs="Arial" w:eastAsia="Arial" w:hAnsi="Arial"/>
                <w:sz w:val="16"/>
                <w:szCs w:val="16"/>
                <w:color w:val="auto"/>
                <w:w w:val="99"/>
              </w:rPr>
              <w:t>Reclassification of derivative gain to Interest</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(6,037)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21,669,219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21,939,027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60" w:type="dxa"/>
            <w:vAlign w:val="bottom"/>
            <w:gridSpan w:val="5"/>
          </w:tcPr>
          <w:p>
            <w:pPr>
              <w:ind w:left="36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0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515,557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735,853</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(230,522)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(89,714)</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140" w:type="dxa"/>
            <w:vAlign w:val="bottom"/>
          </w:tcPr>
          <w:p>
            <w:pPr>
              <w:spacing w:after="0"/>
              <w:rPr>
                <w:sz w:val="19"/>
                <w:szCs w:val="19"/>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debt issuance costs and original issue discount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40" w:type="dxa"/>
            <w:vAlign w:val="bottom"/>
          </w:tcPr>
          <w:p>
            <w:pPr>
              <w:spacing w:after="0"/>
              <w:rPr>
                <w:sz w:val="19"/>
                <w:szCs w:val="19"/>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Change in allowance for credit losses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(24,453)</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from unconsolidated affiliate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Distributions from unconsolidated affiliate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proceeds from settlement of derivatives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tcPr>
          <w:p>
            <w:pPr>
              <w:ind w:left="46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15,622</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00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3,936</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(94,172)</w:t>
            </w:r>
          </w:p>
        </w:tc>
        <w:tc>
          <w:tcPr>
            <w:tcW w:w="140" w:type="dxa"/>
            <w:vAlign w:val="bottom"/>
          </w:tcPr>
          <w:p>
            <w:pPr>
              <w:spacing w:after="0"/>
              <w:rPr>
                <w:sz w:val="19"/>
                <w:szCs w:val="19"/>
                <w:color w:val="auto"/>
              </w:rPr>
            </w:pPr>
          </w:p>
        </w:tc>
      </w:tr>
      <w:tr>
        <w:trPr>
          <w:trHeight w:val="229"/>
        </w:trPr>
        <w:tc>
          <w:tcPr>
            <w:tcW w:w="7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r>
      <w:tr>
        <w:trPr>
          <w:trHeight w:val="223"/>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605,167</w:t>
            </w:r>
          </w:p>
        </w:tc>
        <w:tc>
          <w:tcPr>
            <w:tcW w:w="140" w:type="dxa"/>
            <w:vAlign w:val="bottom"/>
          </w:tcPr>
          <w:p>
            <w:pPr>
              <w:spacing w:after="0"/>
              <w:rPr>
                <w:sz w:val="19"/>
                <w:szCs w:val="19"/>
                <w:color w:val="auto"/>
              </w:rPr>
            </w:pPr>
          </w:p>
        </w:tc>
      </w:tr>
      <w:tr>
        <w:trPr>
          <w:trHeight w:val="182"/>
        </w:trPr>
        <w:tc>
          <w:tcPr>
            <w:tcW w:w="7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Net cash paid in connection with MGP Transactions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(4,574,536)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sales-type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(4,012,845)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(19,161)</w:t>
            </w: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1,651</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loans and receipts of deferred fees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30,448</w:t>
            </w:r>
          </w:p>
        </w:tc>
        <w:tc>
          <w:tcPr>
            <w:tcW w:w="140" w:type="dxa"/>
            <w:vAlign w:val="bottom"/>
          </w:tcPr>
          <w:p>
            <w:pPr>
              <w:spacing w:after="0"/>
              <w:rPr>
                <w:sz w:val="19"/>
                <w:szCs w:val="19"/>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(9,215)</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short-term investments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real estate</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19"/>
                <w:szCs w:val="19"/>
                <w:color w:val="auto"/>
              </w:rPr>
            </w:pPr>
          </w:p>
        </w:tc>
      </w:tr>
      <w:tr>
        <w:trPr>
          <w:trHeight w:val="229"/>
        </w:trPr>
        <w:tc>
          <w:tcPr>
            <w:tcW w:w="7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r>
      <w:tr>
        <w:trPr>
          <w:trHeight w:val="223"/>
        </w:trPr>
        <w:tc>
          <w:tcPr>
            <w:tcW w:w="7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provided by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(8,888,005)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140" w:type="dxa"/>
            <w:vAlign w:val="bottom"/>
          </w:tcPr>
          <w:p>
            <w:pPr>
              <w:spacing w:after="0"/>
              <w:rPr>
                <w:sz w:val="19"/>
                <w:szCs w:val="19"/>
                <w:color w:val="auto"/>
              </w:rPr>
            </w:pPr>
          </w:p>
        </w:tc>
      </w:tr>
      <w:tr>
        <w:trPr>
          <w:trHeight w:val="183"/>
        </w:trPr>
        <w:tc>
          <w:tcPr>
            <w:tcW w:w="7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Contributions from Parent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3,219,202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2,386,911</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Parent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(532,000)</w:t>
            </w: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Proceeds from April 2022 Notes offering</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Repayment of Term Loan B Facility</w:t>
            </w:r>
          </w:p>
        </w:tc>
        <w:tc>
          <w:tcPr>
            <w:tcW w:w="4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(2,100,000)</w:t>
            </w:r>
          </w:p>
        </w:tc>
        <w:tc>
          <w:tcPr>
            <w:tcW w:w="14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(23,166)</w:t>
            </w:r>
          </w:p>
        </w:tc>
        <w:tc>
          <w:tcPr>
            <w:tcW w:w="14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9"/>
                <w:szCs w:val="19"/>
                <w:color w:val="auto"/>
              </w:rPr>
            </w:pPr>
          </w:p>
        </w:tc>
      </w:tr>
      <w:tr>
        <w:trPr>
          <w:trHeight w:val="223"/>
        </w:trPr>
        <w:tc>
          <w:tcPr>
            <w:tcW w:w="700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7,201,815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(274,470)</w:t>
            </w:r>
          </w:p>
        </w:tc>
        <w:tc>
          <w:tcPr>
            <w:tcW w:w="140" w:type="dxa"/>
            <w:vAlign w:val="bottom"/>
          </w:tcPr>
          <w:p>
            <w:pPr>
              <w:spacing w:after="0"/>
              <w:rPr>
                <w:sz w:val="19"/>
                <w:szCs w:val="19"/>
                <w:color w:val="auto"/>
              </w:rPr>
            </w:pPr>
          </w:p>
        </w:tc>
      </w:tr>
      <w:tr>
        <w:trPr>
          <w:trHeight w:val="776"/>
        </w:trPr>
        <w:tc>
          <w:tcPr>
            <w:tcW w:w="7000" w:type="dxa"/>
            <w:vAlign w:val="bottom"/>
          </w:tcPr>
          <w:p>
            <w:pPr>
              <w:ind w:left="554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7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VICI PROPERTIES L.P.</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(UNAUDITED)</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(250,223)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352,191</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705,566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286,245</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455,343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638,436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290,119</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272,574</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payable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226,420</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50,716</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w:t>
            </w:r>
          </w:p>
        </w:tc>
      </w:tr>
      <w:tr>
        <w:trPr>
          <w:trHeight w:val="229"/>
        </w:trPr>
        <w:tc>
          <w:tcPr>
            <w:tcW w:w="700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120,709</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15,292</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the “Company,” “VICI,” “we,” “our,” and “us” refer to VICI Properties Inc. and its subsidiaries, including VICI LP, on a consolidated basis, unless otherwise stated or the context requires otherwise.</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“Apollo” refers to Apollo Global Management, Inc., a Delaware corporation, and, as the context requires, certain of its subsidiaries and affiliates.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“BREIT JV” refers to the joint venture between MGP and Blackstone Real Estate Income Trust, Inc. in which the Company holds a 50.1% ownership stake following the MGP Transactions.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“BREIT JV Lease” refers to the lease agreement for MGM Grand Las Vegas and Mandalay Bay.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Inc., a Delaware corporation and, as the context requires, its subsidiaries.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Las Vegas Master Lease” refers to the lease agreement for Caesars Palace Las Vegas and the Harrah’s Las Vegas facilities,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Leases” refer collectively to the Caesars Las Vegas Master Lease, the Caesars Regional Master Lease and the Joliet Lease, in each case, unless the context otherwise requires.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Regional Master Lease” refers to the lease agreement for the regional properties (other than the facility in Joliet, Illinois) leased to Caesars,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“Chelsea Piers Mortgage Loan” refers to an $80.0 million mortgage loan agreement entered into on August 31, 2020 with Chelsea Piers New York with a term of seven years and secured by the Chelsea Piers complex in New York City.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“Co-Issuer” refers to VICI Note Co. Inc., a Delaware corporation, and co-issuer of the November 2019 Notes, February 2020 Notes and Exchange Notes.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“Credit Agreement” refers to the Credit Agreement, dated as of February 8, 2022, by and among VICI LP, the lenders from time to time party thereto, and JPMorgan Chase Bank, N.A., as administrative agent,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refers collectively to the Delayed Draw Term Loan and the Revolving Credit Facility.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“Delayed Draw Term Loan” refers to the three-year unsecured delayed draw term loan facility of VICI LP provided under the Credit Agreement entered into in February 2022,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“Exchange Notes” refer collectively to (i) the $1,024.2 million aggregate principal amount of 5.625% senior unsecured notes due 2024, (ii) the $799.4 million aggregate principal amount of 4.625% senior unsecured notes due 2025, (iii) the $480.5 million aggregate principal amount of 4.500% senior unsecured notes due 2026, (iv) the $729.5 million aggregate principal amount of 5.750% senior unsecured notes due 2027, (v) the $349.3 million aggregate principal amount of 4.500% senior unsecured notes due 2028, and (vi) the $727.1 million aggregate principal amount of 3.875% senior unsecured notes due 2029, in each case issued by VICI LP and Co-Issuer, in April 2022 pursuant to the Exchange Offers and Consent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Solicitations (as defined herein).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Co-Issuer in February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“Forum Convention Center Mortgage Loan” refers to a $400.0 million mortgage loan agreement entered into on September 18, 2020 with a subsidiary of Caesars with a term of five years and secured by, among other things, the Caesars Forum Convention Center in Las Vegas.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“Greektown Lease” refers to the lease agreement for the Greektown Casino-Hotel, located in Detroit, Michigan, as amended from time to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“Hard Rock Cincinnati Lease” refers to the lease agreement for the Hard Rock Cincinnati Casino, located in Cincinnati, Ohio,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“JACK Cleveland/Thistledown Lease” refers to the lease agreement for the JACK Cleveland Casino located in Cleveland, Ohio, and the JACK Thistledown Racino facility located in North Randall, Ohio, as amended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refers to the lease agreement for the facility in Joliet, Illinois, as amended from time to time.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BREIT JV Lease, the Caesars Leases, the Century Master Lease, the Southern Indiana Lease, the Hard Rock Cincinnati Lease, the JACK Cleveland/Thistledown Lease, the MGM Master Lease, the PENN Entertainment Leases, and the Venetian Lease, unless the context otherwise requires.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“Margaritaville Lease” refers to the lease agreement for Margaritaville Resort Casino, located in Bossier City, Louisiana, as amended from time to time.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“Mergers” refer to a series of transactions governed by the MGP Master Transaction Agreement that occurred on April 29, 2022, consisting of (i) the contribution of our interest in VICI LP to VICI OP, which subsequent to the MGP Transactions serves as our new operating partnership, followed by (ii) the merger of MGP with and into Venus Sub LLC, a Delaware limited liability company and wholly owned subsidiary of VICI LP (“REIT Merger Sub”), with REIT Merger Sub surviving the merger, followed by (iii) the distribution by REIT Merger Sub of the interests of the general partner of MGP OP to VICI LP and (iv) the merger of REIT Merger Sub with and into MGP OP, with MGP OP surviving such merger.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Master Lease” refers to the lease agreement for the wholly-owned properties leased to MGM.</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“MGM Tax Protection Agreement” refers to the tax protection agreement entered into with MGM upon consummation of the MGP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“MGP Master Transaction Agreement” refers to that certain Master Transaction Agreement between the Company, MGP, MGP OP, VICI LP, REIT Merger Sub, VICI OP, and MGM entered into on August 4, 2021.</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“MGP OP Notes” refer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and U.S. Bank National Association, as trustee (the “MGP Trustee”).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“MGP Transactions” refer collectively to a series of transactions pursuant to the MGP Master Transaction Agreement between us, MGP and MGM and the other parties thereto in connection with our acquisition of MGP on April 29, 2022, as contemplated by the MGP Master Transaction Agreement, including the MGM Tax Protection Agreement and the MGM Master Lease.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“November 2019 Notes” refer collectively to (i) the $1.25 billion aggregate principal amount of 4.250% senior unsecured notes due 2026, and (ii) the $1.0 billion aggregate principal amount of 4.625% senior unsecured notes due 2029, in each case issued by VICI LP and VICI Note Co. Inc., as Co-Issuer, in November 2019.</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Entertainment” refers to PENN Entertainment Gaming, Inc., a Pennsylvania corporation, and, as the context requires, its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Entertainment Leases” refer collectively to the Margaritaville Lease and the Greektown Lease, unless the context otherwise requires.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“Revolving Credit Facility” refers to the four-year unsecured revolving credit facility of VICI LP provided under the Credit Agreement entered into in February 2022, as amended from time to time.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refers to Seminole Hard Rock Entertainment, Inc.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“Senior Unsecured Notes” refer collectively to the November 2019 Notes, the February 2020 Notes, the April 2022 Notes and the Exchange Notes and the MGP OP Notes.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“Southern Indiana Lease” refers to the lease agreement with EBCI for the Caesars Southern Indiana Casino and Hotel, located in Elizabeth, Indiana (“Caesars Southern Indiana”), as amended from time to time.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refers to our acquisition of the Venetian Resort, with Apollo, which closed on February 23, 2022.</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“Venetian Lease” refers to the lease agreement for the Venetian Resort Las Vegas and Venetian Expo, located in Las Vegas, Nevada (the “Venetian Resort”).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Tenant” refers to an affiliate of certain funds managed by affiliates of Apollo.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of our golf segment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LP” refers to VICI Properties L.P., a Delaware limited partnership and an indirect wholly owned subsidiary of VICI.</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“VICI OP” refers to VICI Properties OP LLC, a Delaware limited liability company and a consolidated subsidiary of VICI, which serves as our operating partnership.</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OP Units” refer to limited liability company interests in VICI 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primarily engaged in the business of owning and acquiring gaming, hospitality and entertainment destinations, subject to long-term triple-net leases. As of September 30, 2022, our national, geographically diverse real estate portfolio consisted of 43 market-leading properties, including Caesars Palace Las Vegas, MGM Grand and the Venetian Resort. Our properties are leased to, and our tenants are, subsidiaries of, or entities managed by, Apollo, Caesars, Century Casinos, EBCI, JACK Entertainment, MGM, PENN Entertainment and Seminole Hard Rock, with Caesars and MGM being our largest tenants. VICI also owns four championship golf courses located near certain of our properties.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wholly-owned taxable REIT subsidiary (“TRS”) of VICI. As a REIT, we generally will not be subject to U.S. federal income taxes on our taxable income to the extent that we annually distribute all of our net taxable income to stockholders and maintain our qualification as a REIT.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17"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We believe the disclosures made are adequate to prevent the information presented from being misleading. However, the accompanying unaudited Financial Statements and related notes should be read in conjunction with VICI’s audited financial statements and notes thereto included in VICI’s most </w:t>
      </w:r>
      <w:hyperlink r:id="rId31">
        <w:r>
          <w:rPr>
            <w:rFonts w:ascii="Arial" w:cs="Arial" w:eastAsia="Arial" w:hAnsi="Arial"/>
            <w:sz w:val="18"/>
            <w:szCs w:val="18"/>
            <w:color w:val="auto"/>
          </w:rPr>
          <w:t xml:space="preserve">recent </w:t>
        </w:r>
        <w:r>
          <w:rPr>
            <w:rFonts w:ascii="Arial" w:cs="Arial" w:eastAsia="Arial" w:hAnsi="Arial"/>
            <w:sz w:val="18"/>
            <w:szCs w:val="18"/>
            <w:u w:val="single" w:color="auto"/>
            <w:color w:val="0000FF"/>
          </w:rPr>
          <w:t>Annual Report on Form 10-K</w:t>
        </w:r>
        <w:r>
          <w:rPr>
            <w:rFonts w:ascii="Arial" w:cs="Arial" w:eastAsia="Arial" w:hAnsi="Arial"/>
            <w:sz w:val="18"/>
            <w:szCs w:val="18"/>
            <w:color w:val="auto"/>
          </w:rPr>
          <w:t xml:space="preserve"> and VICI LP’s audited financial statements and notes thereto included as an </w:t>
        </w:r>
        <w:r>
          <w:rPr>
            <w:rFonts w:ascii="Arial" w:cs="Arial" w:eastAsia="Arial" w:hAnsi="Arial"/>
            <w:sz w:val="18"/>
            <w:szCs w:val="18"/>
            <w:u w:val="single" w:color="auto"/>
            <w:color w:val="0000FF"/>
          </w:rPr>
          <w:t>exhibit to the Current Report on Form 8-K</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filed on April 18, 2022</w:t>
        </w:r>
        <w:r>
          <w:rPr>
            <w:rFonts w:ascii="Arial" w:cs="Arial" w:eastAsia="Arial" w:hAnsi="Arial"/>
            <w:sz w:val="18"/>
            <w:szCs w:val="18"/>
            <w:color w:val="000000"/>
          </w:rPr>
          <w:t>, as updated from time to time in our other filings with the SEC.</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All adjustments (consisting of normal recurring accruals) considered necessary for a fair statement of results for the interim period have been included.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September 30, 2022 are not necessarily indicative of the results that may be expected for the year ending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non-controlling interests and classify such interests as a component of consolidated stockholders’ equity or partners’ capital, separate from VICI stockholders’ equity and VICI LP partners’ capital. As of September 30, 2022, VICI’s non-controlling interests represent an approximate 1.3% third-party ownership of VICI OP in the form of VICI OP Units and a 20% third-party ownership of Harrah’s Joliet LandCo LLC, the entity that owns the Harrah’s Joliet facility and is the lessor under the related Joliet Lease. As VICI OP is a parent entity of VICI LP, VICI LP’s only non-controlling interest is that of third-party ownership of Harrah’s Joliet LandCo LLC.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carried at cost, which approximates fair value. As of September 30, 2022 and December 31, 2021, we did not have any restricted cash.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determined that the land and building components of all of the Caesars Leases (excluding the Harrah’s New Orleans, Harrah’s Laughlin and Harrah’s Atlantic City real estate asset components (the “Harrah’s Call Properties”) of the Caesars Regional Master Lease), Century Master Lease, Hard Rock Cincinnati Lease, PENN Entertainment Leases, Southern Indiana Lease, and Venetian Lease meet the definition of a sales-type lease under ASC 842.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determined that the land and building components of the MGM Master Lease, JACK Cleveland/Thistledown Lease and the Harrah’s Call Properties asset components of the Caesars Regional Master Lease meet the definition of a sales-type lease and, since we purchased and leased the assets back to the sellers under sale leaseback transactions, control is not considered to have transferred to us under GAAP. Accordingly, the MGM Master Lease, JACK Cleveland/Thistledown Lease and the Harrah’s Call Properties component of the Caesars Regional Master Lease are accounted for as Investments in leases - financing receivables on our Balance Sheet, net of allowance for credit losses, in accordance with ASC 310.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investment in unconsolidated affiliate using the equity method of accounting as we have the ability to exercise significant influence, but not control, over operating and financing policies of the investment. Our equity method investment represents our 50.1% ownership interest in the BREIT JV, which was acquired in the MGP Transactions and, as a result, was recorded at relative fair value. The difference in basis between our share of the carrying value of the BREIT JV and the relative fair value upon acquisition is amortized into Income from unconsolidated affiliate over the estimated useful life of the respective underlying real estate assets, the remaining lease term of the BREIT JV Lease, or the remaining term of the assumed debt, as applicable.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assess our investment in unconsolidated affiliate for recoverability and, if it is determined that a loss in value of the investment is other than temporary, we write down the investment to its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the past 40 years that have similar credit profiles or characteristics to our tenants, borrowers and their parent guarantors, as applicable. We are unable to use our historical data to estimate losses as we have no loss history to date.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CECL allowance is recorded as a reduction to our net Investments in leases - sales-type, Investments in leases - financing receivables, Investments in loans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three and nine months ended September 30, 2022 and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5 - Allowance for Credit Losses</w:t>
      </w:r>
      <w:r>
        <w:rPr>
          <w:rFonts w:ascii="Arial" w:cs="Arial" w:eastAsia="Arial" w:hAnsi="Arial"/>
          <w:sz w:val="18"/>
          <w:szCs w:val="18"/>
          <w:color w:val="auto"/>
        </w:rPr>
        <w:t xml:space="preserve">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9 - Fair Value</w:t>
      </w:r>
      <w:r>
        <w:rPr>
          <w:rFonts w:ascii="Arial" w:cs="Arial" w:eastAsia="Arial" w:hAnsi="Arial"/>
          <w:sz w:val="18"/>
          <w:szCs w:val="18"/>
          <w:color w:val="auto"/>
        </w:rPr>
        <w:t xml:space="preserve"> 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transactions. If it is determined that 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Caesars and MGM are the guarantors of all the lease payment obligations of the tenants under the applicable leases of the properties that they respectively lease from us. Revenue from Caesars, which includes the Caesars Leases, represented 39% and 49% of our lease revenues for the three and nine months ended September 30, 2022, respectively, and 85% and 86% of our lease revenues for the three and nine months ended September 30, 2021, respectively. Revenue from MGM, which includes the MGM Master Lease and our proportionate share of the BREIT JV Lease, represented 43% and 30% of our lease revenues for the three and nine months ended September 30, 2022, respectively. Additionally, our properties on the Las Vegas Strip generated approximately 47% and 45% of our lease revenues for the three and nine months ended September 30, 2022, respectively, and 32% of our lease revenues for the three and nine months ended September 30, 2021. Other than having two tenants from which we derive and will continue to derive a substantial portion of our revenue and our concentration in the Las Vegas market, we do not believe there are any other significant concentrations of credit risk.</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Real Estate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Property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Rocky Gap Casino</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24, 2022, we and Century Casinos entered into definitive agreements to acquire Rocky Gap Casino Resort (“Rocky Gap Casino”), located in Flintstone, Maryland, from Golden Entertainment, Inc. for an aggregate purchase price of $260.0 million. Pursuant to the transaction agreements, we will acquire an interest in the land and buildings associated with Rocky Gap Casino for approximately $203.9 million, and Century Casinos will acquire the operating assets of the property for approximately $56.1 million. Simultaneous with the closing of the transaction, the Century Master Lease will be amended to include Rocky Gap Casino, and annual rent under the Century Master Lease will increase by $15.5 million. Additionally, the terms of the Century Master Lease will be extended such that, upon closing of the transaction, the lease will have a full 15-year initial base lease term remaining, with four 5-year tenant renewal options. The tenant’s obligations under the Century Master Lease will continue to be guaranteed by Century Casinos. The transaction is subject to customary regulatory approvals and closing conditions and is expected to close in mid-2023.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MGP Transactions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our 50.1% share of the BREIT JV CMBS debt. Upon closing, the MGP Transactions added $1,012.0 million of annualized rent to our portfolio from 15 Class A entertainment casino resort properties spread across nine regions and comprising 36,000 hotel rooms, 3.6 million square feet of meeting and convention space and hundreds of food, beverage and entertainment venues.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acquired portfolio, including properties owned by the BREIT JV, includes seven large-scale entertainment and gaming-related properties located on the Las Vegas Strip: Mandalay Bay, MGM Grand Las Vegas, The Mirage, Park MGM, New York-New York (and The Park, a dining and entertainment district located between New York-New York and Park MGM), Luxor and Excalibur. Outside of Las Vegas, we also acquired eight high-quality casino resort properties pursuant to the MGP Transactions: MGM Grand Detroit in Detroit, Michigan, Beau Rivage in Biloxi, Mississippi, Gold Strike Tunica in Tunica, Mississippi, Borgata in Atlantic City, New Jersey, MGM National Harbor in Prince George’s County, Maryland, MGM Northfield Park in Northfield, Ohio, Empire City in Yonkers, New York and MGM Springfield in Springfield, Massachusetts.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acquired portfolio includes two of the five largest hotels in the United States and two of the three largest Las Vegas resorts by room count and convention space.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agreements and related activities under the MGP Transactions:</w:t>
      </w:r>
    </w:p>
    <w:p>
      <w:pPr>
        <w:spacing w:after="0" w:line="171" w:lineRule="exact"/>
        <w:rPr>
          <w:sz w:val="20"/>
          <w:szCs w:val="20"/>
          <w:color w:val="auto"/>
        </w:rPr>
      </w:pPr>
    </w:p>
    <w:p>
      <w:pPr>
        <w:jc w:val="both"/>
        <w:ind w:left="660" w:hanging="328"/>
        <w:spacing w:after="0" w:line="289"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MGP Master Transaction Agreement. </w:t>
      </w:r>
      <w:r>
        <w:rPr>
          <w:rFonts w:ascii="Arial" w:cs="Arial" w:eastAsia="Arial" w:hAnsi="Arial"/>
          <w:sz w:val="16"/>
          <w:szCs w:val="16"/>
          <w:color w:val="auto"/>
        </w:rPr>
        <w:t>On August 4, 2021, we entered into the MGP Master Transaction Agreement by and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MGP, MGP OP, VICI LP, REIT Merger Sub, VICI OP, and MGM. Pursuant to the terms and subject to the conditions set forth in the MGP Master Transaction Agreement, upon the closing of the REIT Merger (as defined in the MGP Master Transaction Agreement) on April 29, 2022, each outstanding Class A common share, no par value per share, of MGP (“MGP Common Shares”) (other than MGP Common Shares then held in treasury by MGP or owned by any of MGP’s wholly owned subsidiaries) was converted into 1.366 (the “Exchange Ratio”) shares of common stock of the Company (such consideration, the “REIT Merger Consideration”), plus the right, if any, to receive cash in lieu of fractional shares of our common stock into which such MGP Common Shares would have been converted. The outstanding Class B common share, no par value per share, of MGP (the “Class B Share”), which was held by MGM, was cancelled at the effective time of the REIT Merger. The REIT Merger is intended to qualify as a “reorganization” within the meaning of Section 368(a) of the Internal Revenue Code of 1986, as amended (the “Code”).</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w w:val="96"/>
              </w:rPr>
              <w:t>The number of MGP Common Shares converted to shares of VICI common stock was determined as follows:</w:t>
            </w:r>
          </w:p>
        </w:tc>
        <w:tc>
          <w:tcPr>
            <w:tcW w:w="1440" w:type="dxa"/>
            <w:vAlign w:val="bottom"/>
          </w:tcPr>
          <w:p>
            <w:pPr>
              <w:spacing w:after="0"/>
              <w:rPr>
                <w:sz w:val="20"/>
                <w:szCs w:val="20"/>
                <w:color w:val="auto"/>
              </w:rPr>
            </w:pPr>
          </w:p>
        </w:tc>
      </w:tr>
      <w:tr>
        <w:trPr>
          <w:trHeight w:val="81"/>
        </w:trPr>
        <w:tc>
          <w:tcPr>
            <w:tcW w:w="7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MGP Common Shares outstanding as of April 29, 2022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156,757,773</w:t>
            </w: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Exchange Ratio</w:t>
            </w:r>
          </w:p>
        </w:tc>
        <w:tc>
          <w:tcPr>
            <w:tcW w:w="144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23"/>
        </w:trPr>
        <w:tc>
          <w:tcPr>
            <w:tcW w:w="78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VICI common stock issued </w:t>
            </w:r>
            <w:r>
              <w:rPr>
                <w:rFonts w:ascii="Arial" w:cs="Arial" w:eastAsia="Arial" w:hAnsi="Arial"/>
                <w:sz w:val="23"/>
                <w:szCs w:val="23"/>
                <w:i w:val="1"/>
                <w:iCs w:val="1"/>
                <w:color w:val="auto"/>
                <w:vertAlign w:val="superscript"/>
              </w:rPr>
              <w:t>(1)</w:t>
            </w:r>
          </w:p>
        </w:tc>
        <w:tc>
          <w:tcPr>
            <w:tcW w:w="5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214,131,064</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VICI common stock issued for MGP stock-based compensation awards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421,468</w:t>
            </w:r>
          </w:p>
        </w:tc>
      </w:tr>
      <w:tr>
        <w:trPr>
          <w:trHeight w:val="243"/>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VICI common stock issued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214,552,532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(1) Amount excludes the cash paid in lieu of approximately 54 fractional MGP Common Shares.</w:t>
      </w:r>
    </w:p>
    <w:p>
      <w:pPr>
        <w:spacing w:after="0" w:line="16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Following the REIT Merger, pursuant to and subject to the terms set forth in the MGP Master Transaction Agreement, at the effective time of the Partnership Merger (as defined in the MGP Master Transaction Agreement), each limited partnership unit in MGP OP (other than the limited partnership units in MGP OP held by REIT Merger Sub or any subsidiary of MGP OP), all of which were held by MGM and certain of its subsidiaries, was converted into the right to receive a number of VICI OP Units (the “Partnership Merger Consideration”) equal to the Exchange Ratio. The Company redeemed a majority of the VICI OP Units received by MGM in the Partnership Merger for $4,404.0 million in cash using the proceeds from the April 2022 Notes offering (the “Redemption”), as further described in </w:t>
      </w:r>
      <w:r>
        <w:rPr>
          <w:rFonts w:ascii="Arial" w:cs="Arial" w:eastAsia="Arial" w:hAnsi="Arial"/>
          <w:sz w:val="18"/>
          <w:szCs w:val="18"/>
          <w:u w:val="single" w:color="auto"/>
          <w:color w:val="0000FF"/>
        </w:rPr>
        <w:t>Note 7 - Debt</w:t>
      </w:r>
      <w:r>
        <w:rPr>
          <w:rFonts w:ascii="Arial" w:cs="Arial" w:eastAsia="Arial" w:hAnsi="Arial"/>
          <w:sz w:val="18"/>
          <w:szCs w:val="18"/>
          <w:color w:val="auto"/>
        </w:rPr>
        <w:t>. Following the Redemption, MGM retained approximately 12.2 million VICI OP Units.</w:t>
      </w:r>
    </w:p>
    <w:p>
      <w:pPr>
        <w:spacing w:after="0" w:line="141" w:lineRule="exact"/>
        <w:rPr>
          <w:sz w:val="20"/>
          <w:szCs w:val="20"/>
          <w:color w:val="auto"/>
        </w:rPr>
      </w:pPr>
    </w:p>
    <w:p>
      <w:pPr>
        <w:jc w:val="both"/>
        <w:ind w:left="660" w:hanging="328"/>
        <w:spacing w:after="0" w:line="290"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MGM Master Lease and BREIT JV Lease</w:t>
      </w:r>
      <w:r>
        <w:rPr>
          <w:rFonts w:ascii="Arial" w:cs="Arial" w:eastAsia="Arial" w:hAnsi="Arial"/>
          <w:sz w:val="16"/>
          <w:szCs w:val="16"/>
          <w:color w:val="auto"/>
        </w:rPr>
        <w:t>. Simultaneous with the closing of the Mergers on April 29, 2022, we entered into the MGM Master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the consumer price index (“CPI”), subject to a 3.0% cap. The tenant’s obligations under the MGM Master Lease are guaranteed by MGM. The initial total annual rent under the MGM Master Lease will be reduced by (i) $90.0 million upon the close of MGM’s pending sale of the operations of the Mirage to Hard Rock and entrance into the Mirage Lease, as further described below under “</w:t>
      </w:r>
      <w:r>
        <w:rPr>
          <w:rFonts w:ascii="Arial" w:cs="Arial" w:eastAsia="Arial" w:hAnsi="Arial"/>
          <w:sz w:val="16"/>
          <w:szCs w:val="16"/>
          <w:i w:val="1"/>
          <w:iCs w:val="1"/>
          <w:color w:val="auto"/>
        </w:rPr>
        <w:t>Mirage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Severance Lease” </w:t>
      </w:r>
      <w:r>
        <w:rPr>
          <w:rFonts w:ascii="Arial" w:cs="Arial" w:eastAsia="Arial" w:hAnsi="Arial"/>
          <w:sz w:val="16"/>
          <w:szCs w:val="16"/>
          <w:color w:val="auto"/>
        </w:rPr>
        <w:t>and (ii) $40.0 million upon the close of MGM’s pending sale of the operations of Gold Strike to Cherokee Nation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L.L.C. (“CNB”) and entrance into the Gold Strike Lease (as defined below), as further described below under “</w:t>
      </w:r>
      <w:r>
        <w:rPr>
          <w:rFonts w:ascii="Arial" w:cs="Arial" w:eastAsia="Arial" w:hAnsi="Arial"/>
          <w:sz w:val="16"/>
          <w:szCs w:val="16"/>
          <w:i w:val="1"/>
          <w:iCs w:val="1"/>
          <w:color w:val="auto"/>
        </w:rPr>
        <w:t>Gold Strike Severance Lease</w:t>
      </w:r>
      <w:r>
        <w:rPr>
          <w:rFonts w:ascii="Arial" w:cs="Arial" w:eastAsia="Arial" w:hAnsi="Arial"/>
          <w:sz w:val="16"/>
          <w:szCs w:val="16"/>
          <w:color w:val="auto"/>
        </w:rPr>
        <w:t>”.</w:t>
      </w:r>
    </w:p>
    <w:p>
      <w:pPr>
        <w:spacing w:after="0" w:line="111" w:lineRule="exact"/>
        <w:rPr>
          <w:rFonts w:ascii="Arial" w:cs="Arial" w:eastAsia="Arial" w:hAnsi="Arial"/>
          <w:sz w:val="16"/>
          <w:szCs w:val="16"/>
          <w:i w:val="1"/>
          <w:iCs w:val="1"/>
          <w:color w:val="auto"/>
        </w:rPr>
      </w:pPr>
    </w:p>
    <w:p>
      <w:pPr>
        <w:jc w:val="both"/>
        <w:ind w:left="660"/>
        <w:spacing w:after="0" w:line="275" w:lineRule="auto"/>
        <w:rPr>
          <w:rFonts w:ascii="Arial" w:cs="Arial" w:eastAsia="Arial" w:hAnsi="Arial"/>
          <w:sz w:val="16"/>
          <w:szCs w:val="16"/>
          <w:i w:val="1"/>
          <w:iCs w:val="1"/>
          <w:color w:val="auto"/>
        </w:rPr>
      </w:pPr>
      <w:r>
        <w:rPr>
          <w:rFonts w:ascii="Arial" w:cs="Arial" w:eastAsia="Arial" w:hAnsi="Arial"/>
          <w:sz w:val="17"/>
          <w:szCs w:val="17"/>
          <w:color w:val="auto"/>
        </w:rPr>
        <w:t>Additionally, we retained MGP’s 50.1% ownership stake in the BREIT JV, which owns the real estate assets of MGM Grand Las Vegas and Mandalay Bay. The BREIT JV Lease remained unchanged and provides for current total annual base rent of approximately $303.8 million, of which approximately $152.2 million is attributable to our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BREIT JV Lease are guaranteed by MGM.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hanging="328"/>
        <w:spacing w:after="0" w:line="268"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Protection Agreement. </w:t>
      </w:r>
      <w:r>
        <w:rPr>
          <w:rFonts w:ascii="Arial" w:cs="Arial" w:eastAsia="Arial" w:hAnsi="Arial"/>
          <w:sz w:val="17"/>
          <w:szCs w:val="17"/>
          <w:color w:val="auto"/>
        </w:rPr>
        <w:t>In connection with the closing of the MGP Transactions, we entered into a tax protection agreement with MGM (the</w:t>
      </w:r>
      <w:r>
        <w:rPr>
          <w:rFonts w:ascii="Arial" w:cs="Arial" w:eastAsia="Arial" w:hAnsi="Arial"/>
          <w:sz w:val="17"/>
          <w:szCs w:val="17"/>
          <w:i w:val="1"/>
          <w:iCs w:val="1"/>
          <w:color w:val="auto"/>
        </w:rPr>
        <w:t xml:space="preserve"> </w:t>
      </w:r>
      <w:r>
        <w:rPr>
          <w:rFonts w:ascii="Arial" w:cs="Arial" w:eastAsia="Arial" w:hAnsi="Arial"/>
          <w:sz w:val="17"/>
          <w:szCs w:val="17"/>
          <w:color w:val="auto"/>
        </w:rPr>
        <w:t>“MGM Tax Protection Agreement”) pursuant to which VICI OP has agreed,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VICI OP pursuant to which the ownership interests of the Protected Parties in VICI OP are required to be exchanged in whole or in part for cash or other property, (3) the failure of VICI OP to maintain approximately $8.5 billion of nonrecourse indebtedness allocable to MGM, which amount may be reduced over time in accordance with the MGM Tax Protection Agreement, and (4) the failure of VICI OP or VICI to comply with certain tax covenants that would impact the tax liabilities of the Protected Parties. In the event that VICI OP or VICI breaches restrictions in the MGM Tax Protection Agreement, VICI OP will be liable for grossed-up tax amounts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the Company bears its 50.1% proportionate share in the BREIT JV of any indemnity under this existing tax protection agreement.</w:t>
      </w:r>
    </w:p>
    <w:p>
      <w:pPr>
        <w:spacing w:after="0" w:line="130" w:lineRule="exact"/>
        <w:rPr>
          <w:rFonts w:ascii="Arial" w:cs="Arial" w:eastAsia="Arial" w:hAnsi="Arial"/>
          <w:sz w:val="17"/>
          <w:szCs w:val="17"/>
          <w:i w:val="1"/>
          <w:iCs w:val="1"/>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Exchange Offers and Consent Solicitations</w:t>
      </w:r>
      <w:r>
        <w:rPr>
          <w:rFonts w:ascii="Arial" w:cs="Arial" w:eastAsia="Arial" w:hAnsi="Arial"/>
          <w:sz w:val="18"/>
          <w:szCs w:val="18"/>
          <w:color w:val="auto"/>
        </w:rPr>
        <w:t>. On September 13, 2021, we announced that the VICI Issuers commenced (i) private exchange offers</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8"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became operative upon the settlement of the Exchange Offers and the Consent Solicitations on April 29, 2022 (the “Settlement Date”).</w:t>
      </w:r>
    </w:p>
    <w:p>
      <w:pPr>
        <w:spacing w:after="0" w:line="132"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Upon completion of the Exchange Offers and Consent Solicitations, the VICI Issuers issued an aggregate principal amount of $4,110.0 million in Exchange Notes, each pursuant to a separate indenture dated as of April 29, 2022, among the VICI Issuers and the Trustee. Following the issuance of the Exchange Notes pursuant to the settlement of the Exchange Offers and Consent Solicitations, approximately $90.0 million aggregate principal amount of MGP OP Notes remain outstanding. See </w:t>
      </w:r>
      <w:r>
        <w:rPr>
          <w:rFonts w:ascii="Arial" w:cs="Arial" w:eastAsia="Arial" w:hAnsi="Arial"/>
          <w:sz w:val="17"/>
          <w:szCs w:val="17"/>
          <w:u w:val="single" w:color="auto"/>
          <w:color w:val="0000FF"/>
        </w:rPr>
        <w:t>Note 7 - Debt</w:t>
      </w:r>
      <w:r>
        <w:rPr>
          <w:rFonts w:ascii="Arial" w:cs="Arial" w:eastAsia="Arial" w:hAnsi="Arial"/>
          <w:sz w:val="17"/>
          <w:szCs w:val="17"/>
          <w:color w:val="auto"/>
        </w:rPr>
        <w:t xml:space="preserve"> for additional information.</w:t>
      </w:r>
    </w:p>
    <w:p>
      <w:pPr>
        <w:spacing w:after="0" w:line="117" w:lineRule="exact"/>
        <w:rPr>
          <w:rFonts w:ascii="Arial" w:cs="Arial" w:eastAsia="Arial" w:hAnsi="Arial"/>
          <w:sz w:val="18"/>
          <w:szCs w:val="18"/>
          <w:color w:val="auto"/>
        </w:rPr>
      </w:pPr>
    </w:p>
    <w:p>
      <w:pPr>
        <w:jc w:val="both"/>
        <w:ind w:left="660" w:hanging="328"/>
        <w:spacing w:after="0" w:line="269" w:lineRule="auto"/>
        <w:tabs>
          <w:tab w:leader="none" w:pos="65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Mirage Lease. </w:t>
      </w:r>
      <w:r>
        <w:rPr>
          <w:rFonts w:ascii="Arial" w:cs="Arial" w:eastAsia="Arial" w:hAnsi="Arial"/>
          <w:sz w:val="17"/>
          <w:szCs w:val="17"/>
          <w:color w:val="auto"/>
        </w:rPr>
        <w:t>On December 13, 2021, in connection with MGM’s agreement to sell the operations of the Mirage Hotel &amp; Casino (the “Mirage”),</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Las Vegas, NV, to Hard Rock, we agreed to enter into a new separate lease with Hard Rock related to the land and real estate assets of the Mirage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annual base rent under the MGM Master Lease by $90.0 million. We expect these transactions to be completed in the fourth quarter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amounts and terms of the redevelopment and related funding remain under discussion and subject to final documentation.</w:t>
      </w:r>
    </w:p>
    <w:p>
      <w:pPr>
        <w:spacing w:after="0" w:line="124"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Gold Strike Lease. </w:t>
      </w:r>
      <w:r>
        <w:rPr>
          <w:rFonts w:ascii="Arial" w:cs="Arial" w:eastAsia="Arial" w:hAnsi="Arial"/>
          <w:sz w:val="18"/>
          <w:szCs w:val="18"/>
          <w:color w:val="auto"/>
        </w:rPr>
        <w:t>On June 9, 2022, in connection with MGM’s agreement to sell the operations of Gold Strike Casino Resort (“Gold Strike”),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Tunica, MS, we agreed to enter into a new separate lease with CNB related to the land and real estate assets of Gold Strike (the “Gold Strike Lease”), and enter into an amendment to the MGM Master Lease relating to the sale of Gold Strike. The Gold Strike Lease will have initial annual base rent of $40.0 million with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Gold Strike, the MGM Master Lease will be amended to account for MGM’s divestiture of the Gold Strike operations and will result in a reduction of the annual base rent under the MGM Master Lease by $40.0 million. We expect these transactions to be completed in the first half of 2023, and they remain subject to customary closing conditions and regulatory approvals.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assessed the MGP Transactions in accordance with ASC 805—“Business Combinations”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1"/>
              <w:spacing w:after="0" w:line="178" w:lineRule="exact"/>
              <w:rPr>
                <w:sz w:val="20"/>
                <w:szCs w:val="20"/>
                <w:color w:val="auto"/>
              </w:rPr>
            </w:pPr>
            <w:r>
              <w:rPr>
                <w:rFonts w:ascii="Arial" w:cs="Arial" w:eastAsia="Arial" w:hAnsi="Arial"/>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REIT Merger Consideration </w:t>
            </w:r>
            <w:r>
              <w:rPr>
                <w:rFonts w:ascii="Arial" w:cs="Arial" w:eastAsia="Arial" w:hAnsi="Arial"/>
                <w:sz w:val="23"/>
                <w:szCs w:val="23"/>
                <w:i w:val="1"/>
                <w:iCs w:val="1"/>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6,568,480</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Redemption payment to MGM</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4,404,000</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VICI OP Units retained by MGM </w:t>
            </w:r>
            <w:r>
              <w:rPr>
                <w:rFonts w:ascii="Arial" w:cs="Arial" w:eastAsia="Arial" w:hAnsi="Arial"/>
                <w:sz w:val="23"/>
                <w:szCs w:val="23"/>
                <w:i w:val="1"/>
                <w:iCs w:val="1"/>
                <w:color w:val="auto"/>
                <w:vertAlign w:val="superscript"/>
              </w:rPr>
              <w:t>(2)</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374,769</w:t>
            </w:r>
          </w:p>
        </w:tc>
      </w:tr>
      <w:tr>
        <w:trPr>
          <w:trHeight w:val="229"/>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Repayment of MGP revolving credit facility </w:t>
            </w:r>
            <w:r>
              <w:rPr>
                <w:rFonts w:ascii="Arial" w:cs="Arial" w:eastAsia="Arial" w:hAnsi="Arial"/>
                <w:sz w:val="23"/>
                <w:szCs w:val="23"/>
                <w:i w:val="1"/>
                <w:iCs w:val="1"/>
                <w:color w:val="auto"/>
                <w:vertAlign w:val="superscript"/>
              </w:rPr>
              <w:t>(3)</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Transactions costs </w:t>
            </w:r>
            <w:r>
              <w:rPr>
                <w:rFonts w:ascii="Arial" w:cs="Arial" w:eastAsia="Arial" w:hAnsi="Arial"/>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119,741</w:t>
            </w:r>
          </w:p>
        </w:tc>
      </w:tr>
      <w:tr>
        <w:trPr>
          <w:trHeight w:val="223"/>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consideration transferred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11,556,990</w:t>
            </w: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 of MGP OP Notes and Exchange Notes, at principal value</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w:t>
            </w:r>
          </w:p>
        </w:tc>
      </w:tr>
      <w:tr>
        <w:trPr>
          <w:trHeight w:val="229"/>
        </w:trPr>
        <w:tc>
          <w:tcPr>
            <w:tcW w:w="20" w:type="dxa"/>
            <w:vAlign w:val="bottom"/>
            <w:tcBorders>
              <w:bottom w:val="single" w:sz="8" w:color="CCEEFF"/>
            </w:tcBorders>
          </w:tcPr>
          <w:p>
            <w:pPr>
              <w:spacing w:after="0"/>
              <w:rPr>
                <w:sz w:val="19"/>
                <w:szCs w:val="19"/>
                <w:color w:val="auto"/>
              </w:rPr>
            </w:pPr>
          </w:p>
        </w:tc>
        <w:tc>
          <w:tcPr>
            <w:tcW w:w="9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Assumption of our proportionate share of the BREIT JV CMBS debt, at principal value</w:t>
            </w: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17,259,990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right="120" w:firstLine="8"/>
        <w:spacing w:after="0" w:line="270" w:lineRule="auto"/>
        <w:tabs>
          <w:tab w:leader="none" w:pos="204"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Amount represents the dollar value of 214,375,990 shares of VICI common stock, multiplied by the VICI stock price at the time of closing of $30.64 per share, which were issued in exchange for the MGP Common Shares outstanding immediately prior to the REIT Merger and certain of the MGP stock-based compensation awards, converted to shares of VICI common stock.</w:t>
      </w:r>
    </w:p>
    <w:p>
      <w:pPr>
        <w:spacing w:after="0" w:line="1" w:lineRule="exact"/>
        <w:rPr>
          <w:rFonts w:ascii="Arial" w:cs="Arial" w:eastAsia="Arial" w:hAnsi="Arial"/>
          <w:sz w:val="13"/>
          <w:szCs w:val="13"/>
          <w:i w:val="1"/>
          <w:iCs w:val="1"/>
          <w:color w:val="auto"/>
        </w:rPr>
      </w:pPr>
    </w:p>
    <w:p>
      <w:pPr>
        <w:ind w:left="220" w:hanging="212"/>
        <w:spacing w:after="0"/>
        <w:tabs>
          <w:tab w:leader="none" w:pos="2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12,231,373 VICI OP Units retained by MGM as non-controlling interest in VICI OP, multiplied by the VICI stock price at the time of closing of $30.64 per share.</w:t>
      </w:r>
    </w:p>
    <w:p>
      <w:pPr>
        <w:spacing w:after="0" w:line="9" w:lineRule="exact"/>
        <w:rPr>
          <w:rFonts w:ascii="Arial" w:cs="Arial" w:eastAsia="Arial" w:hAnsi="Arial"/>
          <w:sz w:val="14"/>
          <w:szCs w:val="14"/>
          <w:i w:val="1"/>
          <w:iCs w:val="1"/>
          <w:color w:val="auto"/>
        </w:rPr>
      </w:pPr>
    </w:p>
    <w:p>
      <w:pPr>
        <w:ind w:firstLine="8"/>
        <w:spacing w:after="0" w:line="255" w:lineRule="auto"/>
        <w:tabs>
          <w:tab w:leader="none" w:pos="20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total amount outstanding under MGP’s revolving credit facility as of April 29, 2022. In connection with the MGP Transactions, such amount was repaid in full and the related credit agreement was terminated.</w:t>
      </w:r>
    </w:p>
    <w:p>
      <w:pPr>
        <w:ind w:firstLine="8"/>
        <w:spacing w:after="0" w:line="275" w:lineRule="auto"/>
        <w:tabs>
          <w:tab w:leader="none" w:pos="208"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ASC 805-50, all direct and incremental costs related to the MGP Transactions, primarily related to success-based fees and third-party advisory fees, were included in the consideration transferred.</w:t>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7"/>
                <w:szCs w:val="17"/>
                <w:color w:val="auto"/>
              </w:rPr>
            </w:pPr>
          </w:p>
        </w:tc>
        <w:tc>
          <w:tcPr>
            <w:tcW w:w="1580" w:type="dxa"/>
            <w:vAlign w:val="bottom"/>
          </w:tcPr>
          <w:p>
            <w:pPr>
              <w:jc w:val="right"/>
              <w:ind w:right="631"/>
              <w:spacing w:after="0"/>
              <w:rPr>
                <w:sz w:val="20"/>
                <w:szCs w:val="20"/>
                <w:color w:val="auto"/>
              </w:rPr>
            </w:pPr>
            <w:r>
              <w:rPr>
                <w:rFonts w:ascii="Arial" w:cs="Arial" w:eastAsia="Arial" w:hAnsi="Arial"/>
                <w:sz w:val="16"/>
                <w:szCs w:val="16"/>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 (2)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14,245,868</w:t>
            </w:r>
          </w:p>
        </w:tc>
      </w:tr>
      <w:tr>
        <w:trPr>
          <w:trHeight w:val="229"/>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Investment in unconsolidated affiliate </w:t>
            </w:r>
            <w:r>
              <w:rPr>
                <w:rFonts w:ascii="Arial" w:cs="Arial" w:eastAsia="Arial" w:hAnsi="Arial"/>
                <w:sz w:val="23"/>
                <w:szCs w:val="23"/>
                <w:i w:val="1"/>
                <w:iCs w:val="1"/>
                <w:color w:val="auto"/>
                <w:vertAlign w:val="superscript"/>
              </w:rPr>
              <w:t>(2) (3)</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1,465,814</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i w:val="1"/>
                <w:iCs w:val="1"/>
                <w:color w:val="auto"/>
                <w:vertAlign w:val="superscript"/>
              </w:rPr>
              <w:t>(4)</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3"/>
                <w:szCs w:val="23"/>
                <w:i w:val="1"/>
                <w:iCs w:val="1"/>
                <w:color w:val="auto"/>
                <w:vertAlign w:val="superscript"/>
              </w:rPr>
              <w:t>(4)</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338,212</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Debt, net </w:t>
            </w:r>
            <w:r>
              <w:rPr>
                <w:rFonts w:ascii="Arial" w:cs="Arial" w:eastAsia="Arial" w:hAnsi="Arial"/>
                <w:sz w:val="23"/>
                <w:szCs w:val="23"/>
                <w:i w:val="1"/>
                <w:iCs w:val="1"/>
                <w:color w:val="auto"/>
                <w:vertAlign w:val="superscript"/>
              </w:rPr>
              <w:t>(5)</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(4,106,082)</w:t>
            </w:r>
          </w:p>
        </w:tc>
      </w:tr>
      <w:tr>
        <w:trPr>
          <w:trHeight w:val="230"/>
        </w:trPr>
        <w:tc>
          <w:tcPr>
            <w:tcW w:w="20" w:type="dxa"/>
            <w:vAlign w:val="bottom"/>
          </w:tcPr>
          <w:p>
            <w:pPr>
              <w:spacing w:after="0"/>
              <w:rPr>
                <w:sz w:val="19"/>
                <w:szCs w:val="19"/>
                <w:color w:val="auto"/>
              </w:rPr>
            </w:pPr>
          </w:p>
        </w:tc>
        <w:tc>
          <w:tcPr>
            <w:tcW w:w="92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Accrued expenses and deferred revenue </w:t>
            </w:r>
            <w:r>
              <w:rPr>
                <w:rFonts w:ascii="Arial" w:cs="Arial" w:eastAsia="Arial" w:hAnsi="Arial"/>
                <w:sz w:val="23"/>
                <w:szCs w:val="23"/>
                <w:i w:val="1"/>
                <w:iCs w:val="1"/>
                <w:color w:val="auto"/>
                <w:vertAlign w:val="superscript"/>
              </w:rPr>
              <w:t>(4)</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(79,482)</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3"/>
                <w:szCs w:val="23"/>
                <w:i w:val="1"/>
                <w:iCs w:val="1"/>
                <w:color w:val="auto"/>
                <w:vertAlign w:val="superscript"/>
              </w:rPr>
              <w:t>(4)</w:t>
            </w: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(332,727)</w:t>
            </w: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Total net assets acquired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11,556,990</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59" w:lineRule="auto"/>
        <w:tabs>
          <w:tab w:leader="none" w:pos="206"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- 18.5x with a weighted average rent multiple of 16.7x, as determined using relative fair value.</w:t>
      </w:r>
    </w:p>
    <w:p>
      <w:pPr>
        <w:ind w:left="220" w:hanging="212"/>
        <w:spacing w:after="0"/>
        <w:tabs>
          <w:tab w:leader="none" w:pos="2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The fair value of these assets are based on significant “unobservable” market inputs and, as such, these fair value measurements are considered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We value the Investment in unconsolidated affiliate at relative fair based on our percentage ownership of the net assets of the BREIT JV.</w:t>
      </w:r>
    </w:p>
    <w:p>
      <w:pPr>
        <w:spacing w:after="0" w:line="21" w:lineRule="exact"/>
        <w:rPr>
          <w:rFonts w:ascii="Arial" w:cs="Arial" w:eastAsia="Arial" w:hAnsi="Arial"/>
          <w:sz w:val="14"/>
          <w:szCs w:val="14"/>
          <w:i w:val="1"/>
          <w:iCs w:val="1"/>
          <w:color w:val="auto"/>
        </w:rPr>
      </w:pPr>
    </w:p>
    <w:p>
      <w:pPr>
        <w:ind w:firstLine="8"/>
        <w:spacing w:after="0" w:line="255" w:lineRule="auto"/>
        <w:tabs>
          <w:tab w:leader="none" w:pos="216"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represents their current carrying value which is equal to fair value. The Other assets and Other liabilities amounts include the gross presentation of certain MGP ground leases which we assumed in connection with the MGP Transactions.</w:t>
      </w:r>
    </w:p>
    <w:p>
      <w:pPr>
        <w:ind w:firstLine="8"/>
        <w:spacing w:after="0" w:line="315" w:lineRule="auto"/>
        <w:tabs>
          <w:tab w:leader="none" w:pos="204"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Accordingly, the relative fair value of the MGP assets of $14.2 billion was recorded as an Investment in leases - financing receivable on our Balance Sheet, net of allowance for credit losses in the amount of $431.5 million.</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relation to the BREIT JV, we determined that such investment is accounted for as an equity method investment and, accordingly, have recorded the relative fair value as an Investment in unconsolidated affiliate on our Balance Sheet. The requirement to record our investment in the BREIT JV at relative fair value under ASC 805 results in a difference in our acquired basis from that of the underlying records, or historical cost basis, of the BREIT JV. Accordingly, we compared our proportionate share of the historical cost basis of the BREIT JV as of April 29, 2022 to our proportionate share of the relative fair value, the difference of which is amortized through Income from unconsolidated affiliate over the life of the related asset or liability. As of September 30, 2022, the carrying value of our investment exceeded the underlying historical cost basis of our Investment in unconsolidated affiliate resulting in a basis difference of $642.8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23, 2022, we closed on the previously announced transaction to acquire all of the land and real estate assets associated with the Venetian Resort from Las Vegas Sands Corp.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(which was subsequently repaid in full using a portion of the proceeds from the April 2022 Notes offering), and (iii) cash on hand. Simultaneous with the closing of the Venetian Acquisition, we entered into the Venetian Lease with the Venetian Tenant. The Venetian Lease has an initial total annual rent of $250.0 million and an initial term of 30 years, with two 10-year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We determined that the land and building components of the Venetian Lease meet the definition of a sales-type lease and accordingly are recorded as an Investments in leases - sales-type on our Balance Sheet, net of allowance for credit losses in the amount of $65.6 million.</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Venetian Acquisition, we entered into a Partner Property Growth Fund Agreement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 Upon execution of the Venetian PGF, we were required to estimate a CECL allowance related to the contractual commitments to extend credit, which is based on our best estimates of funding such commitments. Accordingly, during the three months ended March 31, 2022, we recorded an initial CECL allowance in Other liabilities in the amount of $8.3 million related to the estimate of our unfunded commitment under the Venetian PGF.</w:t>
      </w:r>
    </w:p>
    <w:p>
      <w:pPr>
        <w:spacing w:after="0" w:line="1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Loan Originations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2022 development loan origination activity to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Loan Name</w:t>
            </w:r>
          </w:p>
        </w:tc>
        <w:tc>
          <w:tcPr>
            <w:tcW w:w="180" w:type="dxa"/>
            <w:vAlign w:val="bottom"/>
          </w:tcPr>
          <w:p>
            <w:pPr>
              <w:spacing w:after="0"/>
              <w:rPr>
                <w:sz w:val="16"/>
                <w:szCs w:val="16"/>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Maximum Loan</w:t>
            </w:r>
          </w:p>
        </w:tc>
        <w:tc>
          <w:tcPr>
            <w:tcW w:w="100" w:type="dxa"/>
            <w:vAlign w:val="bottom"/>
          </w:tcPr>
          <w:p>
            <w:pPr>
              <w:spacing w:after="0"/>
              <w:rPr>
                <w:sz w:val="16"/>
                <w:szCs w:val="16"/>
                <w:color w:val="auto"/>
              </w:rPr>
            </w:pPr>
          </w:p>
        </w:tc>
        <w:tc>
          <w:tcPr>
            <w:tcW w:w="1980" w:type="dxa"/>
            <w:vAlign w:val="bottom"/>
            <w:gridSpan w:val="2"/>
            <w:vMerge w:val="restart"/>
          </w:tcPr>
          <w:p>
            <w:pPr>
              <w:ind w:left="580"/>
              <w:spacing w:after="0"/>
              <w:rPr>
                <w:sz w:val="20"/>
                <w:szCs w:val="20"/>
                <w:color w:val="auto"/>
              </w:rPr>
            </w:pPr>
            <w:r>
              <w:rPr>
                <w:rFonts w:ascii="Arial" w:cs="Arial" w:eastAsia="Arial" w:hAnsi="Arial"/>
                <w:sz w:val="16"/>
                <w:szCs w:val="16"/>
                <w:b w:val="1"/>
                <w:bCs w:val="1"/>
                <w:color w:val="auto"/>
              </w:rPr>
              <w:t>Loan Type</w:t>
            </w:r>
          </w:p>
        </w:tc>
        <w:tc>
          <w:tcPr>
            <w:tcW w:w="4740" w:type="dxa"/>
            <w:vAlign w:val="bottom"/>
            <w:vMerge w:val="restart"/>
          </w:tcPr>
          <w:p>
            <w:pPr>
              <w:ind w:left="1640"/>
              <w:spacing w:after="0"/>
              <w:rPr>
                <w:sz w:val="20"/>
                <w:szCs w:val="20"/>
                <w:color w:val="auto"/>
              </w:rPr>
            </w:pPr>
            <w:r>
              <w:rPr>
                <w:rFonts w:ascii="Arial" w:cs="Arial" w:eastAsia="Arial" w:hAnsi="Arial"/>
                <w:sz w:val="16"/>
                <w:szCs w:val="16"/>
                <w:b w:val="1"/>
                <w:bCs w:val="1"/>
                <w:color w:val="auto"/>
              </w:rPr>
              <w:t>Development Project</w:t>
            </w:r>
          </w:p>
        </w:tc>
        <w:tc>
          <w:tcPr>
            <w:tcW w:w="0" w:type="dxa"/>
            <w:vAlign w:val="bottom"/>
          </w:tcPr>
          <w:p>
            <w:pPr>
              <w:spacing w:after="0"/>
              <w:rPr>
                <w:sz w:val="1"/>
                <w:szCs w:val="1"/>
                <w:color w:val="auto"/>
              </w:rPr>
            </w:pPr>
          </w:p>
        </w:tc>
      </w:tr>
      <w:tr>
        <w:trPr>
          <w:trHeight w:val="213"/>
        </w:trPr>
        <w:tc>
          <w:tcPr>
            <w:tcW w:w="2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4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Canyon Ranch Austin </w:t>
            </w:r>
            <w:r>
              <w:rPr>
                <w:rFonts w:ascii="Arial" w:cs="Arial" w:eastAsia="Arial" w:hAnsi="Arial"/>
                <w:sz w:val="23"/>
                <w:szCs w:val="23"/>
                <w:i w:val="1"/>
                <w:iCs w:val="1"/>
                <w:color w:val="auto"/>
                <w:vertAlign w:val="superscript"/>
              </w:rPr>
              <w:t>(1)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Canyon Ranch Austin located in Austin, TX</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Great Wolf Gulf Coast Texas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Mezzanine</w:t>
            </w:r>
          </w:p>
        </w:tc>
        <w:tc>
          <w:tcPr>
            <w:tcW w:w="4740" w:type="dxa"/>
            <w:vAlign w:val="bottom"/>
          </w:tcPr>
          <w:p>
            <w:pPr>
              <w:ind w:left="20"/>
              <w:spacing w:after="0"/>
              <w:rPr>
                <w:sz w:val="20"/>
                <w:szCs w:val="20"/>
                <w:color w:val="auto"/>
              </w:rPr>
            </w:pPr>
            <w:r>
              <w:rPr>
                <w:rFonts w:ascii="Arial" w:cs="Arial" w:eastAsia="Arial" w:hAnsi="Arial"/>
                <w:sz w:val="18"/>
                <w:szCs w:val="18"/>
                <w:color w:val="auto"/>
              </w:rPr>
              <w:t>532-room indoor water park resort located in Webster, TX</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 Wolf South Florida</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Mezzanine</w:t>
            </w: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500-room indoor water park resort located in Collier County, FL</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Cabot Citrus Farms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Senior Secured</w:t>
            </w:r>
          </w:p>
        </w:tc>
        <w:tc>
          <w:tcPr>
            <w:tcW w:w="4740" w:type="dxa"/>
            <w:vAlign w:val="bottom"/>
          </w:tcPr>
          <w:p>
            <w:pPr>
              <w:ind w:left="20"/>
              <w:spacing w:after="0"/>
              <w:rPr>
                <w:sz w:val="20"/>
                <w:szCs w:val="20"/>
                <w:color w:val="auto"/>
              </w:rPr>
            </w:pPr>
            <w:r>
              <w:rPr>
                <w:rFonts w:ascii="Arial" w:cs="Arial" w:eastAsia="Arial" w:hAnsi="Arial"/>
                <w:sz w:val="18"/>
                <w:szCs w:val="18"/>
                <w:color w:val="auto"/>
              </w:rPr>
              <w:t>Cabot Citrus Farms located in Brookdale, FL</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BigShots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Financed BigShots Golf Facilities throughout the United States</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586,000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The Canyon Ranch Austin Loan (as defined below) was originated subsequent to quarter end, on October 7,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Canyon Ranch Austin Loan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quarter end, on October 7, 2022, we entered into delayed draw term loan facility (the “Canyon Ranch Austin Loan”) with Canyon Ranch, a leading pioneer in global wellness, pursuant to which we agreed to provide up to $200.0 million of secured financing to fund the development of Canyon Ranch Austin in Austin, Texas.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entered into the following agreements with Canyon Ranch:</w:t>
      </w:r>
    </w:p>
    <w:p>
      <w:pPr>
        <w:spacing w:after="0" w:line="63" w:lineRule="exact"/>
        <w:rPr>
          <w:sz w:val="20"/>
          <w:szCs w:val="20"/>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call right agreement pursuant to which we will have the right to acquire the real estate assets of Canyon Ranch Austin for up to 24 months following stabilization (with the loan balance being settled in connection with the exercise of such call right), which transaction will be structured as a sale leaseback (with the simultaneous entry into a triple-net lease with Canyon Ranch that has an initial term of 25 years, with eight 5-year tenant renewal options).</w:t>
      </w:r>
    </w:p>
    <w:p>
      <w:pPr>
        <w:spacing w:after="0" w:line="24"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purchase option agreement, pursuant to which we have an option to acquire the real estate assets associated with the existing Canyon Ranch Tucson and Canyon Ranch Lenox properties, which transactions will be structured as sale leasebacks, in each case solely to the extent Canyon Ranch elects to sell such properties in a sale leaseback structure for a specific period of time, subject to certain conditions.</w:t>
      </w:r>
    </w:p>
    <w:p>
      <w:pPr>
        <w:spacing w:after="0" w:line="3"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right of first offer agreement on future financing opportunities for Canyon Ranch and certain of its affiliates with respect to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Loans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30, 2022, we entered into a loan with Great Wolf Resorts Inc. (“Great Wolf”), under which we agreed to provide up to $127.0 million of mezzanine financing (the “Great Wolf Gulf Coast Texas Loan”), the proceeds of which will be used to fund the development of Great Wolf Lodge Gulf Coast Texas, a more than $200.0 million, 532-room indoor water park resort project in Webster, TX. The Great Wolf Gulf Coast Texas Loan has an initial term of three years with two 12-month extension options, subject to certain conditions.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2022, we entered into a loan with Great Wolf, under which we agreed to provide up to $59.0 million of mezzanine financing (the “Great Wolf South Florida Loan”), the proceeds of which will be used to fund the development of Great Wolf Lodge South Florida, a more than $250.0 million, 500-room indoor water park resort project in Collier County, FL. The Great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Wolf South Florida Loan has an initial term of four years with one 12-month extension option, subject to certain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Cabot Citrus Farms Loan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6, 2022, we entered into a $120.0 million delayed draw term loan (the “Cabot Citrus Farms Loan”) with Cabot, a developer, owner and operator of world-class destination golf resorts and communities,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we will convert a portion of the Cabot Citrus Farms Loan into the ownership of certain Cabot Citrus Farms real estate assets and simultaneously enter into a triple-net lease with Cabot that has an initial term of 25 years, with five 5-year tenant renewal options.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BigShots Loan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7, 2022, we entered into a loan with BigShots Golf (“BigShots Golf”), a subsidiary of ClubCorp Holdings, Inc. (“ClubCorp”), an Apollo fund portfolio company, to provide up to $80.0 million of mortgage financing (the “BigShots Loan”) for the construction of certain new BigShots Golf facilities throughout the United States. In addition, we entered into a right of first offer and call right agreement, pursuant to which (i) we have a call right to acquire the real estate assets associated with any BigShots Golf facility financed by us, which transaction will be structured as a sale leaseback, and (ii) for so long as the BigShots Loan remains outstanding and we continue to hold a majority interest therein, subject to additional terms and conditions, we will have a right of first offer on any multi-site mortgage, mezzanine, preferred equity, or other similar financing that is treated as debt to be obtained by BigShots Golf (or any of its affiliates) in connection with the development of BigShots Golf facilities.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our real estate portfolio consisted of the following:</w:t>
      </w:r>
    </w:p>
    <w:p>
      <w:pPr>
        <w:spacing w:after="0" w:line="117"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23 casino assets leased on a triple-net basis to our tenants, Apollo, Caesars, Century Casinos, EBCI, Hard Rock and PENN Entertainment, under nine separate lease agreements;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eighteen casino assets leased on a triple-net basis to our tenants, MGM, Caesars and JACK Entertainment, under three separate lease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loans, representing our investments in seven senior secured and mezzanine loans;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 in unconsolidated affiliate, representing our 50.1% ownership in the BREIT JV, which in turn owns two assets leased to MGM under one master lease agreement;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20" w:type="dxa"/>
            <w:vAlign w:val="bottom"/>
          </w:tcPr>
          <w:p>
            <w:pPr>
              <w:spacing w:after="0"/>
              <w:rPr>
                <w:sz w:val="17"/>
                <w:szCs w:val="17"/>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Investments in leases - sales-type, net </w:t>
            </w:r>
            <w:r>
              <w:rPr>
                <w:rFonts w:ascii="Arial" w:cs="Arial" w:eastAsia="Arial" w:hAnsi="Arial"/>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17,011,585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r>
      <w:tr>
        <w:trPr>
          <w:trHeight w:val="229"/>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Investments in leases - financing receivables, net </w:t>
            </w:r>
            <w:r>
              <w:rPr>
                <w:rFonts w:ascii="Arial" w:cs="Arial" w:eastAsia="Arial" w:hAnsi="Arial"/>
                <w:sz w:val="23"/>
                <w:szCs w:val="23"/>
                <w:i w:val="1"/>
                <w:iCs w:val="1"/>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16,441,616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2,644,824</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33,453,201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15,781,488</w:t>
            </w:r>
          </w:p>
        </w:tc>
      </w:tr>
      <w:tr>
        <w:trPr>
          <w:trHeight w:val="229"/>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Investments in loans,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579,805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498,002</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real estate portfolio</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35,649,796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16,433,066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right="120" w:firstLine="8"/>
        <w:spacing w:after="0" w:line="262" w:lineRule="auto"/>
        <w:tabs>
          <w:tab w:leader="none" w:pos="204"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 As of September 30, 2022 and December 31, 2021, the estimated residual values of the leased properties under our Lease Agreements were $11.4 billion and $3.8 billion,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leases and lease financing receivables: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5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8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1"/>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ind w:right="451"/>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Income from sales-type leases, excluding contingent rent </w:t>
            </w:r>
            <w:r>
              <w:rPr>
                <w:rFonts w:ascii="Arial" w:cs="Arial" w:eastAsia="Arial" w:hAnsi="Arial"/>
                <w:sz w:val="23"/>
                <w:szCs w:val="23"/>
                <w:i w:val="1"/>
                <w:iCs w:val="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1,064,463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870,417</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653,908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180,139</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 excluding contingent 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1,050,556</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1,053,476</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firstLine="8"/>
        <w:spacing w:after="0" w:line="257" w:lineRule="auto"/>
        <w:tabs>
          <w:tab w:leader="none" w:pos="21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September 30, 2022, we have recognized contingent rent from our Margaritaville Lease and Greektown Lease in relation to the variable rent portion of the respective leases and the Caesars Las Vegas Master Lease in relation to the CPI portion of the annual escalator. Refer to the Lease Provisions section below for information regarding contingent rent on each lease.</w:t>
      </w:r>
    </w:p>
    <w:p>
      <w:pPr>
        <w:spacing w:after="0" w:line="2" w:lineRule="exact"/>
        <w:rPr>
          <w:rFonts w:ascii="Arial" w:cs="Arial" w:eastAsia="Arial" w:hAnsi="Arial"/>
          <w:sz w:val="14"/>
          <w:szCs w:val="14"/>
          <w:i w:val="1"/>
          <w:iCs w:val="1"/>
          <w:color w:val="auto"/>
        </w:rPr>
      </w:pPr>
    </w:p>
    <w:p>
      <w:pPr>
        <w:jc w:val="both"/>
        <w:ind w:firstLine="8"/>
        <w:spacing w:after="0" w:line="259" w:lineRule="auto"/>
        <w:tabs>
          <w:tab w:leader="none" w:pos="209"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MGM Master Lease, Harrah’s Call Properties and the JACK Cleveland/Thistledown Lease, all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ind w:firstLine="8"/>
        <w:spacing w:after="0" w:line="283" w:lineRule="auto"/>
        <w:tabs>
          <w:tab w:leader="none" w:pos="20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2022, minimum lease payments owed to us for each of the five succeeding years under sales-type leases and our leases accounted for as financing receivables,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9"/>
              </w:rPr>
              <w:t xml:space="preserve">Minimum Lease Payments </w:t>
            </w:r>
            <w:r>
              <w:rPr>
                <w:rFonts w:ascii="Arial" w:cs="Arial" w:eastAsia="Arial" w:hAnsi="Arial"/>
                <w:sz w:val="21"/>
                <w:szCs w:val="21"/>
                <w:b w:val="1"/>
                <w:bCs w:val="1"/>
                <w:i w:val="1"/>
                <w:iCs w:val="1"/>
                <w:color w:val="auto"/>
                <w:w w:val="89"/>
                <w:vertAlign w:val="superscript"/>
              </w:rPr>
              <w:t>(1) (2)</w:t>
            </w: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4"/>
          </w:tcPr>
          <w:p>
            <w:pPr>
              <w:jc w:val="right"/>
              <w:ind w:right="1692"/>
              <w:spacing w:after="0"/>
              <w:rPr>
                <w:sz w:val="20"/>
                <w:szCs w:val="20"/>
                <w:color w:val="auto"/>
              </w:rPr>
            </w:pPr>
            <w:r>
              <w:rPr>
                <w:rFonts w:ascii="Arial" w:cs="Arial" w:eastAsia="Arial" w:hAnsi="Arial"/>
                <w:sz w:val="16"/>
                <w:szCs w:val="16"/>
                <w:b w:val="1"/>
                <w:bCs w:val="1"/>
                <w:color w:val="auto"/>
              </w:rPr>
              <w:t>Investments in Leases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7"/>
                <w:szCs w:val="17"/>
                <w:color w:val="auto"/>
              </w:rPr>
            </w:pPr>
          </w:p>
        </w:tc>
        <w:tc>
          <w:tcPr>
            <w:tcW w:w="2100" w:type="dxa"/>
            <w:vAlign w:val="bottom"/>
            <w:gridSpan w:val="2"/>
          </w:tcPr>
          <w:p>
            <w:pPr>
              <w:ind w:left="380"/>
              <w:spacing w:after="0" w:line="183" w:lineRule="exact"/>
              <w:rPr>
                <w:sz w:val="20"/>
                <w:szCs w:val="20"/>
                <w:color w:val="auto"/>
              </w:rPr>
            </w:pPr>
            <w:r>
              <w:rPr>
                <w:rFonts w:ascii="Arial" w:cs="Arial" w:eastAsia="Arial" w:hAnsi="Arial"/>
                <w:sz w:val="16"/>
                <w:szCs w:val="16"/>
                <w:b w:val="1"/>
                <w:bCs w:val="1"/>
                <w:color w:val="auto"/>
              </w:rPr>
              <w:t>Sales-Type</w:t>
            </w:r>
          </w:p>
        </w:tc>
        <w:tc>
          <w:tcPr>
            <w:tcW w:w="120" w:type="dxa"/>
            <w:vAlign w:val="bottom"/>
          </w:tcPr>
          <w:p>
            <w:pPr>
              <w:spacing w:after="0"/>
              <w:rPr>
                <w:sz w:val="17"/>
                <w:szCs w:val="17"/>
                <w:color w:val="auto"/>
              </w:rPr>
            </w:pPr>
          </w:p>
        </w:tc>
        <w:tc>
          <w:tcPr>
            <w:tcW w:w="2460" w:type="dxa"/>
            <w:vAlign w:val="bottom"/>
            <w:gridSpan w:val="2"/>
          </w:tcPr>
          <w:p>
            <w:pPr>
              <w:jc w:val="center"/>
              <w:ind w:right="220"/>
              <w:spacing w:after="0" w:line="183" w:lineRule="exact"/>
              <w:rPr>
                <w:sz w:val="20"/>
                <w:szCs w:val="20"/>
                <w:color w:val="auto"/>
              </w:rPr>
            </w:pPr>
            <w:r>
              <w:rPr>
                <w:rFonts w:ascii="Arial" w:cs="Arial" w:eastAsia="Arial" w:hAnsi="Arial"/>
                <w:sz w:val="16"/>
                <w:szCs w:val="16"/>
                <w:b w:val="1"/>
                <w:bCs w:val="1"/>
                <w:color w:val="auto"/>
                <w:w w:val="90"/>
              </w:rPr>
              <w:t>Financing Receivables</w:t>
            </w:r>
          </w:p>
        </w:tc>
        <w:tc>
          <w:tcPr>
            <w:tcW w:w="600" w:type="dxa"/>
            <w:vAlign w:val="bottom"/>
          </w:tcPr>
          <w:p>
            <w:pPr>
              <w:spacing w:after="0"/>
              <w:rPr>
                <w:sz w:val="17"/>
                <w:szCs w:val="17"/>
                <w:color w:val="auto"/>
              </w:rPr>
            </w:pPr>
          </w:p>
        </w:tc>
        <w:tc>
          <w:tcPr>
            <w:tcW w:w="1900" w:type="dxa"/>
            <w:vAlign w:val="bottom"/>
          </w:tcPr>
          <w:p>
            <w:pPr>
              <w:jc w:val="right"/>
              <w:ind w:right="991"/>
              <w:spacing w:after="0" w:line="183"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606,191</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1,344,189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1,103,787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2,447,976</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2,491,475</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1,385,348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1,146,509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2,531,857</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2,573,095</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1,425,272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1,190,145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2,615,417</w:t>
            </w: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56,603,912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86,652,035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143,255,947</w:t>
            </w: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63,863,601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92,658,357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156,521,958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Weighted Average Lease Term </w:t>
            </w:r>
            <w:r>
              <w:rPr>
                <w:rFonts w:ascii="Arial" w:cs="Arial" w:eastAsia="Arial" w:hAnsi="Arial"/>
                <w:sz w:val="21"/>
                <w:szCs w:val="21"/>
                <w:b w:val="1"/>
                <w:bCs w:val="1"/>
                <w:i w:val="1"/>
                <w:iCs w:val="1"/>
                <w:color w:val="auto"/>
                <w:vertAlign w:val="superscript"/>
              </w:rPr>
              <w:t>(2)</w:t>
            </w:r>
          </w:p>
        </w:tc>
        <w:tc>
          <w:tcPr>
            <w:tcW w:w="500" w:type="dxa"/>
            <w:vAlign w:val="bottom"/>
          </w:tcPr>
          <w:p>
            <w:pPr>
              <w:spacing w:after="0"/>
              <w:rPr>
                <w:sz w:val="24"/>
                <w:szCs w:val="24"/>
                <w:color w:val="auto"/>
              </w:rPr>
            </w:pPr>
          </w:p>
        </w:tc>
        <w:tc>
          <w:tcPr>
            <w:tcW w:w="2100" w:type="dxa"/>
            <w:vAlign w:val="bottom"/>
            <w:gridSpan w:val="2"/>
          </w:tcPr>
          <w:p>
            <w:pPr>
              <w:ind w:left="1140"/>
              <w:spacing w:after="0"/>
              <w:rPr>
                <w:sz w:val="20"/>
                <w:szCs w:val="20"/>
                <w:color w:val="auto"/>
              </w:rPr>
            </w:pPr>
            <w:r>
              <w:rPr>
                <w:rFonts w:ascii="Arial" w:cs="Arial" w:eastAsia="Arial" w:hAnsi="Arial"/>
                <w:sz w:val="18"/>
                <w:szCs w:val="18"/>
                <w:color w:val="auto"/>
              </w:rPr>
              <w:t>36.6 years</w:t>
            </w:r>
          </w:p>
        </w:tc>
        <w:tc>
          <w:tcPr>
            <w:tcW w:w="120" w:type="dxa"/>
            <w:vAlign w:val="bottom"/>
          </w:tcPr>
          <w:p>
            <w:pPr>
              <w:spacing w:after="0"/>
              <w:rPr>
                <w:sz w:val="24"/>
                <w:szCs w:val="24"/>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51.1 years</w:t>
            </w:r>
          </w:p>
        </w:tc>
        <w:tc>
          <w:tcPr>
            <w:tcW w:w="6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43.7 years</w:t>
            </w:r>
          </w:p>
        </w:tc>
      </w:tr>
      <w:tr>
        <w:trPr>
          <w:trHeight w:val="195"/>
        </w:trPr>
        <w:tc>
          <w:tcPr>
            <w:tcW w:w="356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above, that may be received under the Lease Agreements.</w:t>
      </w:r>
    </w:p>
    <w:p>
      <w:pPr>
        <w:spacing w:after="0" w:line="14" w:lineRule="exact"/>
        <w:rPr>
          <w:rFonts w:ascii="Arial" w:cs="Arial" w:eastAsia="Arial" w:hAnsi="Arial"/>
          <w:sz w:val="14"/>
          <w:szCs w:val="14"/>
          <w:i w:val="1"/>
          <w:iCs w:val="1"/>
          <w:color w:val="auto"/>
        </w:rPr>
      </w:pPr>
    </w:p>
    <w:p>
      <w:pPr>
        <w:ind w:left="220" w:hanging="212"/>
        <w:spacing w:after="0"/>
        <w:tabs>
          <w:tab w:leader="none" w:pos="22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lease provisions of our Caesars Leases, Venetian Lease, MGM Master Lease, and BREIT JV Lease:</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560" w:type="dxa"/>
            <w:vAlign w:val="bottom"/>
            <w:vMerge w:val="restart"/>
          </w:tcPr>
          <w:p>
            <w:pPr>
              <w:jc w:val="center"/>
              <w:ind w:left="279"/>
              <w:spacing w:after="0"/>
              <w:rPr>
                <w:sz w:val="20"/>
                <w:szCs w:val="20"/>
                <w:color w:val="auto"/>
              </w:rPr>
            </w:pPr>
            <w:r>
              <w:rPr>
                <w:rFonts w:ascii="Arial" w:cs="Arial" w:eastAsia="Arial" w:hAnsi="Arial"/>
                <w:sz w:val="16"/>
                <w:szCs w:val="16"/>
                <w:b w:val="1"/>
                <w:bCs w:val="1"/>
                <w:color w:val="auto"/>
                <w:w w:val="90"/>
              </w:rPr>
              <w:t>Caesars Regional Master</w:t>
            </w: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Caesars Las Vegas</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256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6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Venetian Lease</w:t>
            </w:r>
          </w:p>
        </w:tc>
        <w:tc>
          <w:tcPr>
            <w:tcW w:w="18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MGM Master Lease</w:t>
            </w:r>
          </w:p>
        </w:tc>
        <w:tc>
          <w:tcPr>
            <w:tcW w:w="1400" w:type="dxa"/>
            <w:vAlign w:val="bottom"/>
            <w:vMerge w:val="restart"/>
          </w:tcPr>
          <w:p>
            <w:pPr>
              <w:ind w:left="220"/>
              <w:spacing w:after="0"/>
              <w:rPr>
                <w:sz w:val="20"/>
                <w:szCs w:val="20"/>
                <w:color w:val="auto"/>
              </w:rPr>
            </w:pPr>
            <w:r>
              <w:rPr>
                <w:rFonts w:ascii="Arial" w:cs="Arial" w:eastAsia="Arial" w:hAnsi="Arial"/>
                <w:sz w:val="16"/>
                <w:szCs w:val="16"/>
                <w:b w:val="1"/>
                <w:bCs w:val="1"/>
                <w:color w:val="auto"/>
                <w:w w:val="95"/>
              </w:rPr>
              <w:t>BREIT JV Lease</w:t>
            </w:r>
          </w:p>
        </w:tc>
        <w:tc>
          <w:tcPr>
            <w:tcW w:w="0" w:type="dxa"/>
            <w:vAlign w:val="bottom"/>
          </w:tcPr>
          <w:p>
            <w:pPr>
              <w:spacing w:after="0"/>
              <w:rPr>
                <w:sz w:val="1"/>
                <w:szCs w:val="1"/>
                <w:color w:val="auto"/>
              </w:rPr>
            </w:pPr>
          </w:p>
        </w:tc>
      </w:tr>
      <w:tr>
        <w:trPr>
          <w:trHeight w:val="210"/>
        </w:trPr>
        <w:tc>
          <w:tcPr>
            <w:tcW w:w="1680" w:type="dxa"/>
            <w:vAlign w:val="bottom"/>
            <w:gridSpan w:val="2"/>
            <w:vMerge w:val="continue"/>
          </w:tcPr>
          <w:p>
            <w:pPr>
              <w:spacing w:after="0"/>
              <w:rPr>
                <w:sz w:val="18"/>
                <w:szCs w:val="18"/>
                <w:color w:val="auto"/>
              </w:rPr>
            </w:pPr>
          </w:p>
        </w:tc>
        <w:tc>
          <w:tcPr>
            <w:tcW w:w="25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Lease and Joliet Lease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Master Lease</w:t>
            </w:r>
          </w:p>
        </w:tc>
        <w:tc>
          <w:tcPr>
            <w:tcW w:w="1600" w:type="dxa"/>
            <w:vAlign w:val="bottom"/>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lease year </w:t>
      </w:r>
      <w:r>
        <w:rPr>
          <w:rFonts w:ascii="Arial" w:cs="Arial" w:eastAsia="Arial" w:hAnsi="Arial"/>
          <w:sz w:val="23"/>
          <w:szCs w:val="23"/>
          <w:i w:val="1"/>
          <w:iCs w:val="1"/>
          <w:color w:val="auto"/>
          <w:vertAlign w:val="superscript"/>
        </w:rPr>
        <w:t>(1)</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annual rent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Annual escalator </w:t>
      </w:r>
      <w:r>
        <w:rPr>
          <w:rFonts w:ascii="Arial" w:cs="Arial" w:eastAsia="Arial" w:hAnsi="Arial"/>
          <w:sz w:val="23"/>
          <w:szCs w:val="23"/>
          <w:i w:val="1"/>
          <w:iCs w:val="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Variable rent adjustment </w:t>
      </w:r>
      <w:r>
        <w:rPr>
          <w:rFonts w:ascii="Arial" w:cs="Arial" w:eastAsia="Arial" w:hAnsi="Arial"/>
          <w:sz w:val="19"/>
          <w:szCs w:val="19"/>
          <w:i w:val="1"/>
          <w:iCs w:val="1"/>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right="180"/>
        <w:spacing w:after="0" w:line="317" w:lineRule="auto"/>
        <w:rPr>
          <w:sz w:val="20"/>
          <w:szCs w:val="20"/>
          <w:color w:val="auto"/>
        </w:rPr>
      </w:pPr>
      <w:r>
        <w:rPr>
          <w:rFonts w:ascii="Arial" w:cs="Arial" w:eastAsia="Arial" w:hAnsi="Arial"/>
          <w:sz w:val="16"/>
          <w:szCs w:val="16"/>
          <w:color w:val="auto"/>
        </w:rPr>
        <w:t xml:space="preserve">Variable rent adjustment calculation </w:t>
      </w:r>
      <w:r>
        <w:rPr>
          <w:rFonts w:ascii="Arial" w:cs="Arial" w:eastAsia="Arial" w:hAnsi="Arial"/>
          <w:sz w:val="20"/>
          <w:szCs w:val="20"/>
          <w:i w:val="1"/>
          <w:iCs w:val="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0" w:lineRule="exact"/>
        <w:rPr>
          <w:sz w:val="20"/>
          <w:szCs w:val="20"/>
          <w:color w:val="auto"/>
        </w:rPr>
      </w:pPr>
      <w:r>
        <w:rPr>
          <w:sz w:val="20"/>
          <w:szCs w:val="20"/>
          <w:color w:val="auto"/>
        </w:rPr>
        <w:br w:type="column"/>
      </w:r>
    </w:p>
    <w:p>
      <w:pPr>
        <w:ind w:right="1200" w:firstLine="6"/>
        <w:spacing w:after="0" w:line="359"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years 7/31/2035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11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11/1/21 - 10/31/22 (Lease Year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$649,572 </w:t>
      </w:r>
      <w:r>
        <w:rPr>
          <w:rFonts w:ascii="Arial" w:cs="Arial" w:eastAsia="Arial" w:hAnsi="Arial"/>
          <w:sz w:val="23"/>
          <w:szCs w:val="23"/>
          <w:i w:val="1"/>
          <w:iCs w:val="1"/>
          <w:color w:val="auto"/>
          <w:vertAlign w:val="superscript"/>
        </w:rPr>
        <w:t>(2) (3)</w:t>
      </w:r>
    </w:p>
    <w:p>
      <w:pPr>
        <w:spacing w:after="0" w:line="200" w:lineRule="exact"/>
        <w:rPr>
          <w:sz w:val="20"/>
          <w:szCs w:val="20"/>
          <w:color w:val="auto"/>
        </w:rPr>
      </w:pPr>
    </w:p>
    <w:p>
      <w:pPr>
        <w:spacing w:after="0" w:line="22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Lease years 2-5 - 1.5% Lease years 6-end of term</w:t>
      </w:r>
    </w:p>
    <w:p>
      <w:pPr>
        <w:spacing w:after="0"/>
        <w:rPr>
          <w:sz w:val="20"/>
          <w:szCs w:val="20"/>
          <w:color w:val="auto"/>
        </w:rPr>
      </w:pPr>
      <w:r>
        <w:rPr>
          <w:rFonts w:ascii="Arial" w:cs="Arial" w:eastAsia="Arial" w:hAnsi="Arial"/>
          <w:sz w:val="16"/>
          <w:szCs w:val="16"/>
          <w:color w:val="auto"/>
        </w:rPr>
        <w:t>- CPI subject to 2.0% floor</w:t>
      </w:r>
    </w:p>
    <w:p>
      <w:pPr>
        <w:spacing w:after="0" w:line="296"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70% base rent /</w:t>
      </w:r>
      <w:r>
        <w:rPr>
          <w:rFonts w:ascii="Arial" w:cs="Arial" w:eastAsia="Arial" w:hAnsi="Arial"/>
          <w:sz w:val="16"/>
          <w:szCs w:val="16"/>
          <w:b w:val="1"/>
          <w:bCs w:val="1"/>
          <w:color w:val="auto"/>
        </w:rPr>
        <w:t xml:space="preserve"> </w:t>
      </w:r>
      <w:r>
        <w:rPr>
          <w:rFonts w:ascii="Arial" w:cs="Arial" w:eastAsia="Arial" w:hAnsi="Arial"/>
          <w:sz w:val="16"/>
          <w:szCs w:val="16"/>
          <w:color w:val="auto"/>
        </w:rPr>
        <w:t>30% variable rent</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color w:val="auto"/>
        </w:rPr>
        <w:t>Years 11 &amp; 16</w:t>
      </w:r>
      <w:r>
        <w:rPr>
          <w:rFonts w:ascii="Arial" w:cs="Arial" w:eastAsia="Arial" w:hAnsi="Arial"/>
          <w:sz w:val="16"/>
          <w:szCs w:val="16"/>
          <w:color w:val="auto"/>
        </w:rPr>
        <w:t>: 80% base</w:t>
      </w:r>
      <w:r>
        <w:rPr>
          <w:rFonts w:ascii="Arial" w:cs="Arial" w:eastAsia="Arial" w:hAnsi="Arial"/>
          <w:sz w:val="16"/>
          <w:szCs w:val="16"/>
          <w:b w:val="1"/>
          <w:bCs w:val="1"/>
          <w:color w:val="auto"/>
        </w:rPr>
        <w:t xml:space="preserve"> </w:t>
      </w:r>
      <w:r>
        <w:rPr>
          <w:rFonts w:ascii="Arial" w:cs="Arial" w:eastAsia="Arial" w:hAnsi="Arial"/>
          <w:sz w:val="16"/>
          <w:szCs w:val="16"/>
          <w:color w:val="auto"/>
        </w:rPr>
        <w:t>rent / 20% variable rent</w:t>
      </w:r>
    </w:p>
    <w:p>
      <w:pPr>
        <w:spacing w:after="0" w:line="248" w:lineRule="exact"/>
        <w:rPr>
          <w:sz w:val="20"/>
          <w:szCs w:val="20"/>
          <w:color w:val="auto"/>
        </w:rPr>
      </w:pPr>
    </w:p>
    <w:p>
      <w:pPr>
        <w:ind w:right="620"/>
        <w:spacing w:after="0" w:line="264" w:lineRule="auto"/>
        <w:rPr>
          <w:sz w:val="20"/>
          <w:szCs w:val="20"/>
          <w:color w:val="auto"/>
        </w:rPr>
      </w:pPr>
      <w:r>
        <w:rPr>
          <w:rFonts w:ascii="Arial" w:cs="Arial" w:eastAsia="Arial" w:hAnsi="Arial"/>
          <w:sz w:val="15"/>
          <w:szCs w:val="15"/>
          <w:u w:val="single" w:color="auto"/>
          <w:color w:val="auto"/>
        </w:rPr>
        <w:t>4% of revenue increase/decrease:</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less avg. of years 0-2 </w:t>
      </w:r>
      <w:r>
        <w:rPr>
          <w:rFonts w:ascii="Arial" w:cs="Arial" w:eastAsia="Arial" w:hAnsi="Arial"/>
          <w:sz w:val="16"/>
          <w:szCs w:val="16"/>
          <w:b w:val="1"/>
          <w:bCs w:val="1"/>
          <w:color w:val="auto"/>
        </w:rPr>
        <w:t>Year 11</w:t>
      </w:r>
      <w:r>
        <w:rPr>
          <w:rFonts w:ascii="Arial" w:cs="Arial" w:eastAsia="Arial" w:hAnsi="Arial"/>
          <w:sz w:val="16"/>
          <w:szCs w:val="16"/>
          <w:color w:val="auto"/>
        </w:rPr>
        <w:t>: Avg. of years 8-</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10 less avg. of years 5-7 </w:t>
      </w:r>
      <w:r>
        <w:rPr>
          <w:rFonts w:ascii="Arial" w:cs="Arial" w:eastAsia="Arial" w:hAnsi="Arial"/>
          <w:sz w:val="16"/>
          <w:szCs w:val="16"/>
          <w:b w:val="1"/>
          <w:bCs w:val="1"/>
          <w:color w:val="auto"/>
        </w:rPr>
        <w:t>Year 16</w:t>
      </w:r>
      <w:r>
        <w:rPr>
          <w:rFonts w:ascii="Arial" w:cs="Arial" w:eastAsia="Arial" w:hAnsi="Arial"/>
          <w:sz w:val="16"/>
          <w:szCs w:val="16"/>
          <w:color w:val="auto"/>
        </w:rPr>
        <w:t>: Avg. of years 13-15 less avg. of years 8-10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18 years</w:t>
            </w:r>
          </w:p>
        </w:tc>
        <w:tc>
          <w:tcPr>
            <w:tcW w:w="80" w:type="dxa"/>
            <w:vAlign w:val="bottom"/>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30 years</w:t>
            </w:r>
          </w:p>
        </w:tc>
        <w:tc>
          <w:tcPr>
            <w:tcW w:w="100" w:type="dxa"/>
            <w:vAlign w:val="bottom"/>
          </w:tcPr>
          <w:p>
            <w:pPr>
              <w:spacing w:after="0"/>
              <w:rPr>
                <w:sz w:val="19"/>
                <w:szCs w:val="19"/>
                <w:color w:val="auto"/>
              </w:rPr>
            </w:pPr>
          </w:p>
        </w:tc>
        <w:tc>
          <w:tcPr>
            <w:tcW w:w="1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25 years</w:t>
            </w:r>
          </w:p>
        </w:tc>
        <w:tc>
          <w:tcPr>
            <w:tcW w:w="100" w:type="dxa"/>
            <w:vAlign w:val="bottom"/>
          </w:tcPr>
          <w:p>
            <w:pPr>
              <w:spacing w:after="0"/>
              <w:rPr>
                <w:sz w:val="19"/>
                <w:szCs w:val="19"/>
                <w:color w:val="auto"/>
              </w:rPr>
            </w:pPr>
          </w:p>
        </w:tc>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7/31/2035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2/29/2052</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4/30/2047</w:t>
            </w:r>
          </w:p>
        </w:tc>
        <w:tc>
          <w:tcPr>
            <w:tcW w:w="10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rPr>
              <w:t>2/28/2050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gridSpan w:val="4"/>
            <w:vMerge w:val="restart"/>
          </w:tcPr>
          <w:p>
            <w:pPr>
              <w:spacing w:after="0"/>
              <w:rPr>
                <w:sz w:val="20"/>
                <w:szCs w:val="20"/>
                <w:color w:val="auto"/>
              </w:rPr>
            </w:pPr>
            <w:r>
              <w:rPr>
                <w:rFonts w:ascii="Arial" w:cs="Arial" w:eastAsia="Arial" w:hAnsi="Arial"/>
                <w:sz w:val="18"/>
                <w:szCs w:val="18"/>
                <w:color w:val="auto"/>
              </w:rPr>
              <w:t>Four, five-year terms</w:t>
            </w: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Two, ten-year terms</w:t>
            </w:r>
          </w:p>
        </w:tc>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Three, ten-year</w:t>
            </w: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Two, ten-year terms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color w:val="auto"/>
              </w:rPr>
              <w:t>terms</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8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11/1/21 - 10/31/22</w:t>
            </w:r>
          </w:p>
        </w:tc>
        <w:tc>
          <w:tcPr>
            <w:tcW w:w="80" w:type="dxa"/>
            <w:vAlign w:val="bottom"/>
          </w:tcPr>
          <w:p>
            <w:pPr>
              <w:spacing w:after="0"/>
              <w:rPr>
                <w:sz w:val="16"/>
                <w:szCs w:val="16"/>
                <w:color w:val="auto"/>
              </w:rPr>
            </w:pPr>
          </w:p>
        </w:tc>
        <w:tc>
          <w:tcPr>
            <w:tcW w:w="1640" w:type="dxa"/>
            <w:vAlign w:val="bottom"/>
          </w:tcPr>
          <w:p>
            <w:pPr>
              <w:ind w:left="20"/>
              <w:spacing w:after="0" w:line="189" w:lineRule="exact"/>
              <w:rPr>
                <w:sz w:val="20"/>
                <w:szCs w:val="20"/>
                <w:color w:val="auto"/>
              </w:rPr>
            </w:pPr>
            <w:r>
              <w:rPr>
                <w:rFonts w:ascii="Arial" w:cs="Arial" w:eastAsia="Arial" w:hAnsi="Arial"/>
                <w:sz w:val="18"/>
                <w:szCs w:val="18"/>
                <w:color w:val="auto"/>
              </w:rPr>
              <w:t>2/23/22 - 2/28/23</w:t>
            </w:r>
          </w:p>
        </w:tc>
        <w:tc>
          <w:tcPr>
            <w:tcW w:w="100" w:type="dxa"/>
            <w:vAlign w:val="bottom"/>
          </w:tcPr>
          <w:p>
            <w:pPr>
              <w:spacing w:after="0"/>
              <w:rPr>
                <w:sz w:val="16"/>
                <w:szCs w:val="16"/>
                <w:color w:val="auto"/>
              </w:rPr>
            </w:pPr>
          </w:p>
        </w:tc>
        <w:tc>
          <w:tcPr>
            <w:tcW w:w="1560" w:type="dxa"/>
            <w:vAlign w:val="bottom"/>
          </w:tcPr>
          <w:p>
            <w:pPr>
              <w:ind w:left="20"/>
              <w:spacing w:after="0" w:line="189" w:lineRule="exact"/>
              <w:rPr>
                <w:sz w:val="20"/>
                <w:szCs w:val="20"/>
                <w:color w:val="auto"/>
              </w:rPr>
            </w:pPr>
            <w:r>
              <w:rPr>
                <w:rFonts w:ascii="Arial" w:cs="Arial" w:eastAsia="Arial" w:hAnsi="Arial"/>
                <w:sz w:val="18"/>
                <w:szCs w:val="18"/>
                <w:color w:val="auto"/>
              </w:rPr>
              <w:t>4/29/22-4/30/23</w:t>
            </w:r>
          </w:p>
        </w:tc>
        <w:tc>
          <w:tcPr>
            <w:tcW w:w="100" w:type="dxa"/>
            <w:vAlign w:val="bottom"/>
          </w:tcPr>
          <w:p>
            <w:pPr>
              <w:spacing w:after="0"/>
              <w:rPr>
                <w:sz w:val="16"/>
                <w:szCs w:val="16"/>
                <w:color w:val="auto"/>
              </w:rPr>
            </w:pP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w w:val="91"/>
              </w:rPr>
              <w:t>3/1/22 - 2/28/23 (Lease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(Lease Year 5)</w:t>
            </w: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(Lease Year 1)</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(Lease Year 1)</w:t>
            </w:r>
          </w:p>
        </w:tc>
        <w:tc>
          <w:tcPr>
            <w:tcW w:w="1740" w:type="dxa"/>
            <w:vAlign w:val="bottom"/>
          </w:tcPr>
          <w:p>
            <w:pPr>
              <w:ind w:left="20"/>
              <w:spacing w:after="0"/>
              <w:rPr>
                <w:sz w:val="20"/>
                <w:szCs w:val="20"/>
                <w:color w:val="auto"/>
              </w:rPr>
            </w:pPr>
            <w:r>
              <w:rPr>
                <w:rFonts w:ascii="Arial" w:cs="Arial" w:eastAsia="Arial" w:hAnsi="Arial"/>
                <w:sz w:val="18"/>
                <w:szCs w:val="18"/>
                <w:color w:val="auto"/>
              </w:rPr>
              <w:t>Year 3)</w:t>
            </w:r>
          </w:p>
        </w:tc>
        <w:tc>
          <w:tcPr>
            <w:tcW w:w="0" w:type="dxa"/>
            <w:vAlign w:val="bottom"/>
          </w:tcPr>
          <w:p>
            <w:pPr>
              <w:spacing w:after="0"/>
              <w:rPr>
                <w:sz w:val="1"/>
                <w:szCs w:val="1"/>
                <w:color w:val="auto"/>
              </w:rPr>
            </w:pPr>
          </w:p>
        </w:tc>
      </w:tr>
      <w:tr>
        <w:trPr>
          <w:trHeight w:val="188"/>
        </w:trPr>
        <w:tc>
          <w:tcPr>
            <w:tcW w:w="108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$422,224 </w:t>
            </w:r>
            <w:r>
              <w:rPr>
                <w:rFonts w:ascii="Arial" w:cs="Arial" w:eastAsia="Arial" w:hAnsi="Arial"/>
                <w:sz w:val="23"/>
                <w:szCs w:val="23"/>
                <w:i w:val="1"/>
                <w:iCs w:val="1"/>
                <w:color w:val="auto"/>
                <w:vertAlign w:val="superscript"/>
              </w:rPr>
              <w:t>(3)</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6"/>
                <w:szCs w:val="16"/>
                <w:color w:val="auto"/>
              </w:rPr>
            </w:pPr>
          </w:p>
        </w:tc>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$860,000</w:t>
            </w:r>
          </w:p>
        </w:tc>
        <w:tc>
          <w:tcPr>
            <w:tcW w:w="100" w:type="dxa"/>
            <w:vAlign w:val="bottom"/>
          </w:tcPr>
          <w:p>
            <w:pPr>
              <w:spacing w:after="0"/>
              <w:rPr>
                <w:sz w:val="16"/>
                <w:szCs w:val="16"/>
                <w:color w:val="auto"/>
              </w:rPr>
            </w:pP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$303,800 (VICI’s</w:t>
            </w:r>
          </w:p>
        </w:tc>
        <w:tc>
          <w:tcPr>
            <w:tcW w:w="0" w:type="dxa"/>
            <w:vAlign w:val="bottom"/>
          </w:tcPr>
          <w:p>
            <w:pPr>
              <w:spacing w:after="0"/>
              <w:rPr>
                <w:sz w:val="1"/>
                <w:szCs w:val="1"/>
                <w:color w:val="auto"/>
              </w:rPr>
            </w:pPr>
          </w:p>
        </w:tc>
      </w:tr>
      <w:tr>
        <w:trPr>
          <w:trHeight w:val="188"/>
        </w:trPr>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w w:val="91"/>
              </w:rPr>
              <w:t>50.1% Pro Rata Share: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color w:val="auto"/>
              </w:rPr>
              <w:t>Lease years 2-10 -</w:t>
            </w:r>
          </w:p>
        </w:tc>
        <w:tc>
          <w:tcPr>
            <w:tcW w:w="1740" w:type="dxa"/>
            <w:vAlign w:val="bottom"/>
          </w:tcPr>
          <w:p>
            <w:pPr>
              <w:ind w:left="20"/>
              <w:spacing w:after="0"/>
              <w:rPr>
                <w:sz w:val="20"/>
                <w:szCs w:val="20"/>
                <w:color w:val="auto"/>
              </w:rPr>
            </w:pPr>
            <w:r>
              <w:rPr>
                <w:rFonts w:ascii="Arial" w:cs="Arial" w:eastAsia="Arial" w:hAnsi="Arial"/>
                <w:sz w:val="18"/>
                <w:szCs w:val="18"/>
                <w:color w:val="auto"/>
              </w:rPr>
              <w:t>$152,203)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8"/>
                <w:szCs w:val="18"/>
                <w:color w:val="auto"/>
              </w:rPr>
              <w:t>&gt;2% / change in CPI</w:t>
            </w:r>
          </w:p>
        </w:tc>
        <w:tc>
          <w:tcPr>
            <w:tcW w:w="1660" w:type="dxa"/>
            <w:vAlign w:val="bottom"/>
            <w:gridSpan w:val="2"/>
            <w:vMerge w:val="continue"/>
          </w:tcPr>
          <w:p>
            <w:pPr>
              <w:spacing w:after="0"/>
              <w:rPr>
                <w:sz w:val="15"/>
                <w:szCs w:val="15"/>
                <w:color w:val="auto"/>
              </w:rPr>
            </w:pP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w w:val="93"/>
              </w:rPr>
              <w:t>Lease years 2-15 - 2%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56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4"/>
            <w:vMerge w:val="restart"/>
          </w:tcPr>
          <w:p>
            <w:pPr>
              <w:spacing w:after="0"/>
              <w:rPr>
                <w:sz w:val="20"/>
                <w:szCs w:val="20"/>
                <w:color w:val="auto"/>
              </w:rPr>
            </w:pPr>
            <w:r>
              <w:rPr>
                <w:rFonts w:ascii="Arial" w:cs="Arial" w:eastAsia="Arial" w:hAnsi="Arial"/>
                <w:sz w:val="18"/>
                <w:szCs w:val="18"/>
                <w:color w:val="auto"/>
              </w:rPr>
              <w:t>&gt; 2% / change in CPI</w:t>
            </w:r>
          </w:p>
        </w:tc>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(capped at 3%)</w:t>
            </w:r>
          </w:p>
        </w:tc>
        <w:tc>
          <w:tcPr>
            <w:tcW w:w="16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Lease years 11-end</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w w:val="94"/>
              </w:rPr>
              <w:t>Lease years 16-end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4"/>
            <w:vMerge w:val="continue"/>
          </w:tcPr>
          <w:p>
            <w:pPr>
              <w:spacing w:after="0"/>
              <w:rPr>
                <w:sz w:val="11"/>
                <w:szCs w:val="11"/>
                <w:color w:val="auto"/>
              </w:rPr>
            </w:pPr>
          </w:p>
        </w:tc>
        <w:tc>
          <w:tcPr>
            <w:tcW w:w="17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beginning in Lease</w:t>
            </w:r>
          </w:p>
        </w:tc>
        <w:tc>
          <w:tcPr>
            <w:tcW w:w="16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of term - &gt;2% /</w:t>
            </w:r>
          </w:p>
        </w:tc>
        <w:tc>
          <w:tcPr>
            <w:tcW w:w="1740" w:type="dxa"/>
            <w:vAlign w:val="bottom"/>
            <w:vMerge w:val="restart"/>
          </w:tcPr>
          <w:p>
            <w:pPr>
              <w:ind w:left="20"/>
              <w:spacing w:after="0" w:line="176" w:lineRule="exact"/>
              <w:rPr>
                <w:sz w:val="20"/>
                <w:szCs w:val="20"/>
                <w:color w:val="auto"/>
              </w:rPr>
            </w:pPr>
            <w:r>
              <w:rPr>
                <w:rFonts w:ascii="Arial" w:cs="Arial" w:eastAsia="Arial" w:hAnsi="Arial"/>
                <w:sz w:val="18"/>
                <w:szCs w:val="18"/>
                <w:color w:val="auto"/>
                <w:w w:val="93"/>
              </w:rPr>
              <w:t>term - &gt;2% / change in</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year 2</w:t>
            </w:r>
          </w:p>
        </w:tc>
        <w:tc>
          <w:tcPr>
            <w:tcW w:w="16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change in CPI</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CPI (capped at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(capped at 3%)</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40" w:type="dxa"/>
            <w:vAlign w:val="bottom"/>
            <w:gridSpan w:val="4"/>
          </w:tcPr>
          <w:p>
            <w:pPr>
              <w:spacing w:after="0"/>
              <w:rPr>
                <w:sz w:val="20"/>
                <w:szCs w:val="20"/>
                <w:color w:val="auto"/>
              </w:rPr>
            </w:pPr>
            <w:r>
              <w:rPr>
                <w:rFonts w:ascii="Arial" w:cs="Arial" w:eastAsia="Arial" w:hAnsi="Arial"/>
                <w:sz w:val="18"/>
                <w:szCs w:val="18"/>
                <w:b w:val="1"/>
                <w:bCs w:val="1"/>
                <w:color w:val="auto"/>
                <w:w w:val="99"/>
              </w:rPr>
              <w:t>Years 8, 11 &amp; 16</w:t>
            </w:r>
            <w:r>
              <w:rPr>
                <w:rFonts w:ascii="Arial" w:cs="Arial" w:eastAsia="Arial" w:hAnsi="Arial"/>
                <w:sz w:val="18"/>
                <w:szCs w:val="18"/>
                <w:color w:val="auto"/>
                <w:w w:val="99"/>
              </w:rPr>
              <w:t>: 80%</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4"/>
          </w:tcPr>
          <w:p>
            <w:pPr>
              <w:spacing w:after="0" w:line="189" w:lineRule="exact"/>
              <w:rPr>
                <w:sz w:val="20"/>
                <w:szCs w:val="20"/>
                <w:color w:val="auto"/>
              </w:rPr>
            </w:pPr>
            <w:r>
              <w:rPr>
                <w:rFonts w:ascii="Arial" w:cs="Arial" w:eastAsia="Arial" w:hAnsi="Arial"/>
                <w:sz w:val="18"/>
                <w:szCs w:val="18"/>
                <w:color w:val="auto"/>
              </w:rPr>
              <w:t>base rent / 20%</w:t>
            </w:r>
          </w:p>
        </w:tc>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None</w:t>
            </w:r>
          </w:p>
        </w:tc>
        <w:tc>
          <w:tcPr>
            <w:tcW w:w="16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None</w:t>
            </w:r>
          </w:p>
        </w:tc>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variable rent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840" w:type="dxa"/>
            <w:vAlign w:val="bottom"/>
            <w:gridSpan w:val="4"/>
          </w:tcPr>
          <w:p>
            <w:pPr>
              <w:spacing w:after="0"/>
              <w:rPr>
                <w:sz w:val="20"/>
                <w:szCs w:val="20"/>
                <w:color w:val="auto"/>
              </w:rPr>
            </w:pPr>
            <w:r>
              <w:rPr>
                <w:rFonts w:ascii="Arial" w:cs="Arial" w:eastAsia="Arial" w:hAnsi="Arial"/>
                <w:sz w:val="18"/>
                <w:szCs w:val="18"/>
                <w:color w:val="auto"/>
              </w:rPr>
              <w:t>4% of revenue</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7"/>
                <w:szCs w:val="17"/>
                <w:color w:val="auto"/>
                <w:w w:val="72"/>
              </w:rPr>
              <w:t>increase/decrease:</w:t>
            </w:r>
          </w:p>
        </w:tc>
        <w:tc>
          <w:tcPr>
            <w:tcW w:w="260" w:type="dxa"/>
            <w:vAlign w:val="bottom"/>
            <w:tcBorders>
              <w:bottom w:val="single" w:sz="8" w:color="auto"/>
            </w:tcBorders>
          </w:tcPr>
          <w:p>
            <w:pPr>
              <w:spacing w:after="0"/>
              <w:rPr>
                <w:sz w:val="13"/>
                <w:szCs w:val="13"/>
                <w:color w:val="auto"/>
              </w:rPr>
            </w:pPr>
          </w:p>
        </w:tc>
        <w:tc>
          <w:tcPr>
            <w:tcW w:w="520" w:type="dxa"/>
            <w:vAlign w:val="bottom"/>
            <w:gridSpan w:val="2"/>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40" w:type="dxa"/>
            <w:vAlign w:val="bottom"/>
            <w:gridSpan w:val="4"/>
          </w:tcPr>
          <w:p>
            <w:pPr>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 years</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4"/>
          </w:tcPr>
          <w:p>
            <w:pPr>
              <w:spacing w:after="0" w:line="176" w:lineRule="exact"/>
              <w:rPr>
                <w:sz w:val="20"/>
                <w:szCs w:val="20"/>
                <w:color w:val="auto"/>
              </w:rPr>
            </w:pPr>
            <w:r>
              <w:rPr>
                <w:rFonts w:ascii="Arial" w:cs="Arial" w:eastAsia="Arial" w:hAnsi="Arial"/>
                <w:sz w:val="18"/>
                <w:szCs w:val="18"/>
                <w:color w:val="auto"/>
                <w:w w:val="94"/>
              </w:rPr>
              <w:t>5-7 less avg. of years 0-</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gridSpan w:val="4"/>
          </w:tcPr>
          <w:p>
            <w:pPr>
              <w:spacing w:after="0" w:line="181"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 years</w:t>
            </w:r>
          </w:p>
        </w:tc>
        <w:tc>
          <w:tcPr>
            <w:tcW w:w="17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None</w:t>
            </w:r>
          </w:p>
        </w:tc>
        <w:tc>
          <w:tcPr>
            <w:tcW w:w="16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None</w:t>
            </w:r>
          </w:p>
        </w:tc>
        <w:tc>
          <w:tcPr>
            <w:tcW w:w="1740" w:type="dxa"/>
            <w:vAlign w:val="bottom"/>
          </w:tcPr>
          <w:p>
            <w:pPr>
              <w:ind w:left="20"/>
              <w:spacing w:after="0" w:line="18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4"/>
          </w:tcPr>
          <w:p>
            <w:pPr>
              <w:spacing w:after="0" w:line="176" w:lineRule="exact"/>
              <w:rPr>
                <w:sz w:val="20"/>
                <w:szCs w:val="20"/>
                <w:color w:val="auto"/>
              </w:rPr>
            </w:pPr>
            <w:r>
              <w:rPr>
                <w:rFonts w:ascii="Arial" w:cs="Arial" w:eastAsia="Arial" w:hAnsi="Arial"/>
                <w:sz w:val="18"/>
                <w:szCs w:val="18"/>
                <w:color w:val="auto"/>
              </w:rPr>
              <w:t>8-10 less avg. of years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gridSpan w:val="4"/>
          </w:tcPr>
          <w:p>
            <w:pPr>
              <w:spacing w:after="0" w:line="181" w:lineRule="exact"/>
              <w:rPr>
                <w:sz w:val="20"/>
                <w:szCs w:val="20"/>
                <w:color w:val="auto"/>
              </w:rPr>
            </w:pPr>
            <w:r>
              <w:rPr>
                <w:rFonts w:ascii="Arial" w:cs="Arial" w:eastAsia="Arial" w:hAnsi="Arial"/>
                <w:sz w:val="18"/>
                <w:szCs w:val="18"/>
                <w:b w:val="1"/>
                <w:bCs w:val="1"/>
                <w:color w:val="auto"/>
              </w:rPr>
              <w:t>Year 16</w:t>
            </w:r>
            <w:r>
              <w:rPr>
                <w:rFonts w:ascii="Arial" w:cs="Arial" w:eastAsia="Arial" w:hAnsi="Arial"/>
                <w:sz w:val="18"/>
                <w:szCs w:val="18"/>
                <w:color w:val="auto"/>
              </w:rPr>
              <w:t>: Avg. of years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4"/>
          </w:tcPr>
          <w:p>
            <w:pPr>
              <w:spacing w:after="0" w:line="176" w:lineRule="exact"/>
              <w:rPr>
                <w:sz w:val="20"/>
                <w:szCs w:val="20"/>
                <w:color w:val="auto"/>
              </w:rPr>
            </w:pPr>
            <w:r>
              <w:rPr>
                <w:rFonts w:ascii="Arial" w:cs="Arial" w:eastAsia="Arial" w:hAnsi="Arial"/>
                <w:sz w:val="18"/>
                <w:szCs w:val="18"/>
                <w:color w:val="auto"/>
                <w:w w:val="95"/>
              </w:rPr>
              <w:t>13-15 less avg. of years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-3402965</wp:posOffset>
            </wp:positionV>
            <wp:extent cx="7132320"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-2871470</wp:posOffset>
            </wp:positionV>
            <wp:extent cx="7132320"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-1774190</wp:posOffset>
            </wp:positionV>
            <wp:extent cx="7132320" cy="488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3">
            <w:col w:w="1960" w:space="220"/>
            <w:col w:w="1940" w:space="120"/>
            <w:col w:w="7000"/>
          </w:cols>
          <w:pgMar w:left="320" w:top="287" w:right="339" w:bottom="1440" w:gutter="0" w:footer="0" w:header="0"/>
          <w:type w:val="continuous"/>
        </w:sectPr>
      </w:pPr>
    </w:p>
    <w:p>
      <w:pPr>
        <w:ind w:right="40" w:firstLine="8"/>
        <w:spacing w:after="0" w:line="231" w:lineRule="auto"/>
        <w:tabs>
          <w:tab w:leader="none" w:pos="204"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the Venetian Lease, lease year two will begin on the earlier of (i) March 1, 2024 and (ii) the first day of the first month following the month in which the net revenue of the Venetian Resort for the trailing twelve months equals or exceeds 2019 net revenue, which date can be no earlier than the anniversary of the first lease year (March 1, 2023).</w:t>
      </w:r>
    </w:p>
    <w:p>
      <w:pPr>
        <w:ind w:right="380" w:firstLine="8"/>
        <w:spacing w:after="0" w:line="249" w:lineRule="auto"/>
        <w:tabs>
          <w:tab w:leader="none" w:pos="204"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$641.2 million.</w:t>
      </w:r>
    </w:p>
    <w:p>
      <w:pPr>
        <w:ind w:right="20" w:firstLine="8"/>
        <w:spacing w:after="0" w:line="231" w:lineRule="auto"/>
        <w:tabs>
          <w:tab w:leader="none" w:pos="215"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November 1, 2022, the escalated base rent under the Caesars Regional Master Lease and Joliet Lease will be $703.7 million and the escalated base rent under the Caesars Las Vegas Master lease will be $454.5 million.</w:t>
      </w:r>
    </w:p>
    <w:p>
      <w:pPr>
        <w:jc w:val="both"/>
        <w:ind w:firstLine="8"/>
        <w:spacing w:after="0" w:line="231" w:lineRule="auto"/>
        <w:tabs>
          <w:tab w:leader="none" w:pos="218"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In relation to the Caesars Las Vegas Master Lease, during the three and nine months ended September 30, 2022, we recognized approximately $3.1 million and $9.2 million, respectively, in contingent rent. No such rent has been recognized for the three and nine months ended September 30, 2021. In relation to the Caesars Regional Master Lease, Joliet Lease, Venetian Lease, and MGM Master Lease, no such rent has been recognized for the three and nine months ended September 30, 2022 and 2021.</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PENN Entertainment Leases, Hard Rock Cincinnati Lease, Century Master Lease, JACK Cleveland/Thistledown Lease and Southern Indiana Lease:</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rPr>
              <w:t>JACK</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300" w:type="dxa"/>
            <w:vAlign w:val="bottom"/>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6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4"/>
              </w:rPr>
              <w:t>Hard Rock</w:t>
            </w:r>
          </w:p>
        </w:tc>
        <w:tc>
          <w:tcPr>
            <w:tcW w:w="14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6"/>
              </w:rPr>
              <w:t>Century Master</w:t>
            </w:r>
          </w:p>
        </w:tc>
        <w:tc>
          <w:tcPr>
            <w:tcW w:w="188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1"/>
              </w:rPr>
              <w:t>Cleveland/Thistledown</w:t>
            </w:r>
          </w:p>
        </w:tc>
        <w:tc>
          <w:tcPr>
            <w:tcW w:w="1340" w:type="dxa"/>
            <w:vAlign w:val="bottom"/>
            <w:vMerge w:val="restart"/>
          </w:tcPr>
          <w:p>
            <w:pPr>
              <w:jc w:val="center"/>
              <w:ind w:left="39"/>
              <w:spacing w:after="0" w:line="162" w:lineRule="exact"/>
              <w:rPr>
                <w:sz w:val="20"/>
                <w:szCs w:val="20"/>
                <w:color w:val="auto"/>
              </w:rPr>
            </w:pPr>
            <w:r>
              <w:rPr>
                <w:rFonts w:ascii="Arial" w:cs="Arial" w:eastAsia="Arial" w:hAnsi="Arial"/>
                <w:sz w:val="16"/>
                <w:szCs w:val="16"/>
                <w:b w:val="1"/>
                <w:bCs w:val="1"/>
                <w:color w:val="auto"/>
                <w:w w:val="93"/>
              </w:rPr>
              <w:t>Southern Indiana</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Provision</w:t>
            </w:r>
          </w:p>
        </w:tc>
        <w:tc>
          <w:tcPr>
            <w:tcW w:w="18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Margaritaville Lease</w:t>
            </w:r>
          </w:p>
        </w:tc>
        <w:tc>
          <w:tcPr>
            <w:tcW w:w="16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Greektown Lease</w:t>
            </w:r>
          </w:p>
        </w:tc>
        <w:tc>
          <w:tcPr>
            <w:tcW w:w="16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0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Cincinnati Lease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Lease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3"/>
              </w:rPr>
              <w:t>Lease</w:t>
            </w:r>
          </w:p>
        </w:tc>
        <w:tc>
          <w:tcPr>
            <w:tcW w:w="1340" w:type="dxa"/>
            <w:vAlign w:val="bottom"/>
          </w:tcPr>
          <w:p>
            <w:pPr>
              <w:jc w:val="center"/>
              <w:ind w:left="39"/>
              <w:spacing w:after="0"/>
              <w:rPr>
                <w:sz w:val="20"/>
                <w:szCs w:val="20"/>
                <w:color w:val="auto"/>
              </w:rPr>
            </w:pPr>
            <w:r>
              <w:rPr>
                <w:rFonts w:ascii="Arial" w:cs="Arial" w:eastAsia="Arial" w:hAnsi="Arial"/>
                <w:sz w:val="16"/>
                <w:szCs w:val="16"/>
                <w:b w:val="1"/>
                <w:bCs w:val="1"/>
                <w:color w:val="auto"/>
                <w:w w:val="83"/>
              </w:rPr>
              <w:t>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tbl>
      <w:tblPr>
        <w:tblLayout w:type="fixed"/>
        <w:tblInd w:w="0" w:type="dxa"/>
        <w:tblCellMar>
          <w:top w:w="0" w:type="dxa"/>
          <w:left w:w="0" w:type="dxa"/>
          <w:bottom w:w="0" w:type="dxa"/>
          <w:right w:w="0" w:type="dxa"/>
        </w:tblCellMar>
      </w:tblPr>
      <w:tr>
        <w:trPr>
          <w:trHeight w:val="228"/>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Initial term</w:t>
            </w:r>
          </w:p>
        </w:tc>
        <w:tc>
          <w:tcPr>
            <w:tcW w:w="80" w:type="dxa"/>
            <w:vAlign w:val="bottom"/>
          </w:tcPr>
          <w:p>
            <w:pPr>
              <w:spacing w:after="0"/>
              <w:rPr>
                <w:sz w:val="19"/>
                <w:szCs w:val="19"/>
                <w:color w:val="auto"/>
              </w:rPr>
            </w:pPr>
          </w:p>
        </w:tc>
        <w:tc>
          <w:tcPr>
            <w:tcW w:w="1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80" w:type="dxa"/>
            <w:vAlign w:val="bottom"/>
          </w:tcPr>
          <w:p>
            <w:pPr>
              <w:spacing w:after="0"/>
              <w:rPr>
                <w:sz w:val="19"/>
                <w:szCs w:val="19"/>
                <w:color w:val="auto"/>
              </w:rPr>
            </w:pPr>
          </w:p>
        </w:tc>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176"/>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Initial term</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1/31/2034</w:t>
            </w:r>
          </w:p>
        </w:tc>
        <w:tc>
          <w:tcPr>
            <w:tcW w:w="80" w:type="dxa"/>
            <w:vAlign w:val="bottom"/>
          </w:tcPr>
          <w:p>
            <w:pPr>
              <w:spacing w:after="0"/>
              <w:rPr>
                <w:sz w:val="15"/>
                <w:szCs w:val="15"/>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5/31/2034</w:t>
            </w:r>
          </w:p>
        </w:tc>
        <w:tc>
          <w:tcPr>
            <w:tcW w:w="0" w:type="dxa"/>
            <w:vAlign w:val="bottom"/>
          </w:tcPr>
          <w:p>
            <w:pPr>
              <w:spacing w:after="0"/>
              <w:rPr>
                <w:sz w:val="1"/>
                <w:szCs w:val="1"/>
                <w:color w:val="auto"/>
              </w:rPr>
            </w:pPr>
          </w:p>
        </w:tc>
      </w:tr>
      <w:tr>
        <w:trPr>
          <w:trHeight w:val="148"/>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maturity</w:t>
            </w: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1380" w:type="dxa"/>
            <w:vAlign w:val="bottom"/>
          </w:tcPr>
          <w:p>
            <w:pPr>
              <w:ind w:left="20"/>
              <w:spacing w:after="0"/>
              <w:rPr>
                <w:sz w:val="20"/>
                <w:szCs w:val="20"/>
                <w:color w:val="auto"/>
              </w:rPr>
            </w:pPr>
            <w:r>
              <w:rPr>
                <w:rFonts w:ascii="Arial" w:cs="Arial" w:eastAsia="Arial" w:hAnsi="Arial"/>
                <w:sz w:val="18"/>
                <w:szCs w:val="18"/>
                <w:color w:val="auto"/>
              </w:rPr>
              <w:t>Renewal terms</w:t>
            </w:r>
          </w:p>
        </w:tc>
        <w:tc>
          <w:tcPr>
            <w:tcW w:w="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w w:val="97"/>
              </w:rPr>
              <w:t>Four, five-year terms</w:t>
            </w:r>
          </w:p>
        </w:tc>
        <w:tc>
          <w:tcPr>
            <w:tcW w:w="1640" w:type="dxa"/>
            <w:vAlign w:val="bottom"/>
          </w:tcPr>
          <w:p>
            <w:pPr>
              <w:ind w:left="20"/>
              <w:spacing w:after="0"/>
              <w:rPr>
                <w:sz w:val="20"/>
                <w:szCs w:val="20"/>
                <w:color w:val="auto"/>
              </w:rPr>
            </w:pPr>
            <w:r>
              <w:rPr>
                <w:rFonts w:ascii="Arial" w:cs="Arial" w:eastAsia="Arial" w:hAnsi="Arial"/>
                <w:sz w:val="18"/>
                <w:szCs w:val="18"/>
                <w:color w:val="auto"/>
                <w:w w:val="96"/>
              </w:rPr>
              <w:t>Four, five-year terms</w:t>
            </w:r>
          </w:p>
        </w:tc>
        <w:tc>
          <w:tcPr>
            <w:tcW w:w="0" w:type="dxa"/>
            <w:vAlign w:val="bottom"/>
          </w:tcPr>
          <w:p>
            <w:pPr>
              <w:spacing w:after="0"/>
              <w:rPr>
                <w:sz w:val="1"/>
                <w:szCs w:val="1"/>
                <w:color w:val="auto"/>
              </w:rPr>
            </w:pPr>
          </w:p>
        </w:tc>
      </w:tr>
      <w:tr>
        <w:trPr>
          <w:trHeight w:val="270"/>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w w:val="90"/>
              </w:rPr>
              <w:t>Current lease year</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2/1/22 - 1/31/23</w:t>
            </w:r>
          </w:p>
        </w:tc>
        <w:tc>
          <w:tcPr>
            <w:tcW w:w="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6/1/22 - 5/31/23</w:t>
            </w:r>
          </w:p>
        </w:tc>
        <w:tc>
          <w:tcPr>
            <w:tcW w:w="0" w:type="dxa"/>
            <w:vAlign w:val="bottom"/>
          </w:tcPr>
          <w:p>
            <w:pPr>
              <w:spacing w:after="0"/>
              <w:rPr>
                <w:sz w:val="1"/>
                <w:szCs w:val="1"/>
                <w:color w:val="auto"/>
              </w:rPr>
            </w:pPr>
          </w:p>
        </w:tc>
      </w:tr>
      <w:tr>
        <w:trPr>
          <w:trHeight w:val="230"/>
        </w:trPr>
        <w:tc>
          <w:tcPr>
            <w:tcW w:w="13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(Lease Year 4)</w:t>
            </w:r>
          </w:p>
        </w:tc>
        <w:tc>
          <w:tcPr>
            <w:tcW w:w="1640" w:type="dxa"/>
            <w:vAlign w:val="bottom"/>
          </w:tcPr>
          <w:p>
            <w:pPr>
              <w:ind w:left="20"/>
              <w:spacing w:after="0"/>
              <w:rPr>
                <w:sz w:val="20"/>
                <w:szCs w:val="20"/>
                <w:color w:val="auto"/>
              </w:rPr>
            </w:pPr>
            <w:r>
              <w:rPr>
                <w:rFonts w:ascii="Arial" w:cs="Arial" w:eastAsia="Arial" w:hAnsi="Arial"/>
                <w:sz w:val="18"/>
                <w:szCs w:val="18"/>
                <w:color w:val="auto"/>
              </w:rPr>
              <w:t>(Lease Year 4)</w:t>
            </w: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line="189" w:lineRule="exact"/>
              <w:rPr>
                <w:sz w:val="20"/>
                <w:szCs w:val="20"/>
                <w:color w:val="auto"/>
              </w:rPr>
            </w:pPr>
            <w:r>
              <w:rPr>
                <w:rFonts w:ascii="Arial" w:cs="Arial" w:eastAsia="Arial" w:hAnsi="Arial"/>
                <w:sz w:val="18"/>
                <w:szCs w:val="18"/>
                <w:color w:val="auto"/>
              </w:rPr>
              <w:t>Current annual</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$23,813</w:t>
            </w:r>
          </w:p>
        </w:tc>
        <w:tc>
          <w:tcPr>
            <w:tcW w:w="80" w:type="dxa"/>
            <w:vAlign w:val="bottom"/>
          </w:tcPr>
          <w:p>
            <w:pPr>
              <w:spacing w:after="0"/>
              <w:rPr>
                <w:sz w:val="16"/>
                <w:szCs w:val="16"/>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148"/>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rent</w:t>
            </w: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1380" w:type="dxa"/>
            <w:vAlign w:val="bottom"/>
          </w:tcPr>
          <w:p>
            <w:pPr>
              <w:ind w:left="20"/>
              <w:spacing w:after="0"/>
              <w:rPr>
                <w:sz w:val="20"/>
                <w:szCs w:val="20"/>
                <w:color w:val="auto"/>
              </w:rPr>
            </w:pPr>
            <w:r>
              <w:rPr>
                <w:rFonts w:ascii="Arial" w:cs="Arial" w:eastAsia="Arial" w:hAnsi="Arial"/>
                <w:sz w:val="18"/>
                <w:szCs w:val="18"/>
                <w:color w:val="auto"/>
                <w:w w:val="99"/>
              </w:rPr>
              <w:t>Annual escalator</w:t>
            </w:r>
          </w:p>
        </w:tc>
        <w:tc>
          <w:tcPr>
            <w:tcW w:w="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2% of Building base</w:t>
            </w:r>
          </w:p>
        </w:tc>
        <w:tc>
          <w:tcPr>
            <w:tcW w:w="1640" w:type="dxa"/>
            <w:vAlign w:val="bottom"/>
          </w:tcPr>
          <w:p>
            <w:pPr>
              <w:ind w:left="20"/>
              <w:spacing w:after="0"/>
              <w:rPr>
                <w:sz w:val="20"/>
                <w:szCs w:val="20"/>
                <w:color w:val="auto"/>
              </w:rPr>
            </w:pPr>
            <w:r>
              <w:rPr>
                <w:rFonts w:ascii="Arial" w:cs="Arial" w:eastAsia="Arial" w:hAnsi="Arial"/>
                <w:sz w:val="18"/>
                <w:szCs w:val="18"/>
                <w:color w:val="auto"/>
              </w:rPr>
              <w:t>2% of Building base</w:t>
            </w: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Arial" w:cs="Arial" w:eastAsia="Arial" w:hAnsi="Arial"/>
                <w:sz w:val="12"/>
                <w:szCs w:val="12"/>
                <w:i w:val="1"/>
                <w:iCs w:val="1"/>
                <w:color w:val="auto"/>
              </w:rPr>
              <w:t>(1)</w:t>
            </w:r>
          </w:p>
        </w:tc>
        <w:tc>
          <w:tcPr>
            <w:tcW w:w="80" w:type="dxa"/>
            <w:vAlign w:val="bottom"/>
          </w:tcPr>
          <w:p>
            <w:pPr>
              <w:spacing w:after="0"/>
              <w:rPr>
                <w:sz w:val="11"/>
                <w:szCs w:val="11"/>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8"/>
                <w:szCs w:val="18"/>
                <w:color w:val="auto"/>
              </w:rPr>
              <w:t>rent ($17.2 million)</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rent ($42.8 million)</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8" w:right="600" w:hanging="8"/>
        <w:spacing w:after="0" w:line="422" w:lineRule="auto"/>
        <w:tabs>
          <w:tab w:leader="none" w:pos="2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years 9/30/2034</w:t>
      </w:r>
    </w:p>
    <w:p>
      <w:pPr>
        <w:spacing w:after="0" w:line="1" w:lineRule="exact"/>
        <w:rPr>
          <w:sz w:val="20"/>
          <w:szCs w:val="20"/>
          <w:color w:val="auto"/>
        </w:rPr>
      </w:pPr>
    </w:p>
    <w:p>
      <w:pPr>
        <w:ind w:left="8" w:right="260"/>
        <w:spacing w:after="0" w:line="235" w:lineRule="auto"/>
        <w:rPr>
          <w:sz w:val="20"/>
          <w:szCs w:val="20"/>
          <w:color w:val="auto"/>
        </w:rPr>
      </w:pPr>
      <w:r>
        <w:rPr>
          <w:rFonts w:ascii="Arial" w:cs="Arial" w:eastAsia="Arial" w:hAnsi="Arial"/>
          <w:sz w:val="18"/>
          <w:szCs w:val="18"/>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-256540</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 w:right="80"/>
        <w:spacing w:after="0" w:line="289" w:lineRule="auto"/>
        <w:rPr>
          <w:sz w:val="20"/>
          <w:szCs w:val="20"/>
          <w:color w:val="auto"/>
        </w:rPr>
      </w:pPr>
      <w:r>
        <w:rPr>
          <w:rFonts w:ascii="Arial" w:cs="Arial" w:eastAsia="Arial" w:hAnsi="Arial"/>
          <w:sz w:val="16"/>
          <w:szCs w:val="16"/>
          <w:color w:val="auto"/>
        </w:rPr>
        <w:t>10/1/22 - 9/30/23 (Lease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-14605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50" w:lineRule="exact"/>
        <w:rPr>
          <w:sz w:val="20"/>
          <w:szCs w:val="20"/>
          <w:color w:val="auto"/>
        </w:rPr>
      </w:pPr>
    </w:p>
    <w:p>
      <w:pPr>
        <w:ind w:left="8"/>
        <w:spacing w:after="0"/>
        <w:rPr>
          <w:sz w:val="20"/>
          <w:szCs w:val="20"/>
          <w:color w:val="auto"/>
        </w:rPr>
      </w:pPr>
      <w:r>
        <w:rPr>
          <w:rFonts w:ascii="Arial" w:cs="Arial" w:eastAsia="Arial" w:hAnsi="Arial"/>
          <w:sz w:val="18"/>
          <w:szCs w:val="18"/>
          <w:color w:val="auto"/>
        </w:rPr>
        <w:t>$44,703</w:t>
      </w:r>
    </w:p>
    <w:p>
      <w:pPr>
        <w:spacing w:after="0" w:line="198" w:lineRule="exact"/>
        <w:rPr>
          <w:sz w:val="20"/>
          <w:szCs w:val="20"/>
          <w:color w:val="auto"/>
        </w:rPr>
      </w:pPr>
    </w:p>
    <w:p>
      <w:pPr>
        <w:ind w:left="8" w:right="100"/>
        <w:spacing w:after="0" w:line="220" w:lineRule="auto"/>
        <w:rPr>
          <w:sz w:val="20"/>
          <w:szCs w:val="20"/>
          <w:color w:val="auto"/>
        </w:rPr>
      </w:pPr>
      <w:r>
        <w:rPr>
          <w:rFonts w:ascii="Arial" w:cs="Arial" w:eastAsia="Arial" w:hAnsi="Arial"/>
          <w:sz w:val="18"/>
          <w:szCs w:val="18"/>
          <w:color w:val="auto"/>
        </w:rPr>
        <w:t>Lease years 2-4 - 1.5%</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Lease years 5-15 -</w:t>
      </w:r>
    </w:p>
    <w:p>
      <w:pPr>
        <w:spacing w:after="0" w:line="3" w:lineRule="exact"/>
        <w:rPr>
          <w:sz w:val="20"/>
          <w:szCs w:val="20"/>
          <w:color w:val="auto"/>
        </w:rPr>
      </w:pPr>
    </w:p>
    <w:p>
      <w:pPr>
        <w:ind w:left="8" w:right="100" w:hanging="8"/>
        <w:spacing w:after="0"/>
        <w:tabs>
          <w:tab w:leader="none" w:pos="1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2% / change in CPI </w:t>
      </w:r>
      <w:r>
        <w:rPr>
          <w:rFonts w:ascii="Arial" w:cs="Arial" w:eastAsia="Arial" w:hAnsi="Arial"/>
          <w:sz w:val="23"/>
          <w:szCs w:val="23"/>
          <w:i w:val="1"/>
          <w:iCs w:val="1"/>
          <w:color w:val="auto"/>
          <w:vertAlign w:val="superscript"/>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Pr>
          <w:p>
            <w:pPr>
              <w:spacing w:after="0"/>
              <w:rPr>
                <w:sz w:val="20"/>
                <w:szCs w:val="20"/>
                <w:color w:val="auto"/>
              </w:rPr>
            </w:pPr>
          </w:p>
        </w:tc>
        <w:tc>
          <w:tcPr>
            <w:tcW w:w="1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 years</w:t>
            </w:r>
          </w:p>
        </w:tc>
        <w:tc>
          <w:tcPr>
            <w:tcW w:w="100" w:type="dxa"/>
            <w:vAlign w:val="bottom"/>
          </w:tcPr>
          <w:p>
            <w:pPr>
              <w:spacing w:after="0"/>
              <w:rPr>
                <w:sz w:val="20"/>
                <w:szCs w:val="20"/>
                <w:color w:val="auto"/>
              </w:rPr>
            </w:pPr>
          </w:p>
        </w:tc>
        <w:tc>
          <w:tcPr>
            <w:tcW w:w="1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322"/>
        </w:trPr>
        <w:tc>
          <w:tcPr>
            <w:tcW w:w="1480" w:type="dxa"/>
            <w:vAlign w:val="bottom"/>
          </w:tcPr>
          <w:p>
            <w:pPr>
              <w:ind w:left="20"/>
              <w:spacing w:after="0"/>
              <w:rPr>
                <w:sz w:val="20"/>
                <w:szCs w:val="20"/>
                <w:color w:val="auto"/>
              </w:rPr>
            </w:pPr>
            <w:r>
              <w:rPr>
                <w:rFonts w:ascii="Arial" w:cs="Arial" w:eastAsia="Arial" w:hAnsi="Arial"/>
                <w:sz w:val="18"/>
                <w:szCs w:val="18"/>
                <w:color w:val="auto"/>
              </w:rPr>
              <w:t>12/31/2034</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1/31/2040</w:t>
            </w:r>
          </w:p>
        </w:tc>
        <w:tc>
          <w:tcPr>
            <w:tcW w:w="10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rPr>
              <w:t>8/31/2036</w:t>
            </w:r>
          </w:p>
        </w:tc>
        <w:tc>
          <w:tcPr>
            <w:tcW w:w="0" w:type="dxa"/>
            <w:vAlign w:val="bottom"/>
          </w:tcPr>
          <w:p>
            <w:pPr>
              <w:spacing w:after="0"/>
              <w:rPr>
                <w:sz w:val="1"/>
                <w:szCs w:val="1"/>
                <w:color w:val="auto"/>
              </w:rPr>
            </w:pPr>
          </w:p>
        </w:tc>
      </w:tr>
      <w:tr>
        <w:trPr>
          <w:trHeight w:val="27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Four, five-year</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Three, five-year</w:t>
            </w:r>
          </w:p>
        </w:tc>
        <w:tc>
          <w:tcPr>
            <w:tcW w:w="1500" w:type="dxa"/>
            <w:vAlign w:val="bottom"/>
          </w:tcPr>
          <w:p>
            <w:pPr>
              <w:ind w:left="20"/>
              <w:spacing w:after="0"/>
              <w:rPr>
                <w:sz w:val="20"/>
                <w:szCs w:val="20"/>
                <w:color w:val="auto"/>
              </w:rPr>
            </w:pPr>
            <w:r>
              <w:rPr>
                <w:rFonts w:ascii="Arial" w:cs="Arial" w:eastAsia="Arial" w:hAnsi="Arial"/>
                <w:sz w:val="18"/>
                <w:szCs w:val="18"/>
                <w:color w:val="auto"/>
              </w:rPr>
              <w:t>Four, five-year</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terms</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terms</w:t>
            </w:r>
          </w:p>
        </w:tc>
        <w:tc>
          <w:tcPr>
            <w:tcW w:w="1500" w:type="dxa"/>
            <w:vAlign w:val="bottom"/>
          </w:tcPr>
          <w:p>
            <w:pPr>
              <w:ind w:left="20"/>
              <w:spacing w:after="0"/>
              <w:rPr>
                <w:sz w:val="20"/>
                <w:szCs w:val="20"/>
                <w:color w:val="auto"/>
              </w:rPr>
            </w:pPr>
            <w:r>
              <w:rPr>
                <w:rFonts w:ascii="Arial" w:cs="Arial" w:eastAsia="Arial" w:hAnsi="Arial"/>
                <w:sz w:val="18"/>
                <w:szCs w:val="18"/>
                <w:color w:val="auto"/>
              </w:rPr>
              <w:t>terms</w:t>
            </w: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line="189" w:lineRule="exact"/>
              <w:rPr>
                <w:sz w:val="20"/>
                <w:szCs w:val="20"/>
                <w:color w:val="auto"/>
              </w:rPr>
            </w:pPr>
            <w:r>
              <w:rPr>
                <w:rFonts w:ascii="Arial" w:cs="Arial" w:eastAsia="Arial" w:hAnsi="Arial"/>
                <w:sz w:val="18"/>
                <w:szCs w:val="18"/>
                <w:color w:val="auto"/>
              </w:rPr>
              <w:t>1/1/22 - 12/31/22</w:t>
            </w:r>
          </w:p>
        </w:tc>
        <w:tc>
          <w:tcPr>
            <w:tcW w:w="100" w:type="dxa"/>
            <w:vAlign w:val="bottom"/>
          </w:tcPr>
          <w:p>
            <w:pPr>
              <w:spacing w:after="0"/>
              <w:rPr>
                <w:sz w:val="16"/>
                <w:szCs w:val="16"/>
                <w:color w:val="auto"/>
              </w:rPr>
            </w:pPr>
          </w:p>
        </w:tc>
        <w:tc>
          <w:tcPr>
            <w:tcW w:w="1620" w:type="dxa"/>
            <w:vAlign w:val="bottom"/>
          </w:tcPr>
          <w:p>
            <w:pPr>
              <w:ind w:left="20"/>
              <w:spacing w:after="0" w:line="189" w:lineRule="exact"/>
              <w:rPr>
                <w:sz w:val="20"/>
                <w:szCs w:val="20"/>
                <w:color w:val="auto"/>
              </w:rPr>
            </w:pPr>
            <w:r>
              <w:rPr>
                <w:rFonts w:ascii="Arial" w:cs="Arial" w:eastAsia="Arial" w:hAnsi="Arial"/>
                <w:sz w:val="18"/>
                <w:szCs w:val="18"/>
                <w:color w:val="auto"/>
              </w:rPr>
              <w:t>2/1/22 - 1/31/23</w:t>
            </w:r>
          </w:p>
        </w:tc>
        <w:tc>
          <w:tcPr>
            <w:tcW w:w="100" w:type="dxa"/>
            <w:vAlign w:val="bottom"/>
          </w:tcPr>
          <w:p>
            <w:pPr>
              <w:spacing w:after="0"/>
              <w:rPr>
                <w:sz w:val="16"/>
                <w:szCs w:val="16"/>
                <w:color w:val="auto"/>
              </w:rPr>
            </w:pPr>
          </w:p>
        </w:tc>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9/1/22 - 8/31/23</w:t>
            </w: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(Lease Year 3)</w:t>
            </w: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(Lease Year 3)</w:t>
            </w:r>
          </w:p>
        </w:tc>
        <w:tc>
          <w:tcPr>
            <w:tcW w:w="1500" w:type="dxa"/>
            <w:vAlign w:val="bottom"/>
          </w:tcPr>
          <w:p>
            <w:pPr>
              <w:ind w:left="20"/>
              <w:spacing w:after="0"/>
              <w:rPr>
                <w:sz w:val="20"/>
                <w:szCs w:val="20"/>
                <w:color w:val="auto"/>
              </w:rPr>
            </w:pPr>
            <w:r>
              <w:rPr>
                <w:rFonts w:ascii="Arial" w:cs="Arial" w:eastAsia="Arial" w:hAnsi="Arial"/>
                <w:sz w:val="18"/>
                <w:szCs w:val="18"/>
                <w:color w:val="auto"/>
              </w:rPr>
              <w:t>(Lease Year 2)</w:t>
            </w:r>
          </w:p>
        </w:tc>
        <w:tc>
          <w:tcPr>
            <w:tcW w:w="0" w:type="dxa"/>
            <w:vAlign w:val="bottom"/>
          </w:tcPr>
          <w:p>
            <w:pPr>
              <w:spacing w:after="0"/>
              <w:rPr>
                <w:sz w:val="1"/>
                <w:szCs w:val="1"/>
                <w:color w:val="auto"/>
              </w:rPr>
            </w:pPr>
          </w:p>
        </w:tc>
      </w:tr>
      <w:tr>
        <w:trPr>
          <w:trHeight w:val="337"/>
        </w:trPr>
        <w:tc>
          <w:tcPr>
            <w:tcW w:w="1480" w:type="dxa"/>
            <w:vAlign w:val="bottom"/>
          </w:tcPr>
          <w:p>
            <w:pPr>
              <w:ind w:left="20"/>
              <w:spacing w:after="0"/>
              <w:rPr>
                <w:sz w:val="20"/>
                <w:szCs w:val="20"/>
                <w:color w:val="auto"/>
              </w:rPr>
            </w:pPr>
            <w:r>
              <w:rPr>
                <w:rFonts w:ascii="Arial" w:cs="Arial" w:eastAsia="Arial" w:hAnsi="Arial"/>
                <w:sz w:val="18"/>
                <w:szCs w:val="18"/>
                <w:color w:val="auto"/>
              </w:rPr>
              <w:t>$25,503</w:t>
            </w:r>
          </w:p>
        </w:tc>
        <w:tc>
          <w:tcPr>
            <w:tcW w:w="10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$68,704</w:t>
            </w:r>
          </w:p>
        </w:tc>
        <w:tc>
          <w:tcPr>
            <w:tcW w:w="100" w:type="dxa"/>
            <w:vAlign w:val="bottom"/>
          </w:tcPr>
          <w:p>
            <w:pPr>
              <w:spacing w:after="0"/>
              <w:rPr>
                <w:sz w:val="24"/>
                <w:szCs w:val="24"/>
                <w:color w:val="auto"/>
              </w:rPr>
            </w:pPr>
          </w:p>
        </w:tc>
        <w:tc>
          <w:tcPr>
            <w:tcW w:w="1500" w:type="dxa"/>
            <w:vAlign w:val="bottom"/>
          </w:tcPr>
          <w:p>
            <w:pPr>
              <w:ind w:left="20"/>
              <w:spacing w:after="0"/>
              <w:rPr>
                <w:sz w:val="20"/>
                <w:szCs w:val="20"/>
                <w:color w:val="auto"/>
              </w:rPr>
            </w:pPr>
            <w:r>
              <w:rPr>
                <w:rFonts w:ascii="Arial" w:cs="Arial" w:eastAsia="Arial" w:hAnsi="Arial"/>
                <w:sz w:val="18"/>
                <w:szCs w:val="18"/>
                <w:color w:val="auto"/>
              </w:rPr>
              <w:t>$32,988</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Lease year 3 - 1.0%</w:t>
            </w:r>
          </w:p>
        </w:tc>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Lease years 2-5 -</w:t>
            </w:r>
          </w:p>
        </w:tc>
        <w:tc>
          <w:tcPr>
            <w:tcW w:w="0" w:type="dxa"/>
            <w:vAlign w:val="bottom"/>
          </w:tcPr>
          <w:p>
            <w:pPr>
              <w:spacing w:after="0"/>
              <w:rPr>
                <w:sz w:val="1"/>
                <w:szCs w:val="1"/>
                <w:color w:val="auto"/>
              </w:rPr>
            </w:pPr>
          </w:p>
        </w:tc>
      </w:tr>
      <w:tr>
        <w:trPr>
          <w:trHeight w:val="81"/>
        </w:trPr>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Lease years 2-3 -</w:t>
            </w:r>
          </w:p>
        </w:tc>
        <w:tc>
          <w:tcPr>
            <w:tcW w:w="17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Lease years 4-6 -</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5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50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94"/>
        </w:trPr>
        <w:tc>
          <w:tcPr>
            <w:tcW w:w="148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8"/>
                <w:szCs w:val="8"/>
                <w:color w:val="auto"/>
              </w:rPr>
            </w:pPr>
          </w:p>
        </w:tc>
        <w:tc>
          <w:tcPr>
            <w:tcW w:w="1620" w:type="dxa"/>
            <w:vAlign w:val="bottom"/>
            <w:vMerge w:val="restart"/>
          </w:tcPr>
          <w:p>
            <w:pPr>
              <w:ind w:left="20"/>
              <w:spacing w:after="0" w:line="189"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vMerge w:val="restart"/>
          </w:tcPr>
          <w:p>
            <w:pPr>
              <w:ind w:left="20"/>
              <w:spacing w:after="0" w:line="176" w:lineRule="exact"/>
              <w:rPr>
                <w:sz w:val="20"/>
                <w:szCs w:val="20"/>
                <w:color w:val="auto"/>
              </w:rPr>
            </w:pPr>
            <w:r>
              <w:rPr>
                <w:rFonts w:ascii="Arial" w:cs="Arial" w:eastAsia="Arial" w:hAnsi="Arial"/>
                <w:sz w:val="18"/>
                <w:szCs w:val="18"/>
                <w:color w:val="auto"/>
                <w:w w:val="97"/>
              </w:rPr>
              <w:t>Lease years 6-15 -</w:t>
            </w:r>
          </w:p>
        </w:tc>
        <w:tc>
          <w:tcPr>
            <w:tcW w:w="0" w:type="dxa"/>
            <w:vAlign w:val="bottom"/>
          </w:tcPr>
          <w:p>
            <w:pPr>
              <w:spacing w:after="0"/>
              <w:rPr>
                <w:sz w:val="1"/>
                <w:szCs w:val="1"/>
                <w:color w:val="auto"/>
              </w:rPr>
            </w:pPr>
          </w:p>
        </w:tc>
      </w:tr>
      <w:tr>
        <w:trPr>
          <w:trHeight w:val="81"/>
        </w:trPr>
        <w:tc>
          <w:tcPr>
            <w:tcW w:w="158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Lease years 4-15 -</w:t>
            </w:r>
          </w:p>
        </w:tc>
        <w:tc>
          <w:tcPr>
            <w:tcW w:w="172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Lease years 7-20 -</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50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&gt;2.0% / change in</w:t>
            </w:r>
          </w:p>
        </w:tc>
        <w:tc>
          <w:tcPr>
            <w:tcW w:w="0" w:type="dxa"/>
            <w:vAlign w:val="bottom"/>
          </w:tcPr>
          <w:p>
            <w:pPr>
              <w:spacing w:after="0"/>
              <w:rPr>
                <w:sz w:val="1"/>
                <w:szCs w:val="1"/>
                <w:color w:val="auto"/>
              </w:rPr>
            </w:pPr>
          </w:p>
        </w:tc>
      </w:tr>
      <w:tr>
        <w:trPr>
          <w:trHeight w:val="81"/>
        </w:trPr>
        <w:tc>
          <w:tcPr>
            <w:tcW w:w="158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rPr>
              <w:t>&gt; 1.25% / CPI</w:t>
            </w:r>
          </w:p>
        </w:tc>
        <w:tc>
          <w:tcPr>
            <w:tcW w:w="1720" w:type="dxa"/>
            <w:vAlign w:val="bottom"/>
            <w:gridSpan w:val="2"/>
            <w:vMerge w:val="restart"/>
          </w:tcPr>
          <w:p>
            <w:pPr>
              <w:ind w:left="20"/>
              <w:spacing w:after="0" w:line="189" w:lineRule="exact"/>
              <w:rPr>
                <w:sz w:val="20"/>
                <w:szCs w:val="20"/>
                <w:color w:val="auto"/>
              </w:rPr>
            </w:pPr>
            <w:r>
              <w:rPr>
                <w:rFonts w:ascii="Arial" w:cs="Arial" w:eastAsia="Arial" w:hAnsi="Arial"/>
                <w:sz w:val="18"/>
                <w:szCs w:val="18"/>
                <w:color w:val="auto"/>
                <w:w w:val="99"/>
              </w:rPr>
              <w:t>&gt;1.5%/change in CPI</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580" w:type="dxa"/>
            <w:vAlign w:val="bottom"/>
            <w:gridSpan w:val="2"/>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CPI</w:t>
            </w:r>
          </w:p>
        </w:tc>
        <w:tc>
          <w:tcPr>
            <w:tcW w:w="0" w:type="dxa"/>
            <w:vAlign w:val="bottom"/>
          </w:tcPr>
          <w:p>
            <w:pPr>
              <w:spacing w:after="0"/>
              <w:rPr>
                <w:sz w:val="1"/>
                <w:szCs w:val="1"/>
                <w:color w:val="auto"/>
              </w:rPr>
            </w:pPr>
          </w:p>
        </w:tc>
      </w:tr>
      <w:tr>
        <w:trPr>
          <w:trHeight w:val="123"/>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8"/>
                <w:szCs w:val="18"/>
                <w:color w:val="auto"/>
              </w:rPr>
              <w:t>(capped at 2.5%)</w:t>
            </w: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760" w:space="112"/>
            <w:col w:w="1328" w:space="240"/>
            <w:col w:w="480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1100" w:type="dxa"/>
            <w:vAlign w:val="bottom"/>
            <w:shd w:val="clear" w:color="auto" w:fill="CCEEFF"/>
          </w:tcPr>
          <w:p>
            <w:pPr>
              <w:spacing w:after="0"/>
              <w:rPr>
                <w:sz w:val="15"/>
                <w:szCs w:val="15"/>
                <w:color w:val="auto"/>
              </w:rPr>
            </w:pPr>
          </w:p>
        </w:tc>
        <w:tc>
          <w:tcPr>
            <w:tcW w:w="1900" w:type="dxa"/>
            <w:vAlign w:val="bottom"/>
            <w:shd w:val="clear" w:color="auto" w:fill="CCEEFF"/>
          </w:tcPr>
          <w:p>
            <w:pPr>
              <w:ind w:left="380"/>
              <w:spacing w:after="0" w:line="177" w:lineRule="exact"/>
              <w:rPr>
                <w:sz w:val="20"/>
                <w:szCs w:val="20"/>
                <w:color w:val="auto"/>
              </w:rPr>
            </w:pPr>
            <w:r>
              <w:rPr>
                <w:rFonts w:ascii="Arial" w:cs="Arial" w:eastAsia="Arial" w:hAnsi="Arial"/>
                <w:sz w:val="18"/>
                <w:szCs w:val="18"/>
                <w:color w:val="auto"/>
                <w:w w:val="97"/>
              </w:rPr>
              <w:t>Net revenue to rent</w:t>
            </w:r>
          </w:p>
        </w:tc>
        <w:tc>
          <w:tcPr>
            <w:tcW w:w="1720" w:type="dxa"/>
            <w:vAlign w:val="bottom"/>
            <w:shd w:val="clear" w:color="auto" w:fill="CCEEFF"/>
          </w:tcPr>
          <w:p>
            <w:pPr>
              <w:ind w:left="140"/>
              <w:spacing w:after="0" w:line="177" w:lineRule="exact"/>
              <w:rPr>
                <w:sz w:val="20"/>
                <w:szCs w:val="20"/>
                <w:color w:val="auto"/>
              </w:rPr>
            </w:pPr>
            <w:r>
              <w:rPr>
                <w:rFonts w:ascii="Arial" w:cs="Arial" w:eastAsia="Arial" w:hAnsi="Arial"/>
                <w:sz w:val="18"/>
                <w:szCs w:val="18"/>
                <w:color w:val="auto"/>
                <w:w w:val="98"/>
              </w:rPr>
              <w:t>Net revenue ratio to</w:t>
            </w:r>
          </w:p>
        </w:tc>
        <w:tc>
          <w:tcPr>
            <w:tcW w:w="1140" w:type="dxa"/>
            <w:vAlign w:val="bottom"/>
            <w:shd w:val="clear" w:color="auto" w:fill="CCEEFF"/>
          </w:tcPr>
          <w:p>
            <w:pPr>
              <w:spacing w:after="0"/>
              <w:rPr>
                <w:sz w:val="15"/>
                <w:szCs w:val="15"/>
                <w:color w:val="auto"/>
              </w:rPr>
            </w:pP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7.5x net revenue</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Coverage</w:t>
            </w:r>
          </w:p>
        </w:tc>
        <w:tc>
          <w:tcPr>
            <w:tcW w:w="190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ratio:</w:t>
            </w:r>
          </w:p>
        </w:tc>
        <w:tc>
          <w:tcPr>
            <w:tcW w:w="1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be mutually agreed</w:t>
            </w:r>
          </w:p>
        </w:tc>
        <w:tc>
          <w:tcPr>
            <w:tcW w:w="1140" w:type="dxa"/>
            <w:vAlign w:val="bottom"/>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shd w:val="clear" w:color="auto" w:fill="CCEEFF"/>
          </w:tcPr>
          <w:p>
            <w:pPr>
              <w:spacing w:after="0"/>
              <w:rPr>
                <w:sz w:val="8"/>
                <w:szCs w:val="8"/>
                <w:color w:val="auto"/>
              </w:rPr>
            </w:pPr>
          </w:p>
        </w:tc>
        <w:tc>
          <w:tcPr>
            <w:tcW w:w="19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6.1x net revenue</w:t>
            </w:r>
          </w:p>
        </w:tc>
        <w:tc>
          <w:tcPr>
            <w:tcW w:w="17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upon prior to the</w:t>
            </w:r>
          </w:p>
        </w:tc>
        <w:tc>
          <w:tcPr>
            <w:tcW w:w="1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None</w:t>
            </w:r>
          </w:p>
        </w:tc>
        <w:tc>
          <w:tcPr>
            <w:tcW w:w="32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commencing lease   None</w:t>
            </w:r>
          </w:p>
        </w:tc>
        <w:tc>
          <w:tcPr>
            <w:tcW w:w="214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 xml:space="preserve">floor </w:t>
            </w:r>
            <w:r>
              <w:rPr>
                <w:rFonts w:ascii="Arial" w:cs="Arial" w:eastAsia="Arial" w:hAnsi="Arial"/>
                <w:sz w:val="20"/>
                <w:szCs w:val="20"/>
                <w:i w:val="1"/>
                <w:iCs w:val="1"/>
                <w:color w:val="auto"/>
                <w:vertAlign w:val="superscript"/>
              </w:rPr>
              <w:t>(3)</w:t>
            </w:r>
          </w:p>
        </w:tc>
        <w:tc>
          <w:tcPr>
            <w:tcW w:w="1900" w:type="dxa"/>
            <w:vAlign w:val="bottom"/>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3240" w:type="dxa"/>
            <w:vAlign w:val="bottom"/>
            <w:vMerge w:val="continue"/>
            <w:shd w:val="clear" w:color="auto" w:fill="CCEEFF"/>
          </w:tcPr>
          <w:p>
            <w:pPr>
              <w:spacing w:after="0"/>
              <w:rPr>
                <w:sz w:val="15"/>
                <w:szCs w:val="15"/>
                <w:color w:val="auto"/>
              </w:rPr>
            </w:pPr>
          </w:p>
        </w:tc>
        <w:tc>
          <w:tcPr>
            <w:tcW w:w="2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00" w:type="dxa"/>
            <w:vAlign w:val="bottom"/>
            <w:shd w:val="clear" w:color="auto" w:fill="CCEEFF"/>
          </w:tcPr>
          <w:p>
            <w:pPr>
              <w:spacing w:after="0"/>
              <w:rPr>
                <w:sz w:val="8"/>
                <w:szCs w:val="8"/>
                <w:color w:val="auto"/>
              </w:rPr>
            </w:pPr>
          </w:p>
        </w:tc>
        <w:tc>
          <w:tcPr>
            <w:tcW w:w="1900" w:type="dxa"/>
            <w:vAlign w:val="bottom"/>
            <w:shd w:val="clear" w:color="auto" w:fill="CCEEFF"/>
          </w:tcPr>
          <w:p>
            <w:pPr>
              <w:ind w:left="380"/>
              <w:spacing w:after="0" w:line="95" w:lineRule="exact"/>
              <w:rPr>
                <w:sz w:val="20"/>
                <w:szCs w:val="20"/>
                <w:color w:val="auto"/>
              </w:rPr>
            </w:pPr>
            <w:r>
              <w:rPr>
                <w:rFonts w:ascii="Arial" w:cs="Arial" w:eastAsia="Arial" w:hAnsi="Arial"/>
                <w:sz w:val="10"/>
                <w:szCs w:val="10"/>
                <w:color w:val="auto"/>
              </w:rPr>
              <w:t>commencing lease</w:t>
            </w:r>
          </w:p>
        </w:tc>
        <w:tc>
          <w:tcPr>
            <w:tcW w:w="1720" w:type="dxa"/>
            <w:vAlign w:val="bottom"/>
            <w:shd w:val="clear" w:color="auto" w:fill="CCEEFF"/>
          </w:tcPr>
          <w:p>
            <w:pPr>
              <w:ind w:left="140"/>
              <w:spacing w:after="0" w:line="95" w:lineRule="exact"/>
              <w:rPr>
                <w:sz w:val="20"/>
                <w:szCs w:val="20"/>
                <w:color w:val="auto"/>
              </w:rPr>
            </w:pPr>
            <w:r>
              <w:rPr>
                <w:rFonts w:ascii="Arial" w:cs="Arial" w:eastAsia="Arial" w:hAnsi="Arial"/>
                <w:sz w:val="10"/>
                <w:szCs w:val="10"/>
                <w:color w:val="auto"/>
              </w:rPr>
              <w:t>commencement of</w:t>
            </w:r>
          </w:p>
        </w:tc>
        <w:tc>
          <w:tcPr>
            <w:tcW w:w="1140" w:type="dxa"/>
            <w:vAlign w:val="bottom"/>
            <w:shd w:val="clear" w:color="auto" w:fill="CCEEFF"/>
          </w:tcPr>
          <w:p>
            <w:pPr>
              <w:spacing w:after="0"/>
              <w:rPr>
                <w:sz w:val="8"/>
                <w:szCs w:val="8"/>
                <w:color w:val="auto"/>
              </w:rPr>
            </w:pPr>
          </w:p>
        </w:tc>
        <w:tc>
          <w:tcPr>
            <w:tcW w:w="3240" w:type="dxa"/>
            <w:vAlign w:val="bottom"/>
            <w:shd w:val="clear" w:color="auto" w:fill="CCEEFF"/>
          </w:tcPr>
          <w:p>
            <w:pPr>
              <w:ind w:left="600"/>
              <w:spacing w:after="0" w:line="95" w:lineRule="exact"/>
              <w:rPr>
                <w:sz w:val="20"/>
                <w:szCs w:val="20"/>
                <w:color w:val="auto"/>
              </w:rPr>
            </w:pPr>
            <w:r>
              <w:rPr>
                <w:rFonts w:ascii="Arial" w:cs="Arial" w:eastAsia="Arial" w:hAnsi="Arial"/>
                <w:sz w:val="10"/>
                <w:szCs w:val="10"/>
                <w:color w:val="auto"/>
              </w:rPr>
              <w:t>year six</w:t>
            </w:r>
          </w:p>
        </w:tc>
        <w:tc>
          <w:tcPr>
            <w:tcW w:w="2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100" w:type="dxa"/>
            <w:vAlign w:val="bottom"/>
            <w:shd w:val="clear" w:color="auto" w:fill="CCEEFF"/>
          </w:tcPr>
          <w:p>
            <w:pPr>
              <w:spacing w:after="0"/>
              <w:rPr>
                <w:sz w:val="21"/>
                <w:szCs w:val="21"/>
                <w:color w:val="auto"/>
              </w:rPr>
            </w:pPr>
          </w:p>
        </w:tc>
        <w:tc>
          <w:tcPr>
            <w:tcW w:w="1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year two</w:t>
            </w:r>
          </w:p>
        </w:tc>
        <w:tc>
          <w:tcPr>
            <w:tcW w:w="1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year five</w:t>
            </w:r>
          </w:p>
        </w:tc>
        <w:tc>
          <w:tcPr>
            <w:tcW w:w="114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type w:val="continuous"/>
        </w:sectPr>
      </w:pP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vMerge w:val="restart"/>
          </w:tcPr>
          <w:p>
            <w:pPr>
              <w:spacing w:after="0"/>
              <w:rPr>
                <w:sz w:val="20"/>
                <w:szCs w:val="20"/>
                <w:color w:val="auto"/>
              </w:rPr>
            </w:pPr>
            <w:r>
              <w:rPr>
                <w:rFonts w:ascii="Arial" w:cs="Arial" w:eastAsia="Arial" w:hAnsi="Arial"/>
                <w:sz w:val="18"/>
                <w:szCs w:val="18"/>
                <w:color w:val="auto"/>
              </w:rPr>
              <w:t>Variable Rent</w:t>
            </w:r>
          </w:p>
        </w:tc>
        <w:tc>
          <w:tcPr>
            <w:tcW w:w="1820" w:type="dxa"/>
            <w:vAlign w:val="bottom"/>
          </w:tcPr>
          <w:p>
            <w:pPr>
              <w:ind w:left="240"/>
              <w:spacing w:after="0"/>
              <w:rPr>
                <w:sz w:val="20"/>
                <w:szCs w:val="20"/>
                <w:color w:val="auto"/>
              </w:rPr>
            </w:pPr>
            <w:r>
              <w:rPr>
                <w:rFonts w:ascii="Arial" w:cs="Arial" w:eastAsia="Arial" w:hAnsi="Arial"/>
                <w:sz w:val="18"/>
                <w:szCs w:val="18"/>
                <w:color w:val="auto"/>
                <w:w w:val="91"/>
              </w:rPr>
              <w:t>Lease year three and</w:t>
            </w:r>
          </w:p>
        </w:tc>
        <w:tc>
          <w:tcPr>
            <w:tcW w:w="1700" w:type="dxa"/>
            <w:vAlign w:val="bottom"/>
          </w:tcPr>
          <w:p>
            <w:pPr>
              <w:ind w:left="80"/>
              <w:spacing w:after="0"/>
              <w:rPr>
                <w:sz w:val="20"/>
                <w:szCs w:val="20"/>
                <w:color w:val="auto"/>
              </w:rPr>
            </w:pPr>
            <w:r>
              <w:rPr>
                <w:rFonts w:ascii="Arial" w:cs="Arial" w:eastAsia="Arial" w:hAnsi="Arial"/>
                <w:sz w:val="18"/>
                <w:szCs w:val="18"/>
                <w:color w:val="auto"/>
                <w:w w:val="94"/>
              </w:rPr>
              <w:t>Lease year three and</w:t>
            </w:r>
          </w:p>
        </w:tc>
        <w:tc>
          <w:tcPr>
            <w:tcW w:w="1500" w:type="dxa"/>
            <w:vAlign w:val="bottom"/>
          </w:tcPr>
          <w:p>
            <w:pPr>
              <w:ind w:left="120"/>
              <w:spacing w:after="0"/>
              <w:rPr>
                <w:sz w:val="20"/>
                <w:szCs w:val="20"/>
                <w:color w:val="auto"/>
              </w:rPr>
            </w:pPr>
            <w:r>
              <w:rPr>
                <w:rFonts w:ascii="Arial" w:cs="Arial" w:eastAsia="Arial" w:hAnsi="Arial"/>
                <w:sz w:val="18"/>
                <w:szCs w:val="18"/>
                <w:b w:val="1"/>
                <w:bCs w:val="1"/>
                <w:color w:val="auto"/>
                <w:w w:val="87"/>
              </w:rPr>
              <w:t xml:space="preserve">Lease year 8: </w:t>
            </w:r>
            <w:r>
              <w:rPr>
                <w:rFonts w:ascii="Arial" w:cs="Arial" w:eastAsia="Arial" w:hAnsi="Arial"/>
                <w:sz w:val="18"/>
                <w:szCs w:val="18"/>
                <w:color w:val="auto"/>
                <w:w w:val="87"/>
              </w:rPr>
              <w:t>80%</w:t>
            </w:r>
          </w:p>
        </w:tc>
        <w:tc>
          <w:tcPr>
            <w:tcW w:w="0" w:type="dxa"/>
            <w:vAlign w:val="bottom"/>
          </w:tcPr>
          <w:p>
            <w:pPr>
              <w:spacing w:after="0"/>
              <w:rPr>
                <w:sz w:val="1"/>
                <w:szCs w:val="1"/>
                <w:color w:val="auto"/>
              </w:rPr>
            </w:pPr>
          </w:p>
        </w:tc>
      </w:tr>
      <w:tr>
        <w:trPr>
          <w:trHeight w:val="95"/>
        </w:trPr>
        <w:tc>
          <w:tcPr>
            <w:tcW w:w="1220" w:type="dxa"/>
            <w:vAlign w:val="bottom"/>
            <w:vMerge w:val="continue"/>
          </w:tcPr>
          <w:p>
            <w:pPr>
              <w:spacing w:after="0"/>
              <w:rPr>
                <w:sz w:val="8"/>
                <w:szCs w:val="8"/>
                <w:color w:val="auto"/>
              </w:rPr>
            </w:pPr>
          </w:p>
        </w:tc>
        <w:tc>
          <w:tcPr>
            <w:tcW w:w="1820" w:type="dxa"/>
            <w:vAlign w:val="bottom"/>
            <w:vMerge w:val="restart"/>
          </w:tcPr>
          <w:p>
            <w:pPr>
              <w:ind w:left="240"/>
              <w:spacing w:after="0" w:line="189" w:lineRule="exact"/>
              <w:rPr>
                <w:sz w:val="20"/>
                <w:szCs w:val="20"/>
                <w:color w:val="auto"/>
              </w:rPr>
            </w:pPr>
            <w:r>
              <w:rPr>
                <w:rFonts w:ascii="Arial" w:cs="Arial" w:eastAsia="Arial" w:hAnsi="Arial"/>
                <w:sz w:val="18"/>
                <w:szCs w:val="18"/>
                <w:color w:val="auto"/>
                <w:w w:val="92"/>
              </w:rPr>
              <w:t>each and every other</w:t>
            </w:r>
          </w:p>
        </w:tc>
        <w:tc>
          <w:tcPr>
            <w:tcW w:w="1700" w:type="dxa"/>
            <w:vAlign w:val="bottom"/>
            <w:vMerge w:val="restart"/>
          </w:tcPr>
          <w:p>
            <w:pPr>
              <w:ind w:left="80"/>
              <w:spacing w:after="0" w:line="189" w:lineRule="exact"/>
              <w:rPr>
                <w:sz w:val="20"/>
                <w:szCs w:val="20"/>
                <w:color w:val="auto"/>
              </w:rPr>
            </w:pPr>
            <w:r>
              <w:rPr>
                <w:rFonts w:ascii="Arial" w:cs="Arial" w:eastAsia="Arial" w:hAnsi="Arial"/>
                <w:sz w:val="18"/>
                <w:szCs w:val="18"/>
                <w:color w:val="auto"/>
                <w:w w:val="94"/>
              </w:rPr>
              <w:t>each and every other</w:t>
            </w:r>
          </w:p>
        </w:tc>
        <w:tc>
          <w:tcPr>
            <w:tcW w:w="1500" w:type="dxa"/>
            <w:vAlign w:val="bottom"/>
            <w:vMerge w:val="restart"/>
          </w:tcPr>
          <w:p>
            <w:pPr>
              <w:ind w:left="120"/>
              <w:spacing w:after="0" w:line="189" w:lineRule="exact"/>
              <w:rPr>
                <w:sz w:val="20"/>
                <w:szCs w:val="20"/>
                <w:color w:val="auto"/>
              </w:rPr>
            </w:pPr>
            <w:r>
              <w:rPr>
                <w:rFonts w:ascii="Arial" w:cs="Arial" w:eastAsia="Arial" w:hAnsi="Arial"/>
                <w:sz w:val="18"/>
                <w:szCs w:val="18"/>
                <w:color w:val="auto"/>
                <w:w w:val="89"/>
              </w:rPr>
              <w:t>base rent and 20%</w:t>
            </w:r>
          </w:p>
        </w:tc>
        <w:tc>
          <w:tcPr>
            <w:tcW w:w="0" w:type="dxa"/>
            <w:vAlign w:val="bottom"/>
          </w:tcPr>
          <w:p>
            <w:pPr>
              <w:spacing w:after="0"/>
              <w:rPr>
                <w:sz w:val="1"/>
                <w:szCs w:val="1"/>
                <w:color w:val="auto"/>
              </w:rPr>
            </w:pPr>
          </w:p>
        </w:tc>
      </w:tr>
      <w:tr>
        <w:trPr>
          <w:trHeight w:val="94"/>
        </w:trPr>
        <w:tc>
          <w:tcPr>
            <w:tcW w:w="1220" w:type="dxa"/>
            <w:vAlign w:val="bottom"/>
            <w:vMerge w:val="restart"/>
          </w:tcPr>
          <w:p>
            <w:pPr>
              <w:spacing w:after="0"/>
              <w:rPr>
                <w:sz w:val="20"/>
                <w:szCs w:val="20"/>
                <w:color w:val="auto"/>
              </w:rPr>
            </w:pPr>
            <w:r>
              <w:rPr>
                <w:rFonts w:ascii="Arial" w:cs="Arial" w:eastAsia="Arial" w:hAnsi="Arial"/>
                <w:sz w:val="18"/>
                <w:szCs w:val="18"/>
                <w:color w:val="auto"/>
              </w:rPr>
              <w:t xml:space="preserve">adjustment </w:t>
            </w:r>
            <w:r>
              <w:rPr>
                <w:rFonts w:ascii="Arial" w:cs="Arial" w:eastAsia="Arial" w:hAnsi="Arial"/>
                <w:sz w:val="23"/>
                <w:szCs w:val="23"/>
                <w:i w:val="1"/>
                <w:iCs w:val="1"/>
                <w:color w:val="auto"/>
                <w:vertAlign w:val="superscript"/>
              </w:rPr>
              <w:t>(4)</w:t>
            </w:r>
          </w:p>
        </w:tc>
        <w:tc>
          <w:tcPr>
            <w:tcW w:w="182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220" w:type="dxa"/>
            <w:vAlign w:val="bottom"/>
            <w:vMerge w:val="continue"/>
          </w:tcPr>
          <w:p>
            <w:pPr>
              <w:spacing w:after="0"/>
              <w:rPr>
                <w:sz w:val="15"/>
                <w:szCs w:val="15"/>
                <w:color w:val="auto"/>
              </w:rPr>
            </w:pPr>
          </w:p>
        </w:tc>
        <w:tc>
          <w:tcPr>
            <w:tcW w:w="1820" w:type="dxa"/>
            <w:vAlign w:val="bottom"/>
            <w:vMerge w:val="restart"/>
          </w:tcPr>
          <w:p>
            <w:pPr>
              <w:ind w:left="240"/>
              <w:spacing w:after="0"/>
              <w:rPr>
                <w:sz w:val="20"/>
                <w:szCs w:val="20"/>
                <w:color w:val="auto"/>
              </w:rPr>
            </w:pPr>
            <w:r>
              <w:rPr>
                <w:rFonts w:ascii="Arial" w:cs="Arial" w:eastAsia="Arial" w:hAnsi="Arial"/>
                <w:sz w:val="18"/>
                <w:szCs w:val="18"/>
                <w:color w:val="auto"/>
                <w:w w:val="94"/>
              </w:rPr>
              <w:t>lease year thereafter</w:t>
            </w:r>
          </w:p>
        </w:tc>
        <w:tc>
          <w:tcPr>
            <w:tcW w:w="1700" w:type="dxa"/>
            <w:vAlign w:val="bottom"/>
            <w:vMerge w:val="restart"/>
          </w:tcPr>
          <w:p>
            <w:pPr>
              <w:ind w:left="80"/>
              <w:spacing w:after="0"/>
              <w:rPr>
                <w:sz w:val="20"/>
                <w:szCs w:val="20"/>
                <w:color w:val="auto"/>
              </w:rPr>
            </w:pPr>
            <w:r>
              <w:rPr>
                <w:rFonts w:ascii="Arial" w:cs="Arial" w:eastAsia="Arial" w:hAnsi="Arial"/>
                <w:sz w:val="18"/>
                <w:szCs w:val="18"/>
                <w:color w:val="auto"/>
                <w:w w:val="96"/>
              </w:rPr>
              <w:t>lease year thereafter</w:t>
            </w:r>
          </w:p>
        </w:tc>
        <w:tc>
          <w:tcPr>
            <w:tcW w:w="1500" w:type="dxa"/>
            <w:vAlign w:val="bottom"/>
            <w:vMerge w:val="restart"/>
          </w:tcPr>
          <w:p>
            <w:pPr>
              <w:ind w:left="12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spacing w:after="0" w:line="176" w:lineRule="exact"/>
              <w:rPr>
                <w:sz w:val="20"/>
                <w:szCs w:val="20"/>
                <w:color w:val="auto"/>
              </w:rPr>
            </w:pPr>
            <w:r>
              <w:rPr>
                <w:rFonts w:ascii="Arial" w:cs="Arial" w:eastAsia="Arial" w:hAnsi="Arial"/>
                <w:sz w:val="18"/>
                <w:szCs w:val="18"/>
                <w:b w:val="1"/>
                <w:bCs w:val="1"/>
                <w:color w:val="auto"/>
              </w:rPr>
              <w:t>Lease year 8 and</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80" w:type="dxa"/>
            <w:vAlign w:val="bottom"/>
          </w:tcPr>
          <w:p>
            <w:pPr>
              <w:spacing w:after="0" w:line="189" w:lineRule="exact"/>
              <w:rPr>
                <w:sz w:val="20"/>
                <w:szCs w:val="20"/>
                <w:color w:val="auto"/>
              </w:rPr>
            </w:pPr>
            <w:r>
              <w:rPr>
                <w:rFonts w:ascii="Arial" w:cs="Arial" w:eastAsia="Arial" w:hAnsi="Arial"/>
                <w:sz w:val="18"/>
                <w:szCs w:val="18"/>
                <w:b w:val="1"/>
                <w:bCs w:val="1"/>
                <w:color w:val="auto"/>
                <w:w w:val="93"/>
              </w:rPr>
              <w:t xml:space="preserve">11: </w:t>
            </w:r>
            <w:r>
              <w:rPr>
                <w:rFonts w:ascii="Arial" w:cs="Arial" w:eastAsia="Arial" w:hAnsi="Arial"/>
                <w:sz w:val="18"/>
                <w:szCs w:val="18"/>
                <w:color w:val="auto"/>
                <w:w w:val="93"/>
              </w:rPr>
              <w:t>80% Base Rent</w:t>
            </w:r>
          </w:p>
        </w:tc>
        <w:tc>
          <w:tcPr>
            <w:tcW w:w="480" w:type="dxa"/>
            <w:vAlign w:val="bottom"/>
            <w:vMerge w:val="restart"/>
          </w:tcPr>
          <w:p>
            <w:pPr>
              <w:ind w:left="100"/>
              <w:spacing w:after="0"/>
              <w:rPr>
                <w:sz w:val="20"/>
                <w:szCs w:val="20"/>
                <w:color w:val="auto"/>
              </w:rPr>
            </w:pPr>
            <w:r>
              <w:rPr>
                <w:rFonts w:ascii="Arial" w:cs="Arial" w:eastAsia="Arial" w:hAnsi="Arial"/>
                <w:sz w:val="18"/>
                <w:szCs w:val="18"/>
                <w:color w:val="auto"/>
                <w:w w:val="83"/>
              </w:rPr>
              <w:t>None</w:t>
            </w:r>
          </w:p>
        </w:tc>
        <w:tc>
          <w:tcPr>
            <w:tcW w:w="0" w:type="dxa"/>
            <w:vAlign w:val="bottom"/>
          </w:tcPr>
          <w:p>
            <w:pPr>
              <w:spacing w:after="0"/>
              <w:rPr>
                <w:sz w:val="1"/>
                <w:szCs w:val="1"/>
                <w:color w:val="auto"/>
              </w:rPr>
            </w:pPr>
          </w:p>
        </w:tc>
      </w:tr>
      <w:tr>
        <w:trPr>
          <w:trHeight w:val="136"/>
        </w:trPr>
        <w:tc>
          <w:tcPr>
            <w:tcW w:w="1480" w:type="dxa"/>
            <w:vAlign w:val="bottom"/>
            <w:vMerge w:val="restart"/>
          </w:tcPr>
          <w:p>
            <w:pPr>
              <w:spacing w:after="0" w:line="176" w:lineRule="exact"/>
              <w:rPr>
                <w:sz w:val="20"/>
                <w:szCs w:val="20"/>
                <w:color w:val="auto"/>
              </w:rPr>
            </w:pPr>
            <w:r>
              <w:rPr>
                <w:rFonts w:ascii="Arial" w:cs="Arial" w:eastAsia="Arial" w:hAnsi="Arial"/>
                <w:sz w:val="18"/>
                <w:szCs w:val="18"/>
                <w:color w:val="auto"/>
              </w:rPr>
              <w:t>and 20% Variable</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4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480" w:type="dxa"/>
            <w:vAlign w:val="bottom"/>
          </w:tcPr>
          <w:p>
            <w:pPr>
              <w:spacing w:after="0"/>
              <w:rPr>
                <w:sz w:val="20"/>
                <w:szCs w:val="20"/>
                <w:color w:val="auto"/>
              </w:rPr>
            </w:pPr>
            <w:r>
              <w:rPr>
                <w:rFonts w:ascii="Arial" w:cs="Arial" w:eastAsia="Arial" w:hAnsi="Arial"/>
                <w:sz w:val="18"/>
                <w:szCs w:val="18"/>
                <w:color w:val="auto"/>
              </w:rPr>
              <w:t>Rent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
        <w:spacing w:after="0" w:line="234" w:lineRule="auto"/>
        <w:rPr>
          <w:sz w:val="20"/>
          <w:szCs w:val="20"/>
          <w:color w:val="auto"/>
        </w:rPr>
      </w:pPr>
      <w:r>
        <w:rPr>
          <w:rFonts w:ascii="Arial" w:cs="Arial" w:eastAsia="Arial" w:hAnsi="Arial"/>
          <w:sz w:val="17"/>
          <w:szCs w:val="17"/>
          <w:b w:val="1"/>
          <w:bCs w:val="1"/>
          <w:color w:val="auto"/>
        </w:rPr>
        <w:t>Lease year 8 and</w:t>
      </w:r>
    </w:p>
    <w:p>
      <w:pPr>
        <w:ind w:left="1" w:right="100" w:hanging="1"/>
        <w:spacing w:after="0" w:line="222" w:lineRule="auto"/>
        <w:tabs>
          <w:tab w:leader="none" w:pos="27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80% Base Rent and 20% Variable Rent</w:t>
      </w:r>
    </w:p>
    <w:p>
      <w:pPr>
        <w:spacing w:after="0" w:line="3" w:lineRule="exact"/>
        <w:rPr>
          <w:sz w:val="20"/>
          <w:szCs w:val="20"/>
          <w:color w:val="auto"/>
        </w:rPr>
      </w:pPr>
    </w:p>
    <w:p>
      <w:pPr>
        <w:sectPr>
          <w:pgSz w:w="11900" w:h="16838" w:orient="portrait"/>
          <w:cols w:equalWidth="0" w:num="3">
            <w:col w:w="6260" w:space="200"/>
            <w:col w:w="2579" w:space="720"/>
            <w:col w:w="1481"/>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460" w:type="dxa"/>
            <w:vAlign w:val="bottom"/>
            <w:shd w:val="clear" w:color="auto" w:fill="CCEEFF"/>
          </w:tcPr>
          <w:p>
            <w:pPr>
              <w:spacing w:after="0"/>
              <w:rPr>
                <w:sz w:val="16"/>
                <w:szCs w:val="16"/>
                <w:color w:val="auto"/>
              </w:rPr>
            </w:pPr>
          </w:p>
        </w:tc>
        <w:tc>
          <w:tcPr>
            <w:tcW w:w="15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4% of the average</w:t>
            </w: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3"/>
              </w:rPr>
              <w:t>4% of the average net</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spacing w:after="0" w:line="191" w:lineRule="exact"/>
              <w:rPr>
                <w:sz w:val="20"/>
                <w:szCs w:val="20"/>
                <w:color w:val="auto"/>
              </w:rPr>
            </w:pPr>
            <w:r>
              <w:rPr>
                <w:rFonts w:ascii="Arial" w:cs="Arial" w:eastAsia="Arial" w:hAnsi="Arial"/>
                <w:sz w:val="18"/>
                <w:szCs w:val="18"/>
                <w:color w:val="auto"/>
              </w:rPr>
              <w:t>4% of revenue</w:t>
            </w:r>
          </w:p>
        </w:tc>
        <w:tc>
          <w:tcPr>
            <w:tcW w:w="1140" w:type="dxa"/>
            <w:vAlign w:val="bottom"/>
            <w:shd w:val="clear" w:color="auto" w:fill="CCEEFF"/>
          </w:tcPr>
          <w:p>
            <w:pPr>
              <w:spacing w:after="0"/>
              <w:rPr>
                <w:sz w:val="16"/>
                <w:szCs w:val="16"/>
                <w:color w:val="auto"/>
              </w:rPr>
            </w:pPr>
          </w:p>
        </w:tc>
        <w:tc>
          <w:tcPr>
            <w:tcW w:w="2140" w:type="dxa"/>
            <w:vAlign w:val="bottom"/>
            <w:gridSpan w:val="4"/>
            <w:shd w:val="clear" w:color="auto" w:fill="CCEEFF"/>
          </w:tcPr>
          <w:p>
            <w:pPr>
              <w:ind w:left="660"/>
              <w:spacing w:after="0" w:line="191" w:lineRule="exact"/>
              <w:rPr>
                <w:sz w:val="20"/>
                <w:szCs w:val="20"/>
                <w:color w:val="auto"/>
              </w:rPr>
            </w:pPr>
            <w:r>
              <w:rPr>
                <w:rFonts w:ascii="Arial" w:cs="Arial" w:eastAsia="Arial" w:hAnsi="Arial"/>
                <w:sz w:val="18"/>
                <w:szCs w:val="18"/>
                <w:color w:val="auto"/>
              </w:rPr>
              <w:t>4% of revenue</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shd w:val="clear" w:color="auto" w:fill="CCEEFF"/>
          </w:tcPr>
          <w:p>
            <w:pPr>
              <w:spacing w:after="0"/>
              <w:rPr>
                <w:sz w:val="5"/>
                <w:szCs w:val="5"/>
                <w:color w:val="auto"/>
              </w:rPr>
            </w:pPr>
          </w:p>
        </w:tc>
        <w:tc>
          <w:tcPr>
            <w:tcW w:w="15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net revenues for</w:t>
            </w:r>
          </w:p>
        </w:tc>
        <w:tc>
          <w:tcPr>
            <w:tcW w:w="178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00" w:type="dxa"/>
            <w:vAlign w:val="bottom"/>
            <w:gridSpan w:val="3"/>
            <w:vMerge w:val="restart"/>
            <w:shd w:val="clear" w:color="auto" w:fill="CCEEFF"/>
          </w:tcPr>
          <w:p>
            <w:pPr>
              <w:spacing w:after="0" w:line="156" w:lineRule="exact"/>
              <w:rPr>
                <w:sz w:val="20"/>
                <w:szCs w:val="20"/>
                <w:color w:val="auto"/>
              </w:rPr>
            </w:pPr>
            <w:r>
              <w:rPr>
                <w:rFonts w:ascii="Arial" w:cs="Arial" w:eastAsia="Arial" w:hAnsi="Arial"/>
                <w:sz w:val="18"/>
                <w:szCs w:val="18"/>
                <w:color w:val="auto"/>
                <w:w w:val="97"/>
              </w:rPr>
              <w:t>increase/decrease:</w:t>
            </w:r>
          </w:p>
        </w:tc>
        <w:tc>
          <w:tcPr>
            <w:tcW w:w="1140" w:type="dxa"/>
            <w:vAlign w:val="bottom"/>
            <w:shd w:val="clear" w:color="auto" w:fill="CCEEFF"/>
          </w:tcPr>
          <w:p>
            <w:pPr>
              <w:spacing w:after="0"/>
              <w:rPr>
                <w:sz w:val="5"/>
                <w:szCs w:val="5"/>
                <w:color w:val="auto"/>
              </w:rPr>
            </w:pPr>
          </w:p>
        </w:tc>
        <w:tc>
          <w:tcPr>
            <w:tcW w:w="2140" w:type="dxa"/>
            <w:vAlign w:val="bottom"/>
            <w:gridSpan w:val="4"/>
            <w:vMerge w:val="restart"/>
            <w:shd w:val="clear" w:color="auto" w:fill="CCEEFF"/>
          </w:tcPr>
          <w:p>
            <w:pPr>
              <w:ind w:left="660"/>
              <w:spacing w:after="0" w:line="156" w:lineRule="exact"/>
              <w:rPr>
                <w:sz w:val="20"/>
                <w:szCs w:val="20"/>
                <w:color w:val="auto"/>
              </w:rPr>
            </w:pPr>
            <w:r>
              <w:rPr>
                <w:rFonts w:ascii="Arial" w:cs="Arial" w:eastAsia="Arial" w:hAnsi="Arial"/>
                <w:sz w:val="18"/>
                <w:szCs w:val="18"/>
                <w:color w:val="auto"/>
                <w:w w:val="95"/>
              </w:rPr>
              <w:t>increase/decrease:</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line="189" w:lineRule="exact"/>
              <w:rPr>
                <w:sz w:val="20"/>
                <w:szCs w:val="20"/>
                <w:color w:val="auto"/>
              </w:rPr>
            </w:pPr>
            <w:r>
              <w:rPr>
                <w:rFonts w:ascii="Arial" w:cs="Arial" w:eastAsia="Arial" w:hAnsi="Arial"/>
                <w:sz w:val="18"/>
                <w:szCs w:val="18"/>
                <w:color w:val="auto"/>
              </w:rPr>
              <w:t>revenues for trailing</w:t>
            </w:r>
          </w:p>
        </w:tc>
        <w:tc>
          <w:tcPr>
            <w:tcW w:w="1660" w:type="dxa"/>
            <w:vAlign w:val="bottom"/>
            <w:gridSpan w:val="4"/>
            <w:vMerge w:val="restart"/>
            <w:shd w:val="clear" w:color="auto" w:fill="CCEEFF"/>
          </w:tcPr>
          <w:p>
            <w:pPr>
              <w:ind w:left="80"/>
              <w:spacing w:after="0" w:line="189" w:lineRule="exact"/>
              <w:rPr>
                <w:sz w:val="20"/>
                <w:szCs w:val="20"/>
                <w:color w:val="auto"/>
              </w:rPr>
            </w:pPr>
            <w:r>
              <w:rPr>
                <w:rFonts w:ascii="Arial" w:cs="Arial" w:eastAsia="Arial" w:hAnsi="Arial"/>
                <w:sz w:val="18"/>
                <w:szCs w:val="18"/>
                <w:color w:val="auto"/>
              </w:rPr>
              <w:t>4% of revenue</w:t>
            </w: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780" w:type="dxa"/>
            <w:vAlign w:val="bottom"/>
            <w:vMerge w:val="continue"/>
            <w:shd w:val="clear" w:color="auto" w:fill="CCEEFF"/>
          </w:tcPr>
          <w:p>
            <w:pPr>
              <w:spacing w:after="0" w:line="20" w:lineRule="exact"/>
              <w:rPr>
                <w:sz w:val="1"/>
                <w:szCs w:val="1"/>
                <w:color w:val="auto"/>
              </w:rPr>
            </w:pPr>
          </w:p>
        </w:tc>
        <w:tc>
          <w:tcPr>
            <w:tcW w:w="1660" w:type="dxa"/>
            <w:vAlign w:val="bottom"/>
            <w:gridSpan w:val="4"/>
            <w:vMerge w:val="continue"/>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shd w:val="clear" w:color="auto" w:fill="CCEEFF"/>
          </w:tcPr>
          <w:p>
            <w:pPr>
              <w:spacing w:after="0"/>
              <w:rPr>
                <w:sz w:val="6"/>
                <w:szCs w:val="6"/>
                <w:color w:val="auto"/>
              </w:rPr>
            </w:pPr>
          </w:p>
        </w:tc>
        <w:tc>
          <w:tcPr>
            <w:tcW w:w="15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trailing</w:t>
            </w:r>
          </w:p>
        </w:tc>
        <w:tc>
          <w:tcPr>
            <w:tcW w:w="1780" w:type="dxa"/>
            <w:vAlign w:val="bottom"/>
            <w:vMerge w:val="continue"/>
            <w:shd w:val="clear" w:color="auto" w:fill="CCEEFF"/>
          </w:tcPr>
          <w:p>
            <w:pPr>
              <w:spacing w:after="0"/>
              <w:rPr>
                <w:sz w:val="6"/>
                <w:szCs w:val="6"/>
                <w:color w:val="auto"/>
              </w:rPr>
            </w:pPr>
          </w:p>
        </w:tc>
        <w:tc>
          <w:tcPr>
            <w:tcW w:w="1660" w:type="dxa"/>
            <w:vAlign w:val="bottom"/>
            <w:gridSpan w:val="4"/>
            <w:vMerge w:val="continue"/>
            <w:shd w:val="clear" w:color="auto" w:fill="CCEEFF"/>
          </w:tcPr>
          <w:p>
            <w:pPr>
              <w:spacing w:after="0"/>
              <w:rPr>
                <w:sz w:val="6"/>
                <w:szCs w:val="6"/>
                <w:color w:val="auto"/>
              </w:rPr>
            </w:pPr>
          </w:p>
        </w:tc>
        <w:tc>
          <w:tcPr>
            <w:tcW w:w="1300" w:type="dxa"/>
            <w:vAlign w:val="bottom"/>
            <w:gridSpan w:val="2"/>
            <w:vMerge w:val="restart"/>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xml:space="preserve">Year 8: </w:t>
            </w:r>
            <w:r>
              <w:rPr>
                <w:rFonts w:ascii="Arial" w:cs="Arial" w:eastAsia="Arial" w:hAnsi="Arial"/>
                <w:sz w:val="18"/>
                <w:szCs w:val="18"/>
                <w:color w:val="auto"/>
              </w:rPr>
              <w:t>Avg. of</w:t>
            </w:r>
          </w:p>
        </w:tc>
        <w:tc>
          <w:tcPr>
            <w:tcW w:w="200" w:type="dxa"/>
            <w:vAlign w:val="bottom"/>
            <w:vMerge w:val="restart"/>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140" w:type="dxa"/>
            <w:vAlign w:val="bottom"/>
            <w:gridSpan w:val="4"/>
            <w:vMerge w:val="restart"/>
            <w:shd w:val="clear" w:color="auto" w:fill="CCEEFF"/>
          </w:tcPr>
          <w:p>
            <w:pPr>
              <w:ind w:left="660"/>
              <w:spacing w:after="0" w:line="15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gridSpan w:val="2"/>
            <w:vMerge w:val="continue"/>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restart"/>
            <w:shd w:val="clear" w:color="auto" w:fill="CCEEFF"/>
          </w:tcPr>
          <w:p>
            <w:pPr>
              <w:ind w:left="20"/>
              <w:spacing w:after="0" w:line="156" w:lineRule="exact"/>
              <w:rPr>
                <w:sz w:val="20"/>
                <w:szCs w:val="20"/>
                <w:color w:val="auto"/>
              </w:rPr>
            </w:pPr>
            <w:r>
              <w:rPr>
                <w:rFonts w:ascii="Arial" w:cs="Arial" w:eastAsia="Arial" w:hAnsi="Arial"/>
                <w:sz w:val="18"/>
                <w:szCs w:val="18"/>
                <w:color w:val="auto"/>
              </w:rPr>
              <w:t>Variable Rent</w:t>
            </w: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line="156" w:lineRule="exact"/>
              <w:rPr>
                <w:sz w:val="20"/>
                <w:szCs w:val="20"/>
                <w:color w:val="auto"/>
              </w:rPr>
            </w:pPr>
            <w:r>
              <w:rPr>
                <w:rFonts w:ascii="Arial" w:cs="Arial" w:eastAsia="Arial" w:hAnsi="Arial"/>
                <w:sz w:val="18"/>
                <w:szCs w:val="18"/>
                <w:color w:val="auto"/>
              </w:rPr>
              <w:t>2 year period less</w:t>
            </w:r>
          </w:p>
        </w:tc>
        <w:tc>
          <w:tcPr>
            <w:tcW w:w="1660" w:type="dxa"/>
            <w:vAlign w:val="bottom"/>
            <w:gridSpan w:val="4"/>
            <w:vMerge w:val="restart"/>
            <w:shd w:val="clear" w:color="auto" w:fill="CCEEFF"/>
          </w:tcPr>
          <w:p>
            <w:pPr>
              <w:ind w:left="80"/>
              <w:spacing w:after="0" w:line="156" w:lineRule="exact"/>
              <w:rPr>
                <w:sz w:val="20"/>
                <w:szCs w:val="20"/>
                <w:color w:val="auto"/>
              </w:rPr>
            </w:pPr>
            <w:r>
              <w:rPr>
                <w:rFonts w:ascii="Arial" w:cs="Arial" w:eastAsia="Arial" w:hAnsi="Arial"/>
                <w:sz w:val="18"/>
                <w:szCs w:val="18"/>
                <w:color w:val="auto"/>
              </w:rPr>
              <w:t>increase/decrease:</w:t>
            </w:r>
          </w:p>
        </w:tc>
        <w:tc>
          <w:tcPr>
            <w:tcW w:w="1300" w:type="dxa"/>
            <w:vAlign w:val="bottom"/>
            <w:gridSpan w:val="2"/>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460" w:type="dxa"/>
            <w:vAlign w:val="bottom"/>
            <w:vMerge w:val="continue"/>
            <w:shd w:val="clear" w:color="auto" w:fill="CCEEFF"/>
          </w:tcPr>
          <w:p>
            <w:pPr>
              <w:spacing w:after="0"/>
              <w:rPr>
                <w:sz w:val="8"/>
                <w:szCs w:val="8"/>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2 year period less</w:t>
            </w:r>
          </w:p>
        </w:tc>
        <w:tc>
          <w:tcPr>
            <w:tcW w:w="1780" w:type="dxa"/>
            <w:vAlign w:val="bottom"/>
            <w:vMerge w:val="continue"/>
            <w:shd w:val="clear" w:color="auto" w:fill="CCEEFF"/>
          </w:tcPr>
          <w:p>
            <w:pPr>
              <w:spacing w:after="0"/>
              <w:rPr>
                <w:sz w:val="8"/>
                <w:szCs w:val="8"/>
                <w:color w:val="auto"/>
              </w:rPr>
            </w:pPr>
          </w:p>
        </w:tc>
        <w:tc>
          <w:tcPr>
            <w:tcW w:w="1660" w:type="dxa"/>
            <w:vAlign w:val="bottom"/>
            <w:gridSpan w:val="4"/>
            <w:vMerge w:val="continue"/>
            <w:shd w:val="clear" w:color="auto" w:fill="CCEEFF"/>
          </w:tcPr>
          <w:p>
            <w:pPr>
              <w:spacing w:after="0"/>
              <w:rPr>
                <w:sz w:val="8"/>
                <w:szCs w:val="8"/>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7"/>
              </w:rPr>
              <w:t>years 5-7 less avg.</w:t>
            </w:r>
          </w:p>
        </w:tc>
        <w:tc>
          <w:tcPr>
            <w:tcW w:w="1140" w:type="dxa"/>
            <w:vAlign w:val="bottom"/>
            <w:shd w:val="clear" w:color="auto" w:fill="CCEEFF"/>
          </w:tcPr>
          <w:p>
            <w:pPr>
              <w:spacing w:after="0"/>
              <w:rPr>
                <w:sz w:val="8"/>
                <w:szCs w:val="8"/>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years 5-7 less avg.</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1560" w:type="dxa"/>
            <w:vAlign w:val="bottom"/>
            <w:vMerge w:val="continue"/>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00" w:type="dxa"/>
            <w:vAlign w:val="bottom"/>
            <w:gridSpan w:val="3"/>
            <w:vMerge w:val="continue"/>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14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46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threshold amount</w:t>
            </w:r>
          </w:p>
        </w:tc>
        <w:tc>
          <w:tcPr>
            <w:tcW w:w="1660" w:type="dxa"/>
            <w:vAlign w:val="bottom"/>
            <w:gridSpan w:val="4"/>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 xml:space="preserve">Year 8: </w:t>
            </w:r>
            <w:r>
              <w:rPr>
                <w:rFonts w:ascii="Arial" w:cs="Arial" w:eastAsia="Arial" w:hAnsi="Arial"/>
                <w:sz w:val="18"/>
                <w:szCs w:val="18"/>
                <w:color w:val="auto"/>
              </w:rPr>
              <w:t>Avg. of</w:t>
            </w:r>
          </w:p>
        </w:tc>
        <w:tc>
          <w:tcPr>
            <w:tcW w:w="1500" w:type="dxa"/>
            <w:vAlign w:val="bottom"/>
            <w:gridSpan w:val="3"/>
            <w:vMerge w:val="continue"/>
            <w:shd w:val="clear" w:color="auto" w:fill="CCEEFF"/>
          </w:tcPr>
          <w:p>
            <w:pPr>
              <w:spacing w:after="0"/>
              <w:rPr>
                <w:sz w:val="5"/>
                <w:szCs w:val="5"/>
                <w:color w:val="auto"/>
              </w:rPr>
            </w:pPr>
          </w:p>
        </w:tc>
        <w:tc>
          <w:tcPr>
            <w:tcW w:w="11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None</w:t>
            </w:r>
          </w:p>
        </w:tc>
        <w:tc>
          <w:tcPr>
            <w:tcW w:w="2140" w:type="dxa"/>
            <w:vAlign w:val="bottom"/>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6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threshold amount</w:t>
            </w:r>
          </w:p>
        </w:tc>
        <w:tc>
          <w:tcPr>
            <w:tcW w:w="1780" w:type="dxa"/>
            <w:vAlign w:val="bottom"/>
            <w:vMerge w:val="continue"/>
            <w:shd w:val="clear" w:color="auto" w:fill="CCEEFF"/>
          </w:tcPr>
          <w:p>
            <w:pPr>
              <w:spacing w:after="0"/>
              <w:rPr>
                <w:sz w:val="15"/>
                <w:szCs w:val="15"/>
                <w:color w:val="auto"/>
              </w:rPr>
            </w:pPr>
          </w:p>
        </w:tc>
        <w:tc>
          <w:tcPr>
            <w:tcW w:w="1660" w:type="dxa"/>
            <w:vAlign w:val="bottom"/>
            <w:gridSpan w:val="4"/>
            <w:vMerge w:val="continue"/>
            <w:shd w:val="clear" w:color="auto" w:fill="CCEEFF"/>
          </w:tcPr>
          <w:p>
            <w:pPr>
              <w:spacing w:after="0"/>
              <w:rPr>
                <w:sz w:val="15"/>
                <w:szCs w:val="15"/>
                <w:color w:val="auto"/>
              </w:rPr>
            </w:pPr>
          </w:p>
        </w:tc>
        <w:tc>
          <w:tcPr>
            <w:tcW w:w="1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of years 1-3</w:t>
            </w:r>
          </w:p>
        </w:tc>
        <w:tc>
          <w:tcPr>
            <w:tcW w:w="1140" w:type="dxa"/>
            <w:vAlign w:val="bottom"/>
            <w:vMerge w:val="continue"/>
            <w:shd w:val="clear" w:color="auto" w:fill="CCEEFF"/>
          </w:tcPr>
          <w:p>
            <w:pPr>
              <w:spacing w:after="0"/>
              <w:rPr>
                <w:sz w:val="15"/>
                <w:szCs w:val="15"/>
                <w:color w:val="auto"/>
              </w:rPr>
            </w:pPr>
          </w:p>
        </w:tc>
        <w:tc>
          <w:tcPr>
            <w:tcW w:w="2140" w:type="dxa"/>
            <w:vAlign w:val="bottom"/>
            <w:gridSpan w:val="4"/>
            <w:shd w:val="clear" w:color="auto" w:fill="CCEEFF"/>
          </w:tcPr>
          <w:p>
            <w:pPr>
              <w:ind w:left="660"/>
              <w:spacing w:after="0" w:line="176" w:lineRule="exact"/>
              <w:rPr>
                <w:sz w:val="20"/>
                <w:szCs w:val="20"/>
                <w:color w:val="auto"/>
              </w:rPr>
            </w:pPr>
            <w:r>
              <w:rPr>
                <w:rFonts w:ascii="Arial" w:cs="Arial" w:eastAsia="Arial" w:hAnsi="Arial"/>
                <w:sz w:val="16"/>
                <w:szCs w:val="16"/>
                <w:color w:val="auto"/>
              </w:rPr>
              <w:t xml:space="preserve">of years 0-2 </w:t>
            </w:r>
            <w:r>
              <w:rPr>
                <w:rFonts w:ascii="Arial" w:cs="Arial" w:eastAsia="Arial" w:hAnsi="Arial"/>
                <w:sz w:val="20"/>
                <w:szCs w:val="20"/>
                <w:i w:val="1"/>
                <w:iCs w:val="1"/>
                <w:color w:val="auto"/>
                <w:vertAlign w:val="superscript"/>
              </w:rPr>
              <w:t>(5)</w:t>
            </w: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calculation</w:t>
            </w:r>
          </w:p>
        </w:tc>
        <w:tc>
          <w:tcPr>
            <w:tcW w:w="1560" w:type="dxa"/>
            <w:vAlign w:val="bottom"/>
            <w:vMerge w:val="restart"/>
            <w:shd w:val="clear" w:color="auto" w:fill="CCEEFF"/>
          </w:tcPr>
          <w:p>
            <w:pPr>
              <w:ind w:left="20"/>
              <w:spacing w:after="0" w:line="189" w:lineRule="exact"/>
              <w:rPr>
                <w:sz w:val="20"/>
                <w:szCs w:val="20"/>
                <w:color w:val="auto"/>
              </w:rPr>
            </w:pPr>
            <w:r>
              <w:rPr>
                <w:rFonts w:ascii="Arial" w:cs="Arial" w:eastAsia="Arial" w:hAnsi="Arial"/>
                <w:sz w:val="18"/>
                <w:szCs w:val="18"/>
                <w:color w:val="auto"/>
              </w:rPr>
              <w:t>(defined as 50% of</w:t>
            </w:r>
          </w:p>
        </w:tc>
        <w:tc>
          <w:tcPr>
            <w:tcW w:w="178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rPr>
              <w:t>(defined as 50% of</w:t>
            </w:r>
          </w:p>
        </w:tc>
        <w:tc>
          <w:tcPr>
            <w:tcW w:w="1660" w:type="dxa"/>
            <w:vAlign w:val="bottom"/>
            <w:gridSpan w:val="4"/>
            <w:shd w:val="clear" w:color="auto" w:fill="CCEEFF"/>
          </w:tcPr>
          <w:p>
            <w:pPr>
              <w:ind w:left="80"/>
              <w:spacing w:after="0" w:line="95" w:lineRule="exact"/>
              <w:rPr>
                <w:sz w:val="20"/>
                <w:szCs w:val="20"/>
                <w:color w:val="auto"/>
              </w:rPr>
            </w:pPr>
            <w:r>
              <w:rPr>
                <w:rFonts w:ascii="Arial" w:cs="Arial" w:eastAsia="Arial" w:hAnsi="Arial"/>
                <w:sz w:val="10"/>
                <w:szCs w:val="10"/>
                <w:color w:val="auto"/>
              </w:rPr>
              <w:t>years 5-7 less avg.</w:t>
            </w:r>
          </w:p>
        </w:tc>
        <w:tc>
          <w:tcPr>
            <w:tcW w:w="1500" w:type="dxa"/>
            <w:vAlign w:val="bottom"/>
            <w:gridSpan w:val="3"/>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 xml:space="preserve">Year 11: </w:t>
            </w:r>
            <w:r>
              <w:rPr>
                <w:rFonts w:ascii="Arial" w:cs="Arial" w:eastAsia="Arial" w:hAnsi="Arial"/>
                <w:sz w:val="18"/>
                <w:szCs w:val="18"/>
                <w:color w:val="auto"/>
              </w:rPr>
              <w:t>Avg. of</w:t>
            </w:r>
          </w:p>
        </w:tc>
        <w:tc>
          <w:tcPr>
            <w:tcW w:w="1140" w:type="dxa"/>
            <w:vAlign w:val="bottom"/>
            <w:shd w:val="clear" w:color="auto" w:fill="CCEEFF"/>
          </w:tcPr>
          <w:p>
            <w:pPr>
              <w:spacing w:after="0"/>
              <w:rPr>
                <w:sz w:val="8"/>
                <w:szCs w:val="8"/>
                <w:color w:val="auto"/>
              </w:rPr>
            </w:pPr>
          </w:p>
        </w:tc>
        <w:tc>
          <w:tcPr>
            <w:tcW w:w="2140" w:type="dxa"/>
            <w:vAlign w:val="bottom"/>
            <w:gridSpan w:val="4"/>
            <w:vMerge w:val="restart"/>
            <w:shd w:val="clear" w:color="auto" w:fill="CCEEFF"/>
          </w:tcPr>
          <w:p>
            <w:pPr>
              <w:ind w:left="660"/>
              <w:spacing w:after="0" w:line="189" w:lineRule="exact"/>
              <w:rPr>
                <w:sz w:val="20"/>
                <w:szCs w:val="20"/>
                <w:color w:val="auto"/>
              </w:rPr>
            </w:pPr>
            <w:r>
              <w:rPr>
                <w:rFonts w:ascii="Arial" w:cs="Arial" w:eastAsia="Arial" w:hAnsi="Arial"/>
                <w:sz w:val="18"/>
                <w:szCs w:val="18"/>
                <w:b w:val="1"/>
                <w:bCs w:val="1"/>
                <w:color w:val="auto"/>
              </w:rPr>
              <w:t>Year 11</w:t>
            </w:r>
            <w:r>
              <w:rPr>
                <w:rFonts w:ascii="Arial" w:cs="Arial" w:eastAsia="Arial" w:hAnsi="Arial"/>
                <w:sz w:val="18"/>
                <w:szCs w:val="18"/>
                <w:color w:val="auto"/>
              </w:rPr>
              <w:t>: Avg. of</w:t>
            </w: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vMerge w:val="restart"/>
            <w:shd w:val="clear" w:color="auto" w:fill="CCEEFF"/>
          </w:tcPr>
          <w:p>
            <w:pPr>
              <w:ind w:left="120"/>
              <w:spacing w:after="0" w:line="189" w:lineRule="exact"/>
              <w:rPr>
                <w:sz w:val="20"/>
                <w:szCs w:val="20"/>
                <w:color w:val="auto"/>
              </w:rPr>
            </w:pPr>
            <w:r>
              <w:rPr>
                <w:rFonts w:ascii="Arial" w:cs="Arial" w:eastAsia="Arial" w:hAnsi="Arial"/>
                <w:sz w:val="18"/>
                <w:szCs w:val="18"/>
                <w:color w:val="auto"/>
              </w:rPr>
              <w:t>LTM net revenues</w:t>
            </w:r>
          </w:p>
        </w:tc>
        <w:tc>
          <w:tcPr>
            <w:tcW w:w="1660" w:type="dxa"/>
            <w:vAlign w:val="bottom"/>
            <w:gridSpan w:val="4"/>
            <w:vMerge w:val="restart"/>
            <w:shd w:val="clear" w:color="auto" w:fill="CCEEFF"/>
          </w:tcPr>
          <w:p>
            <w:pPr>
              <w:ind w:left="80"/>
              <w:spacing w:after="0" w:line="189" w:lineRule="exact"/>
              <w:rPr>
                <w:sz w:val="20"/>
                <w:szCs w:val="20"/>
                <w:color w:val="auto"/>
              </w:rPr>
            </w:pPr>
            <w:r>
              <w:rPr>
                <w:rFonts w:ascii="Arial" w:cs="Arial" w:eastAsia="Arial" w:hAnsi="Arial"/>
                <w:sz w:val="18"/>
                <w:szCs w:val="18"/>
                <w:color w:val="auto"/>
              </w:rPr>
              <w:t>of years 1-3</w:t>
            </w: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60" w:type="dxa"/>
            <w:vAlign w:val="bottom"/>
            <w:shd w:val="clear" w:color="auto" w:fill="CCEEFF"/>
          </w:tcPr>
          <w:p>
            <w:pPr>
              <w:spacing w:after="0"/>
              <w:rPr>
                <w:sz w:val="8"/>
                <w:szCs w:val="8"/>
                <w:color w:val="auto"/>
              </w:rPr>
            </w:pPr>
          </w:p>
        </w:tc>
        <w:tc>
          <w:tcPr>
            <w:tcW w:w="156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LTM net revenues</w:t>
            </w:r>
          </w:p>
        </w:tc>
        <w:tc>
          <w:tcPr>
            <w:tcW w:w="1780" w:type="dxa"/>
            <w:vAlign w:val="bottom"/>
            <w:vMerge w:val="continue"/>
            <w:shd w:val="clear" w:color="auto" w:fill="CCEEFF"/>
          </w:tcPr>
          <w:p>
            <w:pPr>
              <w:spacing w:after="0"/>
              <w:rPr>
                <w:sz w:val="8"/>
                <w:szCs w:val="8"/>
                <w:color w:val="auto"/>
              </w:rPr>
            </w:pPr>
          </w:p>
        </w:tc>
        <w:tc>
          <w:tcPr>
            <w:tcW w:w="1660" w:type="dxa"/>
            <w:vAlign w:val="bottom"/>
            <w:gridSpan w:val="4"/>
            <w:vMerge w:val="continue"/>
            <w:shd w:val="clear" w:color="auto" w:fill="CCEEFF"/>
          </w:tcPr>
          <w:p>
            <w:pPr>
              <w:spacing w:after="0"/>
              <w:rPr>
                <w:sz w:val="8"/>
                <w:szCs w:val="8"/>
                <w:color w:val="auto"/>
              </w:rPr>
            </w:pPr>
          </w:p>
        </w:tc>
        <w:tc>
          <w:tcPr>
            <w:tcW w:w="150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1"/>
              </w:rPr>
              <w:t>years 8-10 less avg.</w:t>
            </w:r>
          </w:p>
        </w:tc>
        <w:tc>
          <w:tcPr>
            <w:tcW w:w="1140" w:type="dxa"/>
            <w:vAlign w:val="bottom"/>
            <w:shd w:val="clear" w:color="auto" w:fill="CCEEFF"/>
          </w:tcPr>
          <w:p>
            <w:pPr>
              <w:spacing w:after="0"/>
              <w:rPr>
                <w:sz w:val="8"/>
                <w:szCs w:val="8"/>
                <w:color w:val="auto"/>
              </w:rPr>
            </w:pPr>
          </w:p>
        </w:tc>
        <w:tc>
          <w:tcPr>
            <w:tcW w:w="2140" w:type="dxa"/>
            <w:vAlign w:val="bottom"/>
            <w:gridSpan w:val="4"/>
            <w:vMerge w:val="restart"/>
            <w:shd w:val="clear" w:color="auto" w:fill="CCEEFF"/>
          </w:tcPr>
          <w:p>
            <w:pPr>
              <w:ind w:left="660"/>
              <w:spacing w:after="0" w:line="176" w:lineRule="exact"/>
              <w:rPr>
                <w:sz w:val="20"/>
                <w:szCs w:val="20"/>
                <w:color w:val="auto"/>
              </w:rPr>
            </w:pPr>
            <w:r>
              <w:rPr>
                <w:rFonts w:ascii="Arial" w:cs="Arial" w:eastAsia="Arial" w:hAnsi="Arial"/>
                <w:sz w:val="18"/>
                <w:szCs w:val="18"/>
                <w:color w:val="auto"/>
                <w:w w:val="90"/>
              </w:rPr>
              <w:t>years 8-10 less avg.</w:t>
            </w:r>
          </w:p>
        </w:tc>
        <w:tc>
          <w:tcPr>
            <w:tcW w:w="0" w:type="dxa"/>
            <w:vAlign w:val="bottom"/>
          </w:tcPr>
          <w:p>
            <w:pPr>
              <w:spacing w:after="0"/>
              <w:rPr>
                <w:sz w:val="1"/>
                <w:szCs w:val="1"/>
                <w:color w:val="auto"/>
              </w:rPr>
            </w:pPr>
          </w:p>
        </w:tc>
      </w:tr>
      <w:tr>
        <w:trPr>
          <w:trHeight w:val="81"/>
        </w:trPr>
        <w:tc>
          <w:tcPr>
            <w:tcW w:w="1460" w:type="dxa"/>
            <w:vAlign w:val="bottom"/>
            <w:shd w:val="clear" w:color="auto" w:fill="CCEEFF"/>
          </w:tcPr>
          <w:p>
            <w:pPr>
              <w:spacing w:after="0"/>
              <w:rPr>
                <w:sz w:val="7"/>
                <w:szCs w:val="7"/>
                <w:color w:val="auto"/>
              </w:rPr>
            </w:pPr>
          </w:p>
        </w:tc>
        <w:tc>
          <w:tcPr>
            <w:tcW w:w="1560" w:type="dxa"/>
            <w:vAlign w:val="bottom"/>
            <w:vMerge w:val="continue"/>
            <w:shd w:val="clear" w:color="auto" w:fill="CCEEFF"/>
          </w:tcPr>
          <w:p>
            <w:pPr>
              <w:spacing w:after="0"/>
              <w:rPr>
                <w:sz w:val="7"/>
                <w:szCs w:val="7"/>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prior to acquisition)</w:t>
            </w: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00" w:type="dxa"/>
            <w:vAlign w:val="bottom"/>
            <w:gridSpan w:val="3"/>
            <w:vMerge w:val="continue"/>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140" w:type="dxa"/>
            <w:vAlign w:val="bottom"/>
            <w:gridSpan w:val="4"/>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prior to acquisition)</w:t>
            </w:r>
          </w:p>
        </w:tc>
        <w:tc>
          <w:tcPr>
            <w:tcW w:w="17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of years 5-7</w:t>
            </w:r>
          </w:p>
        </w:tc>
        <w:tc>
          <w:tcPr>
            <w:tcW w:w="1140" w:type="dxa"/>
            <w:vAlign w:val="bottom"/>
            <w:shd w:val="clear" w:color="auto" w:fill="CCEEFF"/>
          </w:tcPr>
          <w:p>
            <w:pPr>
              <w:spacing w:after="0"/>
              <w:rPr>
                <w:sz w:val="12"/>
                <w:szCs w:val="12"/>
                <w:color w:val="auto"/>
              </w:rPr>
            </w:pPr>
          </w:p>
        </w:tc>
        <w:tc>
          <w:tcPr>
            <w:tcW w:w="2140" w:type="dxa"/>
            <w:vAlign w:val="bottom"/>
            <w:gridSpan w:val="4"/>
            <w:vMerge w:val="restart"/>
            <w:shd w:val="clear" w:color="auto" w:fill="CCEEFF"/>
          </w:tcPr>
          <w:p>
            <w:pPr>
              <w:ind w:left="660"/>
              <w:spacing w:after="0"/>
              <w:rPr>
                <w:sz w:val="20"/>
                <w:szCs w:val="20"/>
                <w:color w:val="auto"/>
              </w:rPr>
            </w:pPr>
            <w:r>
              <w:rPr>
                <w:rFonts w:ascii="Arial" w:cs="Arial" w:eastAsia="Arial" w:hAnsi="Arial"/>
                <w:sz w:val="18"/>
                <w:szCs w:val="18"/>
                <w:color w:val="auto"/>
              </w:rPr>
              <w:t>of years 5-7</w:t>
            </w:r>
          </w:p>
        </w:tc>
        <w:tc>
          <w:tcPr>
            <w:tcW w:w="0" w:type="dxa"/>
            <w:vAlign w:val="bottom"/>
          </w:tcPr>
          <w:p>
            <w:pPr>
              <w:spacing w:after="0"/>
              <w:rPr>
                <w:sz w:val="1"/>
                <w:szCs w:val="1"/>
                <w:color w:val="auto"/>
              </w:rPr>
            </w:pPr>
          </w:p>
        </w:tc>
      </w:tr>
      <w:tr>
        <w:trPr>
          <w:trHeight w:val="94"/>
        </w:trPr>
        <w:tc>
          <w:tcPr>
            <w:tcW w:w="1460" w:type="dxa"/>
            <w:vAlign w:val="bottom"/>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00" w:type="dxa"/>
            <w:vAlign w:val="bottom"/>
            <w:gridSpan w:val="3"/>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2140" w:type="dxa"/>
            <w:vAlign w:val="bottom"/>
            <w:gridSpan w:val="4"/>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4"/>
                <w:szCs w:val="14"/>
                <w:color w:val="auto"/>
                <w:w w:val="92"/>
              </w:rPr>
              <w:t>____________________</w:t>
            </w:r>
          </w:p>
        </w:tc>
        <w:tc>
          <w:tcPr>
            <w:tcW w:w="15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firstLine="8"/>
        <w:spacing w:after="0" w:line="257" w:lineRule="auto"/>
        <w:tabs>
          <w:tab w:leader="none" w:pos="208"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2022 and 2021.</w:t>
      </w:r>
    </w:p>
    <w:p>
      <w:pPr>
        <w:ind w:left="220" w:hanging="212"/>
        <w:spacing w:after="0"/>
        <w:tabs>
          <w:tab w:leader="none" w:pos="22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Starting in lease year 5, if the change in CPI is less than 0.5%, there will be no escalation in rent for such lease year.</w:t>
      </w:r>
    </w:p>
    <w:p>
      <w:pPr>
        <w:spacing w:after="0" w:line="14" w:lineRule="exact"/>
        <w:rPr>
          <w:rFonts w:ascii="Arial" w:cs="Arial" w:eastAsia="Arial" w:hAnsi="Arial"/>
          <w:sz w:val="14"/>
          <w:szCs w:val="14"/>
          <w:i w:val="1"/>
          <w:iCs w:val="1"/>
          <w:color w:val="auto"/>
        </w:rPr>
      </w:pPr>
    </w:p>
    <w:p>
      <w:pPr>
        <w:jc w:val="both"/>
        <w:ind w:firstLine="8"/>
        <w:spacing w:after="0" w:line="254" w:lineRule="auto"/>
        <w:tabs>
          <w:tab w:leader="none" w:pos="204"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With respect to the Century Master Lease, if the coverage ratio is below the stated amount the escalator will be reduced to 0.75%.</w:t>
      </w:r>
    </w:p>
    <w:p>
      <w:pPr>
        <w:spacing w:after="0" w:line="1" w:lineRule="exact"/>
        <w:rPr>
          <w:rFonts w:ascii="Arial" w:cs="Arial" w:eastAsia="Arial" w:hAnsi="Arial"/>
          <w:sz w:val="14"/>
          <w:szCs w:val="14"/>
          <w:i w:val="1"/>
          <w:iCs w:val="1"/>
          <w:color w:val="auto"/>
        </w:rPr>
      </w:pPr>
    </w:p>
    <w:p>
      <w:pPr>
        <w:jc w:val="both"/>
        <w:ind w:firstLine="8"/>
        <w:spacing w:after="0" w:line="257" w:lineRule="auto"/>
        <w:tabs>
          <w:tab w:leader="none" w:pos="213"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Variable (percentage rent) is subject to the percentage rent multiplier. With respect to the PENN Entertainment Leases, after the first percentage rent reset, any amounts related to variable (percentage) rent are considered contingent rent in accordance with GAAP. In relation to the Margaritaville Lease, during the three months ended September 30, 2022 and 2021, we recognized $0.9 million and $0.8 million, respectively, in contingent rent. During the nine months ended September 30, 2022 and 2021, we recognized $2.7 million and $2.2 million, respectively, in contingent rent. In relation to the Greektown Lease during the three months ended September 30, 2022 and 2021, we recognized approximately $0.5 million in contingent rent. During the nine months ended September 30, 2022 and 2021, we recognized $1.6 million and $0.7 million, respectively, in contingent rent.</w:t>
      </w:r>
    </w:p>
    <w:p>
      <w:pPr>
        <w:spacing w:after="0" w:line="2" w:lineRule="exact"/>
        <w:rPr>
          <w:rFonts w:ascii="Arial" w:cs="Arial" w:eastAsia="Arial" w:hAnsi="Arial"/>
          <w:sz w:val="14"/>
          <w:szCs w:val="14"/>
          <w:i w:val="1"/>
          <w:iCs w:val="1"/>
          <w:color w:val="auto"/>
        </w:rPr>
      </w:pPr>
    </w:p>
    <w:p>
      <w:pPr>
        <w:ind w:firstLine="8"/>
        <w:spacing w:after="0" w:line="283" w:lineRule="auto"/>
        <w:tabs>
          <w:tab w:leader="none" w:pos="209"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With respect to lease year 0, for the period Caesars Southern Indiana was closed in 2020 due to COVID-19, the Southern Indiana Lease provides for the use of 2019 net revenues, pro rated for the period of such closure.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Except as specifically provided in the below table, which summarizes the capital expenditure requirements of the respective tenants under the Caesars Leases, the Venetian Lease and the BREIT JV Lease, the tenants under our other Lease Agreements are all required to spend a minimum of 1% of net revenues or net gaming revenues, as the case may be: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Caesars Regional Master Lease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Caesars Las Vegas Master</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Provision</w:t>
            </w:r>
          </w:p>
        </w:tc>
        <w:tc>
          <w:tcPr>
            <w:tcW w:w="10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and Joliet Lease</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Venetian Lease</w:t>
            </w:r>
          </w:p>
        </w:tc>
        <w:tc>
          <w:tcPr>
            <w:tcW w:w="8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BREIT JV Lease</w:t>
            </w:r>
          </w:p>
        </w:tc>
        <w:tc>
          <w:tcPr>
            <w:tcW w:w="0" w:type="dxa"/>
            <w:vAlign w:val="bottom"/>
          </w:tcPr>
          <w:p>
            <w:pPr>
              <w:spacing w:after="0"/>
              <w:rPr>
                <w:sz w:val="1"/>
                <w:szCs w:val="1"/>
                <w:color w:val="auto"/>
              </w:rPr>
            </w:pPr>
          </w:p>
        </w:tc>
      </w:tr>
      <w:tr>
        <w:trPr>
          <w:trHeight w:val="169"/>
        </w:trPr>
        <w:tc>
          <w:tcPr>
            <w:tcW w:w="20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w:t>
            </w:r>
          </w:p>
        </w:tc>
        <w:tc>
          <w:tcPr>
            <w:tcW w:w="2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 xml:space="preserve">1% of net revenues </w:t>
            </w:r>
            <w:r>
              <w:rPr>
                <w:rFonts w:ascii="Arial" w:cs="Arial" w:eastAsia="Arial" w:hAnsi="Arial"/>
                <w:sz w:val="23"/>
                <w:szCs w:val="23"/>
                <w:i w:val="1"/>
                <w:iCs w:val="1"/>
                <w:color w:val="auto"/>
                <w:w w:val="88"/>
                <w:vertAlign w:val="superscript"/>
              </w:rPr>
              <w:t>(1)</w:t>
            </w: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7"/>
              </w:rPr>
              <w:t>2% of net revenues based on</w:t>
            </w:r>
          </w:p>
        </w:tc>
        <w:tc>
          <w:tcPr>
            <w:tcW w:w="21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88"/>
              </w:rPr>
              <w:t>3.5% of net revenues based</w:t>
            </w:r>
          </w:p>
        </w:tc>
        <w:tc>
          <w:tcPr>
            <w:tcW w:w="0" w:type="dxa"/>
            <w:vAlign w:val="bottom"/>
          </w:tcPr>
          <w:p>
            <w:pPr>
              <w:spacing w:after="0"/>
              <w:rPr>
                <w:sz w:val="1"/>
                <w:szCs w:val="1"/>
                <w:color w:val="auto"/>
              </w:rPr>
            </w:pPr>
          </w:p>
        </w:tc>
      </w:tr>
      <w:tr>
        <w:trPr>
          <w:trHeight w:val="176"/>
        </w:trPr>
        <w:tc>
          <w:tcPr>
            <w:tcW w:w="2000" w:type="dxa"/>
            <w:vAlign w:val="bottom"/>
            <w:gridSpan w:val="2"/>
            <w:vMerge w:val="continue"/>
            <w:shd w:val="clear" w:color="auto" w:fill="CCEEFF"/>
          </w:tcPr>
          <w:p>
            <w:pPr>
              <w:spacing w:after="0"/>
              <w:rPr>
                <w:sz w:val="15"/>
                <w:szCs w:val="15"/>
                <w:color w:val="auto"/>
              </w:rPr>
            </w:pPr>
          </w:p>
        </w:tc>
        <w:tc>
          <w:tcPr>
            <w:tcW w:w="2560" w:type="dxa"/>
            <w:vAlign w:val="bottom"/>
            <w:gridSpan w:val="2"/>
            <w:vMerge w:val="continue"/>
            <w:shd w:val="clear" w:color="auto" w:fill="CCEEFF"/>
          </w:tcPr>
          <w:p>
            <w:pPr>
              <w:spacing w:after="0"/>
              <w:rPr>
                <w:sz w:val="15"/>
                <w:szCs w:val="15"/>
                <w:color w:val="auto"/>
              </w:rPr>
            </w:pPr>
          </w:p>
        </w:tc>
        <w:tc>
          <w:tcPr>
            <w:tcW w:w="2260" w:type="dxa"/>
            <w:vAlign w:val="bottom"/>
            <w:gridSpan w:val="2"/>
            <w:vMerge w:val="continue"/>
            <w:shd w:val="clear" w:color="auto" w:fill="CCEEFF"/>
          </w:tcPr>
          <w:p>
            <w:pPr>
              <w:spacing w:after="0"/>
              <w:rPr>
                <w:sz w:val="15"/>
                <w:szCs w:val="15"/>
                <w:color w:val="auto"/>
              </w:rPr>
            </w:pPr>
          </w:p>
        </w:tc>
        <w:tc>
          <w:tcPr>
            <w:tcW w:w="2240" w:type="dxa"/>
            <w:vAlign w:val="bottom"/>
            <w:gridSpan w:val="2"/>
            <w:vMerge w:val="continue"/>
            <w:shd w:val="clear" w:color="auto" w:fill="CCEEFF"/>
          </w:tcPr>
          <w:p>
            <w:pPr>
              <w:spacing w:after="0"/>
              <w:rPr>
                <w:sz w:val="15"/>
                <w:szCs w:val="15"/>
                <w:color w:val="auto"/>
              </w:rPr>
            </w:pPr>
          </w:p>
        </w:tc>
        <w:tc>
          <w:tcPr>
            <w:tcW w:w="21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on 5-year rolling test, 1.5%</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expenditure</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1"/>
              </w:rPr>
              <w:t>rolling three-year basis</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monthly reserves</w:t>
            </w:r>
          </w:p>
        </w:tc>
        <w:tc>
          <w:tcPr>
            <w:tcW w:w="0" w:type="dxa"/>
            <w:vAlign w:val="bottom"/>
          </w:tcPr>
          <w:p>
            <w:pPr>
              <w:spacing w:after="0"/>
              <w:rPr>
                <w:sz w:val="1"/>
                <w:szCs w:val="1"/>
                <w:color w:val="auto"/>
              </w:rPr>
            </w:pPr>
          </w:p>
        </w:tc>
      </w:tr>
      <w:tr>
        <w:trPr>
          <w:trHeight w:val="176"/>
        </w:trPr>
        <w:tc>
          <w:tcPr>
            <w:tcW w:w="2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Rolling three-year</w:t>
            </w:r>
          </w:p>
        </w:tc>
        <w:tc>
          <w:tcPr>
            <w:tcW w:w="25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$311 million</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$84 million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218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2"/>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 xml:space="preserve">minimum </w:t>
            </w:r>
            <w:r>
              <w:rPr>
                <w:rFonts w:ascii="Arial" w:cs="Arial" w:eastAsia="Arial" w:hAnsi="Arial"/>
                <w:sz w:val="23"/>
                <w:szCs w:val="23"/>
                <w:i w:val="1"/>
                <w:iCs w:val="1"/>
                <w:color w:val="auto"/>
                <w:vertAlign w:val="superscript"/>
              </w:rPr>
              <w:t>(2)</w:t>
            </w:r>
          </w:p>
        </w:tc>
        <w:tc>
          <w:tcPr>
            <w:tcW w:w="2560" w:type="dxa"/>
            <w:vAlign w:val="bottom"/>
            <w:gridSpan w:val="2"/>
            <w:vMerge w:val="continue"/>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Arial" w:cs="Arial" w:eastAsia="Arial" w:hAnsi="Arial"/>
                <w:sz w:val="14"/>
                <w:szCs w:val="14"/>
                <w:color w:val="auto"/>
              </w:rPr>
              <w:t>____________________</w:t>
            </w: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firstLine="8"/>
        <w:spacing w:after="0" w:line="266" w:lineRule="auto"/>
        <w:tabs>
          <w:tab w:leader="none" w:pos="23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Caesars Leases require a $114.5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jc w:val="both"/>
        <w:ind w:firstLine="8"/>
        <w:spacing w:after="0" w:line="288" w:lineRule="auto"/>
        <w:tabs>
          <w:tab w:leader="none" w:pos="213"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$537.5 million on capital expenditures (including gaming equipment) across certain of its affiliates and other assets, together with the $380.3 million requirement.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September 30, 2022 and December 31,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Borders>
              <w:top w:val="single" w:sz="8" w:color="auto"/>
            </w:tcBorders>
            <w:gridSpan w:val="2"/>
            <w:vMerge w:val="restart"/>
          </w:tcPr>
          <w:p>
            <w:pPr>
              <w:ind w:left="800"/>
              <w:spacing w:after="0"/>
              <w:rPr>
                <w:sz w:val="20"/>
                <w:szCs w:val="20"/>
                <w:color w:val="auto"/>
              </w:rPr>
            </w:pPr>
            <w:r>
              <w:rPr>
                <w:rFonts w:ascii="Arial" w:cs="Arial" w:eastAsia="Arial" w:hAnsi="Arial"/>
                <w:sz w:val="16"/>
                <w:szCs w:val="16"/>
                <w:b w:val="1"/>
                <w:bCs w:val="1"/>
                <w:color w:val="auto"/>
              </w:rPr>
              <w:t>Loan Type</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Principal Balance</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w:t>
            </w:r>
            <w:r>
              <w:rPr>
                <w:rFonts w:ascii="Arial" w:cs="Arial" w:eastAsia="Arial" w:hAnsi="Arial"/>
                <w:sz w:val="21"/>
                <w:szCs w:val="21"/>
                <w:b w:val="1"/>
                <w:bCs w:val="1"/>
                <w:i w:val="1"/>
                <w:iCs w:val="1"/>
                <w:color w:val="auto"/>
                <w:vertAlign w:val="superscript"/>
              </w:rPr>
              <w:t>(1)</w:t>
            </w: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ind w:left="80"/>
              <w:spacing w:after="0" w:line="161" w:lineRule="exact"/>
              <w:rPr>
                <w:sz w:val="20"/>
                <w:szCs w:val="20"/>
                <w:color w:val="auto"/>
              </w:rPr>
            </w:pPr>
            <w:r>
              <w:rPr>
                <w:rFonts w:ascii="Arial" w:cs="Arial" w:eastAsia="Arial" w:hAnsi="Arial"/>
                <w:sz w:val="16"/>
                <w:szCs w:val="16"/>
                <w:b w:val="1"/>
                <w:bCs w:val="1"/>
                <w:color w:val="auto"/>
              </w:rPr>
              <w:t>Future Funding</w:t>
            </w:r>
          </w:p>
        </w:tc>
        <w:tc>
          <w:tcPr>
            <w:tcW w:w="1900" w:type="dxa"/>
            <w:vAlign w:val="bottom"/>
            <w:tcBorders>
              <w:top w:val="single" w:sz="8" w:color="auto"/>
            </w:tcBorders>
            <w:gridSpan w:val="2"/>
          </w:tcPr>
          <w:p>
            <w:pPr>
              <w:jc w:val="center"/>
              <w:ind w:right="80"/>
              <w:spacing w:after="0" w:line="161" w:lineRule="exact"/>
              <w:rPr>
                <w:sz w:val="20"/>
                <w:szCs w:val="20"/>
                <w:color w:val="auto"/>
              </w:rPr>
            </w:pPr>
            <w:r>
              <w:rPr>
                <w:rFonts w:ascii="Arial" w:cs="Arial" w:eastAsia="Arial" w:hAnsi="Arial"/>
                <w:sz w:val="16"/>
                <w:szCs w:val="16"/>
                <w:b w:val="1"/>
                <w:bCs w:val="1"/>
                <w:color w:val="auto"/>
                <w:w w:val="90"/>
              </w:rPr>
              <w:t>Weighted Average</w:t>
            </w:r>
          </w:p>
        </w:tc>
        <w:tc>
          <w:tcPr>
            <w:tcW w:w="16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Term </w:t>
            </w:r>
            <w:r>
              <w:rPr>
                <w:rFonts w:ascii="Arial" w:cs="Arial" w:eastAsia="Arial" w:hAnsi="Arial"/>
                <w:sz w:val="21"/>
                <w:szCs w:val="21"/>
                <w:b w:val="1"/>
                <w:bCs w:val="1"/>
                <w:i w:val="1"/>
                <w:iCs w:val="1"/>
                <w:color w:val="auto"/>
                <w:w w:val="88"/>
                <w:vertAlign w:val="superscript"/>
              </w:rPr>
              <w:t>(3)</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213,832</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3.3 years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153,898</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6"/>
              </w:rPr>
              <w:t>4.1 years</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367,730</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3.5 years</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December 31, 2021</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40" w:type="dxa"/>
            <w:vAlign w:val="bottom"/>
            <w:gridSpan w:val="2"/>
            <w:vMerge w:val="restart"/>
          </w:tcPr>
          <w:p>
            <w:pPr>
              <w:ind w:left="800"/>
              <w:spacing w:after="0"/>
              <w:rPr>
                <w:sz w:val="20"/>
                <w:szCs w:val="20"/>
                <w:color w:val="auto"/>
              </w:rPr>
            </w:pPr>
            <w:r>
              <w:rPr>
                <w:rFonts w:ascii="Arial" w:cs="Arial" w:eastAsia="Arial" w:hAnsi="Arial"/>
                <w:sz w:val="16"/>
                <w:szCs w:val="16"/>
                <w:b w:val="1"/>
                <w:bCs w:val="1"/>
                <w:color w:val="auto"/>
              </w:rPr>
              <w:t>Loan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Principal Balance</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Carrying Value</w:t>
            </w:r>
            <w:r>
              <w:rPr>
                <w:rFonts w:ascii="Arial" w:cs="Arial" w:eastAsia="Arial" w:hAnsi="Arial"/>
                <w:sz w:val="21"/>
                <w:szCs w:val="21"/>
                <w:b w:val="1"/>
                <w:bCs w:val="1"/>
                <w:i w:val="1"/>
                <w:iCs w:val="1"/>
                <w:color w:val="auto"/>
                <w:vertAlign w:val="superscript"/>
              </w:rPr>
              <w:t>(1)</w:t>
            </w:r>
          </w:p>
        </w:tc>
        <w:tc>
          <w:tcPr>
            <w:tcW w:w="200" w:type="dxa"/>
            <w:vAlign w:val="bottom"/>
          </w:tcPr>
          <w:p>
            <w:pPr>
              <w:spacing w:after="0"/>
              <w:rPr>
                <w:sz w:val="13"/>
                <w:szCs w:val="13"/>
                <w:color w:val="auto"/>
              </w:rPr>
            </w:pPr>
          </w:p>
        </w:tc>
        <w:tc>
          <w:tcPr>
            <w:tcW w:w="15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Future Funding</w:t>
            </w:r>
          </w:p>
        </w:tc>
        <w:tc>
          <w:tcPr>
            <w:tcW w:w="19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6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8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6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Term </w:t>
            </w:r>
            <w:r>
              <w:rPr>
                <w:rFonts w:ascii="Arial" w:cs="Arial" w:eastAsia="Arial" w:hAnsi="Arial"/>
                <w:sz w:val="21"/>
                <w:szCs w:val="21"/>
                <w:b w:val="1"/>
                <w:bCs w:val="1"/>
                <w:i w:val="1"/>
                <w:iCs w:val="1"/>
                <w:color w:val="auto"/>
                <w:w w:val="88"/>
                <w:vertAlign w:val="superscript"/>
              </w:rPr>
              <w:t>(3)</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Secured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3.5 years</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Mezzanine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45,886</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60,886</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6"/>
              </w:rPr>
              <w:t>3.5 years</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includes unamortized loan origination costs and are net of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Assumes all extension options are exercised; however, our loans may be repaid, subject to certain conditions, prior to such 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ASC 326, we are required to estimate and record non-cash credit losses related to our historical and any future investments in sales-type leases, lease financing receivables and loans.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30, 2022, we recognized a $232.8 million increase in our allowance for credit losses primarily driven by (i) changes in the macroeconomic model used to scenario condition our reasonable and supportable period, or R&amp;S Period, probability of default, or PD, due to uncertain and potentially negative future market conditions, (ii) an increase in the R&amp;S Period PD of our tenants and their parent guarantors as a result of market volatility during the current quarter, (iii) an increase in the R&amp;S Period PD and loss given default, or LGD, as a result of standard annual updates that were made to the inputs and assumptions in the model that we utilize to estimate our CECL allowance, and (iv) the initial CECL allowance on the future funding commitments from the origination of the Great Wolf Gulf Coast Texas Loan and the Great Wolf South Florida Loan.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September 30, 2022, we recognized an $865.5 million increase in our allowance for credit losses primarily driven by initial CECL allowances on our acquisition activity during such period in the amount of $523.2 million, representing 60.5% of the total allowance for the nine months ended September 30, 2022.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(ii) the closing of the Venetian Acquisition on February 23, 2022, which included (a) the classification of the Venetian Lease as a sales-type lease, (b) the estimated future funding commitments under the Venetian PGF and (c) the sales-type sub-lease agreements we assumed in connection with the closing of the Venetian Acquisition, and (iii) the future funding commitments from the origination of the BigShots Loan, the Cabot Citrus Farms Loan, the Great Wolf South Florida Loan and the Great Wolf Gulf Coast Texas Loan. Additional increases were attributable to the increase for the three months ended September 30, 2022 as described above. These increases were partially offset by a decrease in the Long-Term Period PD as a result of standard annual updates that were made to the Long-Term Period PD default study we utilize to estimate our CECL allowance.</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we recognized a $9.0 million increase in our allowance for credit losses primarily driven by (i) the increase in the Long-Term Period PD for one of our tenants during the third quarter of 2021 and (ii) an increase in the existing amortized cost balances subject to the CECL allowance.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2021, we recognized a $24.5 million decrease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and second quarters of 2021, (ii) the decrease in the Long-Term Period PD due to an upgrade of the credit rating of the senior secured debt used to determine the Long-Term Period PD for two of our tenants during the second quarter of 2021 and (iii) the decrease in the R&amp;S Period PD and LGD as a result of standard annual updates that were made to the inputs and assumptions in the model that we utilize to estimate our CECL allowance. This decrease was partially offset by the increase for the three months ended September 30, 2021 described above.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and December 31, 2021, and since our formation date on October 6, 2017, all of our Lease Agreements and loan investments are current in payment of their obligations to us and no investments are on non-accrual status.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September 30, 2022 and December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September 30, 2022</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right"/>
              <w:ind w:right="11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right"/>
              <w:ind w:right="273"/>
              <w:spacing w:after="0" w:line="142"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17,011,585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17,102,430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(660,814)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16,441,616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784,112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34,795,072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December 31, 2021</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 Investment</w:t>
            </w:r>
          </w:p>
        </w:tc>
        <w:tc>
          <w:tcPr>
            <w:tcW w:w="1820" w:type="dxa"/>
            <w:vAlign w:val="bottom"/>
          </w:tcPr>
          <w:p>
            <w:pPr>
              <w:jc w:val="right"/>
              <w:ind w:right="11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right"/>
              <w:ind w:right="273"/>
              <w:spacing w:after="0" w:line="142"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2,735,948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273,970</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16,553,460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55" w:lineRule="auto"/>
        <w:tabs>
          <w:tab w:leader="none" w:pos="208"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commitments of our senior secured and mezzanine loans. As of September 30, 2022 and December 31, 2021, such allowance is $23.5 million and $1.0 million, respectively, and is recorded in Other liabilities.</w:t>
      </w:r>
    </w:p>
    <w:p>
      <w:pPr>
        <w:spacing w:after="0" w:line="2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chart reflects the roll-forward of the allowance for credit losses on our real estate portfolio for the nine months ended September 30, 2022 and 2021:</w:t>
      </w:r>
    </w:p>
    <w:p>
      <w:pPr>
        <w:spacing w:after="0" w:line="103"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791"/>
              <w:spacing w:after="0" w:line="161"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71"/>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Initial allowance from current period investments</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523,235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change in credit allowance</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6"/>
                <w:szCs w:val="16"/>
                <w:b w:val="1"/>
                <w:bCs w:val="1"/>
                <w:color w:val="auto"/>
              </w:rPr>
              <w:t>Ending Balance September 30,</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1,399,785</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529,427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ind w:left="760"/>
              <w:spacing w:after="0"/>
              <w:rPr>
                <w:sz w:val="20"/>
                <w:szCs w:val="20"/>
                <w:color w:val="auto"/>
              </w:rPr>
            </w:pPr>
            <w:r>
              <w:rPr>
                <w:rFonts w:ascii="Arial" w:cs="Arial" w:eastAsia="Arial" w:hAnsi="Arial"/>
                <w:sz w:val="16"/>
                <w:szCs w:val="16"/>
                <w:b w:val="1"/>
                <w:bCs w:val="1"/>
                <w:color w:val="auto"/>
                <w:w w:val="96"/>
              </w:rPr>
              <w:t>September 30, 2022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28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ind w:left="200"/>
              <w:spacing w:after="0" w:line="142" w:lineRule="exact"/>
              <w:rPr>
                <w:sz w:val="20"/>
                <w:szCs w:val="20"/>
                <w:color w:val="auto"/>
              </w:rPr>
            </w:pPr>
            <w:r>
              <w:rPr>
                <w:rFonts w:ascii="Arial" w:cs="Arial" w:eastAsia="Arial" w:hAnsi="Arial"/>
                <w:sz w:val="16"/>
                <w:szCs w:val="16"/>
                <w:b w:val="1"/>
                <w:bCs w:val="1"/>
                <w:color w:val="auto"/>
              </w:rPr>
              <w:t>Ba2</w:t>
            </w:r>
          </w:p>
        </w:tc>
        <w:tc>
          <w:tcPr>
            <w:tcW w:w="240" w:type="dxa"/>
            <w:vAlign w:val="bottom"/>
          </w:tcPr>
          <w:p>
            <w:pPr>
              <w:spacing w:after="0"/>
              <w:rPr>
                <w:sz w:val="13"/>
                <w:szCs w:val="13"/>
                <w:color w:val="auto"/>
              </w:rPr>
            </w:pPr>
          </w:p>
        </w:tc>
        <w:tc>
          <w:tcPr>
            <w:tcW w:w="1000" w:type="dxa"/>
            <w:vAlign w:val="bottom"/>
            <w:gridSpan w:val="2"/>
          </w:tcPr>
          <w:p>
            <w:pPr>
              <w:ind w:left="240"/>
              <w:spacing w:after="0" w:line="142" w:lineRule="exact"/>
              <w:rPr>
                <w:sz w:val="20"/>
                <w:szCs w:val="20"/>
                <w:color w:val="auto"/>
              </w:rPr>
            </w:pPr>
            <w:r>
              <w:rPr>
                <w:rFonts w:ascii="Arial" w:cs="Arial" w:eastAsia="Arial" w:hAnsi="Arial"/>
                <w:sz w:val="16"/>
                <w:szCs w:val="16"/>
                <w:b w:val="1"/>
                <w:bCs w:val="1"/>
                <w:color w:val="auto"/>
              </w:rPr>
              <w:t>Ba3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300"/>
              <w:spacing w:after="0" w:line="142" w:lineRule="exact"/>
              <w:rPr>
                <w:sz w:val="20"/>
                <w:szCs w:val="20"/>
                <w:color w:val="auto"/>
              </w:rPr>
            </w:pPr>
            <w:r>
              <w:rPr>
                <w:rFonts w:ascii="Arial" w:cs="Arial" w:eastAsia="Arial" w:hAnsi="Arial"/>
                <w:sz w:val="16"/>
                <w:szCs w:val="16"/>
                <w:b w:val="1"/>
                <w:bCs w:val="1"/>
                <w:color w:val="auto"/>
              </w:rPr>
              <w:t>B1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200"/>
              <w:spacing w:after="0" w:line="142" w:lineRule="exact"/>
              <w:rPr>
                <w:sz w:val="20"/>
                <w:szCs w:val="20"/>
                <w:color w:val="auto"/>
              </w:rPr>
            </w:pPr>
            <w:r>
              <w:rPr>
                <w:rFonts w:ascii="Arial" w:cs="Arial" w:eastAsia="Arial" w:hAnsi="Arial"/>
                <w:sz w:val="16"/>
                <w:szCs w:val="16"/>
                <w:b w:val="1"/>
                <w:bCs w:val="1"/>
                <w:color w:val="auto"/>
              </w:rPr>
              <w:t>B2</w:t>
            </w:r>
          </w:p>
        </w:tc>
        <w:tc>
          <w:tcPr>
            <w:tcW w:w="240" w:type="dxa"/>
            <w:vAlign w:val="bottom"/>
          </w:tcPr>
          <w:p>
            <w:pPr>
              <w:spacing w:after="0"/>
              <w:rPr>
                <w:sz w:val="13"/>
                <w:szCs w:val="13"/>
                <w:color w:val="auto"/>
              </w:rPr>
            </w:pPr>
          </w:p>
        </w:tc>
        <w:tc>
          <w:tcPr>
            <w:tcW w:w="880" w:type="dxa"/>
            <w:vAlign w:val="bottom"/>
            <w:gridSpan w:val="2"/>
          </w:tcPr>
          <w:p>
            <w:pPr>
              <w:ind w:left="180"/>
              <w:spacing w:after="0" w:line="142" w:lineRule="exact"/>
              <w:rPr>
                <w:sz w:val="20"/>
                <w:szCs w:val="20"/>
                <w:color w:val="auto"/>
              </w:rPr>
            </w:pPr>
            <w:r>
              <w:rPr>
                <w:rFonts w:ascii="Arial" w:cs="Arial" w:eastAsia="Arial" w:hAnsi="Arial"/>
                <w:sz w:val="16"/>
                <w:szCs w:val="16"/>
                <w:b w:val="1"/>
                <w:bCs w:val="1"/>
                <w:color w:val="auto"/>
              </w:rPr>
              <w:t>B3</w:t>
            </w:r>
          </w:p>
        </w:tc>
        <w:tc>
          <w:tcPr>
            <w:tcW w:w="200" w:type="dxa"/>
            <w:vAlign w:val="bottom"/>
          </w:tcPr>
          <w:p>
            <w:pPr>
              <w:spacing w:after="0"/>
              <w:rPr>
                <w:sz w:val="13"/>
                <w:szCs w:val="13"/>
                <w:color w:val="auto"/>
              </w:rPr>
            </w:pPr>
          </w:p>
        </w:tc>
        <w:tc>
          <w:tcPr>
            <w:tcW w:w="880" w:type="dxa"/>
            <w:vAlign w:val="bottom"/>
            <w:gridSpan w:val="4"/>
          </w:tcPr>
          <w:p>
            <w:pPr>
              <w:ind w:left="100"/>
              <w:spacing w:after="0" w:line="142" w:lineRule="exact"/>
              <w:rPr>
                <w:sz w:val="20"/>
                <w:szCs w:val="20"/>
                <w:color w:val="auto"/>
              </w:rPr>
            </w:pPr>
            <w:r>
              <w:rPr>
                <w:rFonts w:ascii="Arial" w:cs="Arial" w:eastAsia="Arial" w:hAnsi="Arial"/>
                <w:sz w:val="16"/>
                <w:szCs w:val="16"/>
                <w:b w:val="1"/>
                <w:bCs w:val="1"/>
                <w:color w:val="auto"/>
                <w:vertAlign w:val="subscript"/>
              </w:rPr>
              <w:t>N/A</w:t>
            </w:r>
            <w:r>
              <w:rPr>
                <w:rFonts w:ascii="Arial" w:cs="Arial" w:eastAsia="Arial" w:hAnsi="Arial"/>
                <w:sz w:val="8"/>
                <w:szCs w:val="8"/>
                <w:b w:val="1"/>
                <w:bCs w:val="1"/>
                <w:i w:val="1"/>
                <w:iCs w:val="1"/>
                <w:color w:val="auto"/>
              </w:rPr>
              <w:t>(2)</w:t>
            </w:r>
          </w:p>
        </w:tc>
        <w:tc>
          <w:tcPr>
            <w:tcW w:w="220" w:type="dxa"/>
            <w:vAlign w:val="bottom"/>
          </w:tcPr>
          <w:p>
            <w:pPr>
              <w:spacing w:after="0"/>
              <w:rPr>
                <w:sz w:val="13"/>
                <w:szCs w:val="13"/>
                <w:color w:val="auto"/>
              </w:rPr>
            </w:pPr>
          </w:p>
        </w:tc>
        <w:tc>
          <w:tcPr>
            <w:tcW w:w="1000" w:type="dxa"/>
            <w:vAlign w:val="bottom"/>
          </w:tcPr>
          <w:p>
            <w:pPr>
              <w:jc w:val="right"/>
              <w:ind w:right="355"/>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28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Investments in leases - sales-type and</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3"/>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8"/>
              </w:rPr>
              <w:t>financing receivable, Investments in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6"/>
        </w:trPr>
        <w:tc>
          <w:tcPr>
            <w:tcW w:w="20" w:type="dxa"/>
            <w:vAlign w:val="bottom"/>
            <w:shd w:val="clear" w:color="auto" w:fill="CCEEFF"/>
          </w:tcPr>
          <w:p>
            <w:pPr>
              <w:spacing w:after="0"/>
              <w:rPr>
                <w:sz w:val="20"/>
                <w:szCs w:val="20"/>
                <w:color w:val="auto"/>
              </w:rPr>
            </w:pPr>
          </w:p>
        </w:tc>
        <w:tc>
          <w:tcPr>
            <w:tcW w:w="2820" w:type="dxa"/>
            <w:vAlign w:val="bottom"/>
            <w:gridSpan w:val="2"/>
            <w:shd w:val="clear" w:color="auto" w:fill="CCEEFF"/>
          </w:tcPr>
          <w:p>
            <w:pPr>
              <w:spacing w:after="0" w:line="235" w:lineRule="exact"/>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4,230,599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15,624,832</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14,975,981</w:t>
            </w:r>
          </w:p>
        </w:tc>
        <w:tc>
          <w:tcPr>
            <w:tcW w:w="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36,171,331</w:t>
            </w:r>
          </w:p>
        </w:tc>
      </w:tr>
      <w:tr>
        <w:trPr>
          <w:trHeight w:val="38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780"/>
              <w:spacing w:after="0"/>
              <w:rPr>
                <w:sz w:val="20"/>
                <w:szCs w:val="20"/>
                <w:color w:val="auto"/>
              </w:rPr>
            </w:pPr>
            <w:r>
              <w:rPr>
                <w:rFonts w:ascii="Arial" w:cs="Arial" w:eastAsia="Arial" w:hAnsi="Arial"/>
                <w:sz w:val="16"/>
                <w:szCs w:val="16"/>
                <w:b w:val="1"/>
                <w:bCs w:val="1"/>
                <w:color w:val="auto"/>
                <w:w w:val="95"/>
              </w:rPr>
              <w:t>September 30, 2021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28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ind w:left="200"/>
              <w:spacing w:after="0" w:line="142" w:lineRule="exact"/>
              <w:rPr>
                <w:sz w:val="20"/>
                <w:szCs w:val="20"/>
                <w:color w:val="auto"/>
              </w:rPr>
            </w:pPr>
            <w:r>
              <w:rPr>
                <w:rFonts w:ascii="Arial" w:cs="Arial" w:eastAsia="Arial" w:hAnsi="Arial"/>
                <w:sz w:val="16"/>
                <w:szCs w:val="16"/>
                <w:b w:val="1"/>
                <w:bCs w:val="1"/>
                <w:color w:val="auto"/>
              </w:rPr>
              <w:t>Ba2</w:t>
            </w:r>
          </w:p>
        </w:tc>
        <w:tc>
          <w:tcPr>
            <w:tcW w:w="240" w:type="dxa"/>
            <w:vAlign w:val="bottom"/>
          </w:tcPr>
          <w:p>
            <w:pPr>
              <w:spacing w:after="0"/>
              <w:rPr>
                <w:sz w:val="13"/>
                <w:szCs w:val="13"/>
                <w:color w:val="auto"/>
              </w:rPr>
            </w:pPr>
          </w:p>
        </w:tc>
        <w:tc>
          <w:tcPr>
            <w:tcW w:w="1000" w:type="dxa"/>
            <w:vAlign w:val="bottom"/>
            <w:gridSpan w:val="2"/>
          </w:tcPr>
          <w:p>
            <w:pPr>
              <w:ind w:left="220"/>
              <w:spacing w:after="0" w:line="142" w:lineRule="exact"/>
              <w:rPr>
                <w:sz w:val="20"/>
                <w:szCs w:val="20"/>
                <w:color w:val="auto"/>
              </w:rPr>
            </w:pPr>
            <w:r>
              <w:rPr>
                <w:rFonts w:ascii="Arial" w:cs="Arial" w:eastAsia="Arial" w:hAnsi="Arial"/>
                <w:sz w:val="16"/>
                <w:szCs w:val="16"/>
                <w:b w:val="1"/>
                <w:bCs w:val="1"/>
                <w:color w:val="auto"/>
              </w:rPr>
              <w:t>Ba3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280"/>
              <w:spacing w:after="0" w:line="142" w:lineRule="exact"/>
              <w:rPr>
                <w:sz w:val="20"/>
                <w:szCs w:val="20"/>
                <w:color w:val="auto"/>
              </w:rPr>
            </w:pPr>
            <w:r>
              <w:rPr>
                <w:rFonts w:ascii="Arial" w:cs="Arial" w:eastAsia="Arial" w:hAnsi="Arial"/>
                <w:sz w:val="16"/>
                <w:szCs w:val="16"/>
                <w:b w:val="1"/>
                <w:bCs w:val="1"/>
                <w:color w:val="auto"/>
              </w:rPr>
              <w:t>B1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80"/>
              <w:spacing w:after="0" w:line="142" w:lineRule="exact"/>
              <w:rPr>
                <w:sz w:val="20"/>
                <w:szCs w:val="20"/>
                <w:color w:val="auto"/>
              </w:rPr>
            </w:pPr>
            <w:r>
              <w:rPr>
                <w:rFonts w:ascii="Arial" w:cs="Arial" w:eastAsia="Arial" w:hAnsi="Arial"/>
                <w:sz w:val="16"/>
                <w:szCs w:val="16"/>
                <w:b w:val="1"/>
                <w:bCs w:val="1"/>
                <w:color w:val="auto"/>
              </w:rPr>
              <w:t>B2</w:t>
            </w:r>
          </w:p>
        </w:tc>
        <w:tc>
          <w:tcPr>
            <w:tcW w:w="240" w:type="dxa"/>
            <w:vAlign w:val="bottom"/>
          </w:tcPr>
          <w:p>
            <w:pPr>
              <w:spacing w:after="0"/>
              <w:rPr>
                <w:sz w:val="13"/>
                <w:szCs w:val="13"/>
                <w:color w:val="auto"/>
              </w:rPr>
            </w:pPr>
          </w:p>
        </w:tc>
        <w:tc>
          <w:tcPr>
            <w:tcW w:w="880" w:type="dxa"/>
            <w:vAlign w:val="bottom"/>
            <w:gridSpan w:val="2"/>
          </w:tcPr>
          <w:p>
            <w:pPr>
              <w:ind w:left="180"/>
              <w:spacing w:after="0" w:line="142" w:lineRule="exact"/>
              <w:rPr>
                <w:sz w:val="20"/>
                <w:szCs w:val="20"/>
                <w:color w:val="auto"/>
              </w:rPr>
            </w:pPr>
            <w:r>
              <w:rPr>
                <w:rFonts w:ascii="Arial" w:cs="Arial" w:eastAsia="Arial" w:hAnsi="Arial"/>
                <w:sz w:val="16"/>
                <w:szCs w:val="16"/>
                <w:b w:val="1"/>
                <w:bCs w:val="1"/>
                <w:color w:val="auto"/>
              </w:rPr>
              <w:t>B3</w:t>
            </w:r>
          </w:p>
        </w:tc>
        <w:tc>
          <w:tcPr>
            <w:tcW w:w="200" w:type="dxa"/>
            <w:vAlign w:val="bottom"/>
          </w:tcPr>
          <w:p>
            <w:pPr>
              <w:spacing w:after="0"/>
              <w:rPr>
                <w:sz w:val="13"/>
                <w:szCs w:val="13"/>
                <w:color w:val="auto"/>
              </w:rPr>
            </w:pPr>
          </w:p>
        </w:tc>
        <w:tc>
          <w:tcPr>
            <w:tcW w:w="880" w:type="dxa"/>
            <w:vAlign w:val="bottom"/>
            <w:gridSpan w:val="4"/>
          </w:tcPr>
          <w:p>
            <w:pPr>
              <w:ind w:left="80"/>
              <w:spacing w:after="0" w:line="142" w:lineRule="exact"/>
              <w:rPr>
                <w:sz w:val="20"/>
                <w:szCs w:val="20"/>
                <w:color w:val="auto"/>
              </w:rPr>
            </w:pPr>
            <w:r>
              <w:rPr>
                <w:rFonts w:ascii="Arial" w:cs="Arial" w:eastAsia="Arial" w:hAnsi="Arial"/>
                <w:sz w:val="13"/>
                <w:szCs w:val="13"/>
                <w:b w:val="1"/>
                <w:bCs w:val="1"/>
                <w:color w:val="auto"/>
              </w:rPr>
              <w:t>N/A</w:t>
            </w:r>
            <w:r>
              <w:rPr>
                <w:rFonts w:ascii="Arial" w:cs="Arial" w:eastAsia="Arial" w:hAnsi="Arial"/>
                <w:sz w:val="16"/>
                <w:szCs w:val="16"/>
                <w:b w:val="1"/>
                <w:bCs w:val="1"/>
                <w:i w:val="1"/>
                <w:iCs w:val="1"/>
                <w:color w:val="auto"/>
                <w:vertAlign w:val="superscript"/>
              </w:rPr>
              <w:t>(2)</w:t>
            </w:r>
          </w:p>
        </w:tc>
        <w:tc>
          <w:tcPr>
            <w:tcW w:w="220" w:type="dxa"/>
            <w:vAlign w:val="bottom"/>
          </w:tcPr>
          <w:p>
            <w:pPr>
              <w:spacing w:after="0"/>
              <w:rPr>
                <w:sz w:val="13"/>
                <w:szCs w:val="13"/>
                <w:color w:val="auto"/>
              </w:rPr>
            </w:pPr>
          </w:p>
        </w:tc>
        <w:tc>
          <w:tcPr>
            <w:tcW w:w="1000" w:type="dxa"/>
            <w:vAlign w:val="bottom"/>
          </w:tcPr>
          <w:p>
            <w:pPr>
              <w:jc w:val="right"/>
              <w:ind w:right="355"/>
              <w:spacing w:after="0" w:line="142" w:lineRule="exact"/>
              <w:rPr>
                <w:sz w:val="20"/>
                <w:szCs w:val="20"/>
                <w:color w:val="auto"/>
              </w:rPr>
            </w:pPr>
            <w:r>
              <w:rPr>
                <w:rFonts w:ascii="Arial" w:cs="Arial" w:eastAsia="Arial" w:hAnsi="Arial"/>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28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Investments in leases - sales-type and</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5"/>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financing receivable, Investments in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28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 xml:space="preserve">loans and Other assets </w:t>
            </w:r>
            <w:r>
              <w:rPr>
                <w:rFonts w:ascii="Arial" w:cs="Arial" w:eastAsia="Arial" w:hAnsi="Arial"/>
                <w:sz w:val="23"/>
                <w:szCs w:val="23"/>
                <w:color w:val="auto"/>
                <w:vertAlign w:val="superscript"/>
              </w:rPr>
              <w:t>(1)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952,620</w:t>
            </w:r>
          </w:p>
        </w:tc>
        <w:tc>
          <w:tcPr>
            <w:tcW w:w="4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14,905,789</w:t>
            </w:r>
          </w:p>
        </w:tc>
        <w:tc>
          <w:tcPr>
            <w:tcW w:w="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17,090,882</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left="340" w:hanging="332"/>
        <w:spacing w:after="0" w:line="261"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right="20" w:hanging="332"/>
        <w:spacing w:after="0" w:line="263" w:lineRule="auto"/>
        <w:tabs>
          <w:tab w:leader="none" w:pos="332"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our senior secured and mezzanine loans, excluding the Forum Convention Center Mortgage Loan, using a traditional commercial real estate model based on standardized credit metrics to estimate potential losses.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September 30, 2022 and December 31,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Sales-type sub-leases, net </w:t>
            </w:r>
            <w:r>
              <w:rPr>
                <w:rFonts w:ascii="Arial" w:cs="Arial" w:eastAsia="Arial" w:hAnsi="Arial"/>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67,302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68,515</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 and sub-lease right of use assets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Debt financing costs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24,928</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Tenant receivables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5,032</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Forward-starting interest rate swaps</w:t>
            </w:r>
          </w:p>
        </w:tc>
        <w:tc>
          <w:tcPr>
            <w:tcW w:w="2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932,081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right="20" w:firstLine="8"/>
        <w:spacing w:after="0" w:line="293" w:lineRule="auto"/>
        <w:tabs>
          <w:tab w:leader="none" w:pos="207"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As of September 30, 2022 and December 31, 2021, sales-type sub-leases are net of $22.0 million and $6.5 million of Allowance for credit losses, respectively. Refer to </w:t>
      </w:r>
      <w:r>
        <w:rPr>
          <w:rFonts w:ascii="Arial" w:cs="Arial" w:eastAsia="Arial" w:hAnsi="Arial"/>
          <w:sz w:val="14"/>
          <w:szCs w:val="14"/>
          <w:i w:val="1"/>
          <w:iCs w:val="1"/>
          <w:u w:val="single" w:color="auto"/>
          <w:color w:val="0000FF"/>
        </w:rPr>
        <w:t>Note 5 - Allowance for</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0000FF"/>
        </w:rPr>
        <w:t>Credit Losses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 further details.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September 30, 2022 and 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w:t>
            </w: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14,880</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83,144</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r>
      <w:tr>
        <w:trPr>
          <w:trHeight w:val="223"/>
        </w:trPr>
        <w:tc>
          <w:tcPr>
            <w:tcW w:w="20" w:type="dxa"/>
            <w:vAlign w:val="bottom"/>
          </w:tcPr>
          <w:p>
            <w:pPr>
              <w:spacing w:after="0"/>
              <w:rPr>
                <w:sz w:val="19"/>
                <w:szCs w:val="19"/>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Total property and equipment used in operations,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Pr>
          <w:p>
            <w:pPr>
              <w:spacing w:after="0"/>
              <w:rPr>
                <w:sz w:val="24"/>
                <w:szCs w:val="24"/>
                <w:color w:val="auto"/>
              </w:rPr>
            </w:pPr>
          </w:p>
        </w:tc>
        <w:tc>
          <w:tcPr>
            <w:tcW w:w="2160" w:type="dxa"/>
            <w:vAlign w:val="bottom"/>
            <w:gridSpan w:val="6"/>
          </w:tcPr>
          <w:p>
            <w:pPr>
              <w:jc w:val="center"/>
              <w:ind w:right="691"/>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80" w:type="dxa"/>
            <w:vAlign w:val="bottom"/>
          </w:tcPr>
          <w:p>
            <w:pPr>
              <w:jc w:val="right"/>
              <w:ind w:right="457"/>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ind w:left="40"/>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1380" w:type="dxa"/>
            <w:vAlign w:val="bottom"/>
            <w:gridSpan w:val="4"/>
          </w:tcPr>
          <w:p>
            <w:pPr>
              <w:jc w:val="right"/>
              <w:ind w:right="435"/>
              <w:spacing w:after="0" w:line="14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ind w:right="451"/>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financing liabilities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73,600</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 and sub-lease liabilities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CECL allowance for unfunded commitments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ind w:left="760"/>
              <w:spacing w:after="0"/>
              <w:rPr>
                <w:sz w:val="20"/>
                <w:szCs w:val="20"/>
                <w:color w:val="auto"/>
              </w:rPr>
            </w:pPr>
            <w:r>
              <w:rPr>
                <w:rFonts w:ascii="Arial" w:cs="Arial" w:eastAsia="Arial" w:hAnsi="Arial"/>
                <w:sz w:val="16"/>
                <w:szCs w:val="16"/>
                <w:b w:val="1"/>
                <w:bCs w:val="1"/>
                <w:color w:val="auto"/>
              </w:rPr>
              <w:t>September 30, 2022</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3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340" w:type="dxa"/>
            <w:vAlign w:val="bottom"/>
            <w:gridSpan w:val="2"/>
          </w:tcPr>
          <w:p>
            <w:pPr>
              <w:jc w:val="right"/>
              <w:spacing w:after="0" w:line="210"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3"/>
                <w:szCs w:val="23"/>
                <w:i w:val="1"/>
                <w:iCs w:val="1"/>
                <w:color w:val="auto"/>
                <w:w w:val="95"/>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380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2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SOFR +</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800" w:type="dxa"/>
            <w:vAlign w:val="bottom"/>
            <w:tcBorders>
              <w:bottom w:val="single" w:sz="8" w:color="CCEEFF"/>
            </w:tcBorders>
            <w:gridSpan w:val="2"/>
            <w:vMerge w:val="continue"/>
            <w:shd w:val="clear" w:color="auto" w:fill="CCEEFF"/>
          </w:tcPr>
          <w:p>
            <w:pPr>
              <w:spacing w:after="0"/>
              <w:rPr>
                <w:sz w:val="18"/>
                <w:szCs w:val="18"/>
                <w:color w:val="auto"/>
              </w:rPr>
            </w:pPr>
          </w:p>
        </w:tc>
        <w:tc>
          <w:tcPr>
            <w:tcW w:w="3320" w:type="dxa"/>
            <w:vAlign w:val="bottom"/>
            <w:tcBorders>
              <w:bottom w:val="single" w:sz="8" w:color="CCEEFF"/>
            </w:tcBorders>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Delayed Draw Term Loan </w:t>
            </w:r>
            <w:r>
              <w:rPr>
                <w:rFonts w:ascii="Arial" w:cs="Arial" w:eastAsia="Arial" w:hAnsi="Arial"/>
                <w:sz w:val="23"/>
                <w:szCs w:val="23"/>
                <w:i w:val="1"/>
                <w:iCs w:val="1"/>
                <w:color w:val="auto"/>
                <w:vertAlign w:val="superscript"/>
              </w:rPr>
              <w:t>(2)</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1"/>
              </w:rPr>
              <w:t>SOFR +</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2"/>
            <w:vMerge w:val="continue"/>
          </w:tcPr>
          <w:p>
            <w:pPr>
              <w:spacing w:after="0"/>
              <w:rPr>
                <w:sz w:val="15"/>
                <w:szCs w:val="15"/>
                <w:color w:val="auto"/>
              </w:rPr>
            </w:pPr>
          </w:p>
        </w:tc>
        <w:tc>
          <w:tcPr>
            <w:tcW w:w="3320" w:type="dxa"/>
            <w:vAlign w:val="bottom"/>
            <w:gridSpan w:val="3"/>
            <w:vMerge w:val="restart"/>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1.200%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3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1,238,112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April 2022 Notes</w:t>
            </w:r>
            <w:r>
              <w:rPr>
                <w:rFonts w:ascii="Arial" w:cs="Arial" w:eastAsia="Arial" w:hAnsi="Arial"/>
                <w:sz w:val="23"/>
                <w:szCs w:val="23"/>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1120" w:type="dxa"/>
            <w:vAlign w:val="bottom"/>
          </w:tcPr>
          <w:p>
            <w:pPr>
              <w:jc w:val="center"/>
              <w:spacing w:after="0" w:line="230" w:lineRule="exact"/>
              <w:rPr>
                <w:sz w:val="20"/>
                <w:szCs w:val="20"/>
                <w:color w:val="auto"/>
              </w:rPr>
            </w:pPr>
            <w:r>
              <w:rPr>
                <w:rFonts w:ascii="Arial" w:cs="Arial" w:eastAsia="Arial" w:hAnsi="Arial"/>
                <w:sz w:val="18"/>
                <w:szCs w:val="18"/>
                <w:color w:val="auto"/>
                <w:w w:val="87"/>
              </w:rPr>
              <w:t xml:space="preserve">4.516% </w:t>
            </w:r>
            <w:r>
              <w:rPr>
                <w:rFonts w:ascii="Arial" w:cs="Arial" w:eastAsia="Arial" w:hAnsi="Arial"/>
                <w:sz w:val="23"/>
                <w:szCs w:val="23"/>
                <w:i w:val="1"/>
                <w:iCs w:val="1"/>
                <w:color w:val="auto"/>
                <w:w w:val="87"/>
                <w:vertAlign w:val="superscript"/>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2030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7"/>
              </w:rPr>
              <w:t xml:space="preserve">4.541% </w:t>
            </w:r>
            <w:r>
              <w:rPr>
                <w:rFonts w:ascii="Arial" w:cs="Arial" w:eastAsia="Arial" w:hAnsi="Arial"/>
                <w:sz w:val="23"/>
                <w:szCs w:val="23"/>
                <w:i w:val="1"/>
                <w:iCs w:val="1"/>
                <w:color w:val="auto"/>
                <w:w w:val="87"/>
                <w:vertAlign w:val="superscript"/>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2032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2032</w:t>
            </w:r>
          </w:p>
        </w:tc>
        <w:tc>
          <w:tcPr>
            <w:tcW w:w="100" w:type="dxa"/>
            <w:vAlign w:val="bottom"/>
          </w:tcPr>
          <w:p>
            <w:pPr>
              <w:spacing w:after="0"/>
              <w:rPr>
                <w:sz w:val="19"/>
                <w:szCs w:val="19"/>
                <w:color w:val="auto"/>
              </w:rPr>
            </w:pPr>
          </w:p>
        </w:tc>
        <w:tc>
          <w:tcPr>
            <w:tcW w:w="1120" w:type="dxa"/>
            <w:vAlign w:val="bottom"/>
          </w:tcPr>
          <w:p>
            <w:pPr>
              <w:jc w:val="center"/>
              <w:spacing w:after="0" w:line="230" w:lineRule="exact"/>
              <w:rPr>
                <w:sz w:val="20"/>
                <w:szCs w:val="20"/>
                <w:color w:val="auto"/>
              </w:rPr>
            </w:pPr>
            <w:r>
              <w:rPr>
                <w:rFonts w:ascii="Arial" w:cs="Arial" w:eastAsia="Arial" w:hAnsi="Arial"/>
                <w:sz w:val="18"/>
                <w:szCs w:val="18"/>
                <w:color w:val="auto"/>
                <w:w w:val="87"/>
              </w:rPr>
              <w:t xml:space="preserve">3.980% </w:t>
            </w:r>
            <w:r>
              <w:rPr>
                <w:rFonts w:ascii="Arial" w:cs="Arial" w:eastAsia="Arial" w:hAnsi="Arial"/>
                <w:sz w:val="23"/>
                <w:szCs w:val="23"/>
                <w:i w:val="1"/>
                <w:iCs w:val="1"/>
                <w:color w:val="auto"/>
                <w:w w:val="87"/>
                <w:vertAlign w:val="superscript"/>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2052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line="230" w:lineRule="exact"/>
              <w:rPr>
                <w:sz w:val="20"/>
                <w:szCs w:val="20"/>
                <w:color w:val="auto"/>
              </w:rPr>
            </w:pPr>
            <w:r>
              <w:rPr>
                <w:rFonts w:ascii="Arial" w:cs="Arial" w:eastAsia="Arial" w:hAnsi="Arial"/>
                <w:sz w:val="18"/>
                <w:szCs w:val="18"/>
                <w:color w:val="auto"/>
              </w:rPr>
              <w:t>Exchange Notes</w:t>
            </w:r>
            <w:r>
              <w:rPr>
                <w:rFonts w:ascii="Arial" w:cs="Arial" w:eastAsia="Arial" w:hAnsi="Arial"/>
                <w:sz w:val="23"/>
                <w:szCs w:val="23"/>
                <w:color w:val="auto"/>
                <w:vertAlign w:val="superscript"/>
              </w:rPr>
              <w:t>(3)</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2024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799,368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729,466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MGP OP Notes</w:t>
            </w:r>
            <w:r>
              <w:rPr>
                <w:rFonts w:ascii="Arial" w:cs="Arial" w:eastAsia="Arial" w:hAnsi="Arial"/>
                <w:sz w:val="23"/>
                <w:szCs w:val="23"/>
                <w:color w:val="auto"/>
                <w:vertAlign w:val="superscript"/>
              </w:rPr>
              <w:t>(3)</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2024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2026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2027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2028 Maturity</w:t>
            </w:r>
          </w:p>
        </w:tc>
        <w:tc>
          <w:tcPr>
            <w:tcW w:w="3320" w:type="dxa"/>
            <w:vAlign w:val="bottom"/>
            <w:gridSpan w:val="3"/>
          </w:tcPr>
          <w:p>
            <w:pPr>
              <w:jc w:val="center"/>
              <w:ind w:left="2230"/>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2029 Maturity</w:t>
            </w:r>
          </w:p>
        </w:tc>
        <w:tc>
          <w:tcPr>
            <w:tcW w:w="3320" w:type="dxa"/>
            <w:vAlign w:val="bottom"/>
            <w:gridSpan w:val="3"/>
            <w:shd w:val="clear" w:color="auto" w:fill="CCEEFF"/>
          </w:tcPr>
          <w:p>
            <w:pPr>
              <w:jc w:val="center"/>
              <w:ind w:left="2230"/>
              <w:spacing w:after="0"/>
              <w:rPr>
                <w:sz w:val="20"/>
                <w:szCs w:val="20"/>
                <w:color w:val="auto"/>
              </w:rPr>
            </w:pPr>
            <w:r>
              <w:rPr>
                <w:rFonts w:ascii="Arial" w:cs="Arial" w:eastAsia="Arial" w:hAnsi="Arial"/>
                <w:sz w:val="18"/>
                <w:szCs w:val="18"/>
                <w:color w:val="auto"/>
                <w:w w:val="89"/>
              </w:rPr>
              <w:t>2029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8"/>
                <w:szCs w:val="18"/>
                <w:color w:val="auto"/>
                <w:w w:val="84"/>
              </w:rPr>
              <w:t xml:space="preserve">4.496% </w:t>
            </w:r>
            <w:r>
              <w:rPr>
                <w:rFonts w:ascii="Arial" w:cs="Arial" w:eastAsia="Arial" w:hAnsi="Arial"/>
                <w:sz w:val="23"/>
                <w:szCs w:val="23"/>
                <w:i w:val="1"/>
                <w:iCs w:val="1"/>
                <w:color w:val="auto"/>
                <w:w w:val="84"/>
                <w:vertAlign w:val="superscript"/>
              </w:rPr>
              <w:t>(5)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13,730,503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vMerge w:val="restart"/>
          </w:tcPr>
          <w:p>
            <w:pPr>
              <w:jc w:val="right"/>
              <w:ind w:right="2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1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ind w:left="760"/>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72"/>
        </w:trPr>
        <w:tc>
          <w:tcPr>
            <w:tcW w:w="20" w:type="dxa"/>
            <w:vAlign w:val="bottom"/>
          </w:tcPr>
          <w:p>
            <w:pPr>
              <w:spacing w:after="0"/>
              <w:rPr>
                <w:sz w:val="24"/>
                <w:szCs w:val="24"/>
                <w:color w:val="auto"/>
              </w:rPr>
            </w:pPr>
          </w:p>
        </w:tc>
        <w:tc>
          <w:tcPr>
            <w:tcW w:w="6160" w:type="dxa"/>
            <w:vAlign w:val="bottom"/>
            <w:gridSpan w:val="3"/>
          </w:tcPr>
          <w:p>
            <w:pPr>
              <w:spacing w:after="0"/>
              <w:rPr>
                <w:sz w:val="20"/>
                <w:szCs w:val="20"/>
                <w:color w:val="auto"/>
              </w:rPr>
            </w:pPr>
            <w:r>
              <w:rPr>
                <w:rFonts w:ascii="Arial" w:cs="Arial" w:eastAsia="Arial" w:hAnsi="Arial"/>
                <w:sz w:val="16"/>
                <w:szCs w:val="16"/>
                <w:b w:val="1"/>
                <w:bCs w:val="1"/>
                <w:color w:val="auto"/>
              </w:rPr>
              <w:t>Description of Debt</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w:t>
            </w: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Face Value</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r>
      <w:tr>
        <w:trPr>
          <w:trHeight w:val="223"/>
        </w:trPr>
        <w:tc>
          <w:tcPr>
            <w:tcW w:w="6060" w:type="dxa"/>
            <w:vAlign w:val="bottom"/>
            <w:tcBorders>
              <w:top w:val="single" w:sz="8" w:color="auto"/>
            </w:tcBorders>
            <w:gridSpan w:val="3"/>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Secured Revolving Credit Facility </w:t>
            </w:r>
            <w:r>
              <w:rPr>
                <w:rFonts w:ascii="Arial" w:cs="Arial" w:eastAsia="Arial" w:hAnsi="Arial"/>
                <w:sz w:val="23"/>
                <w:szCs w:val="23"/>
                <w:i w:val="1"/>
                <w:iCs w:val="1"/>
                <w:color w:val="auto"/>
                <w:vertAlign w:val="superscript"/>
              </w:rPr>
              <w:t>(6)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 + 2.00%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160" w:type="dxa"/>
            <w:vAlign w:val="bottom"/>
            <w:gridSpan w:val="3"/>
          </w:tcPr>
          <w:p>
            <w:pPr>
              <w:spacing w:after="0" w:line="230" w:lineRule="exact"/>
              <w:rPr>
                <w:sz w:val="20"/>
                <w:szCs w:val="20"/>
                <w:color w:val="auto"/>
              </w:rPr>
            </w:pPr>
            <w:r>
              <w:rPr>
                <w:rFonts w:ascii="Arial" w:cs="Arial" w:eastAsia="Arial" w:hAnsi="Arial"/>
                <w:sz w:val="18"/>
                <w:szCs w:val="18"/>
                <w:color w:val="auto"/>
              </w:rPr>
              <w:t>November 2019 Notes</w:t>
            </w:r>
            <w:r>
              <w:rPr>
                <w:rFonts w:ascii="Arial" w:cs="Arial" w:eastAsia="Arial" w:hAnsi="Arial"/>
                <w:sz w:val="23"/>
                <w:szCs w:val="23"/>
                <w:i w:val="1"/>
                <w:iCs w:val="1"/>
                <w:color w:val="auto"/>
                <w:vertAlign w:val="superscript"/>
              </w:rPr>
              <w:t>(3)</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2026 Maturity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1,235,972</w:t>
            </w:r>
          </w:p>
        </w:tc>
      </w:tr>
      <w:tr>
        <w:trPr>
          <w:trHeight w:val="230"/>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2029 Maturity</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987,331</w:t>
            </w: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February 2020 Notes</w:t>
            </w:r>
            <w:r>
              <w:rPr>
                <w:rFonts w:ascii="Arial" w:cs="Arial" w:eastAsia="Arial" w:hAnsi="Arial"/>
                <w:sz w:val="23"/>
                <w:szCs w:val="23"/>
                <w:i w:val="1"/>
                <w:iCs w:val="1"/>
                <w:color w:val="auto"/>
                <w:vertAlign w:val="superscript"/>
              </w:rPr>
              <w:t>(3)</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60" w:type="dxa"/>
            <w:vAlign w:val="bottom"/>
            <w:gridSpan w:val="3"/>
          </w:tcPr>
          <w:p>
            <w:pPr>
              <w:ind w:left="220"/>
              <w:spacing w:after="0"/>
              <w:rPr>
                <w:sz w:val="20"/>
                <w:szCs w:val="20"/>
                <w:color w:val="auto"/>
              </w:rPr>
            </w:pPr>
            <w:r>
              <w:rPr>
                <w:rFonts w:ascii="Arial" w:cs="Arial" w:eastAsia="Arial" w:hAnsi="Arial"/>
                <w:sz w:val="18"/>
                <w:szCs w:val="18"/>
                <w:color w:val="auto"/>
              </w:rPr>
              <w:t>2025 Maturity</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742,677</w:t>
            </w: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Maturity</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741,409</w:t>
            </w:r>
          </w:p>
        </w:tc>
      </w:tr>
      <w:tr>
        <w:trPr>
          <w:trHeight w:val="229"/>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2030 Maturity</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Debt</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4,694,523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78" w:lineRule="auto"/>
        <w:tabs>
          <w:tab w:leader="none" w:pos="332" w:val="left"/>
        </w:tabs>
        <w:numPr>
          <w:ilvl w:val="0"/>
          <w:numId w:val="27"/>
        </w:numPr>
        <w:rPr>
          <w:rFonts w:ascii="Arial" w:cs="Arial" w:eastAsia="Arial" w:hAnsi="Arial"/>
          <w:sz w:val="13"/>
          <w:szCs w:val="13"/>
          <w:i w:val="1"/>
          <w:iCs w:val="1"/>
          <w:color w:val="auto"/>
        </w:rPr>
      </w:pPr>
      <w:r>
        <w:rPr>
          <w:rFonts w:ascii="Arial" w:cs="Arial" w:eastAsia="Arial" w:hAnsi="Arial"/>
          <w:sz w:val="13"/>
          <w:szCs w:val="13"/>
          <w:i w:val="1"/>
          <w:iCs w:val="1"/>
          <w:color w:val="auto"/>
        </w:rPr>
        <w:t>Interest on any outstanding balance is payable monthly. Borrowings under the Revolving Credit Facility and Delayed Draw Term Loan bear interest at a rate based on a credit rating-based pricing grid with a range of 0.775% to 1.325% margin plus SOFR and a range of 0.85% to 1.60% margin plus SOFR, respectively, depending on our credit ratings, with an additional 0.10% adjustment. Additionally, the commitment fees under the Revolving Credit Facility and Delayed Draw Term Loan are calculated on a credit rating-based pricing grid with a range of</w:t>
      </w:r>
    </w:p>
    <w:p>
      <w:pPr>
        <w:spacing w:after="0" w:line="1" w:lineRule="exact"/>
        <w:rPr>
          <w:rFonts w:ascii="Arial" w:cs="Arial" w:eastAsia="Arial" w:hAnsi="Arial"/>
          <w:sz w:val="13"/>
          <w:szCs w:val="13"/>
          <w:i w:val="1"/>
          <w:iCs w:val="1"/>
          <w:color w:val="auto"/>
        </w:rPr>
      </w:pPr>
    </w:p>
    <w:p>
      <w:pPr>
        <w:ind w:left="340" w:right="20"/>
        <w:spacing w:after="0" w:line="255" w:lineRule="auto"/>
        <w:rPr>
          <w:rFonts w:ascii="Arial" w:cs="Arial" w:eastAsia="Arial" w:hAnsi="Arial"/>
          <w:sz w:val="13"/>
          <w:szCs w:val="13"/>
          <w:i w:val="1"/>
          <w:iCs w:val="1"/>
          <w:color w:val="auto"/>
        </w:rPr>
      </w:pPr>
      <w:r>
        <w:rPr>
          <w:rFonts w:ascii="Arial" w:cs="Arial" w:eastAsia="Arial" w:hAnsi="Arial"/>
          <w:sz w:val="14"/>
          <w:szCs w:val="14"/>
          <w:i w:val="1"/>
          <w:iCs w:val="1"/>
          <w:color w:val="auto"/>
        </w:rPr>
        <w:t>0.15% to 0.375%, for both instruments depending on our credit ratings. For the three and nine months ended September 30, 2022, the commitment fees for both the Revolving Credit Facility and Delayed Draw Term Loan were 0.375%.</w:t>
      </w:r>
    </w:p>
    <w:p>
      <w:pPr>
        <w:ind w:left="320" w:hanging="312"/>
        <w:spacing w:after="0"/>
        <w:tabs>
          <w:tab w:leader="none" w:pos="32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9" w:lineRule="exact"/>
        <w:rPr>
          <w:rFonts w:ascii="Arial" w:cs="Arial" w:eastAsia="Arial" w:hAnsi="Arial"/>
          <w:sz w:val="14"/>
          <w:szCs w:val="14"/>
          <w:i w:val="1"/>
          <w:iCs w:val="1"/>
          <w:color w:val="auto"/>
        </w:rPr>
      </w:pPr>
    </w:p>
    <w:p>
      <w:pPr>
        <w:ind w:left="340" w:hanging="332"/>
        <w:spacing w:after="0" w:line="261" w:lineRule="auto"/>
        <w:tabs>
          <w:tab w:leader="none" w:pos="332"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Arial" w:cs="Arial" w:eastAsia="Arial" w:hAnsi="Arial"/>
          <w:sz w:val="14"/>
          <w:szCs w:val="14"/>
          <w:i w:val="1"/>
          <w:iCs w:val="1"/>
          <w:u w:val="single" w:color="auto"/>
          <w:color w:val="0000FF"/>
        </w:rPr>
        <w:t>Note 8 -</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0000FF"/>
        </w:rPr>
        <w:t>Derivatives</w:t>
      </w:r>
      <w:r>
        <w:rPr>
          <w:rFonts w:ascii="Arial" w:cs="Arial" w:eastAsia="Arial" w:hAnsi="Arial"/>
          <w:sz w:val="14"/>
          <w:szCs w:val="14"/>
          <w:i w:val="1"/>
          <w:iCs w:val="1"/>
          <w:color w:val="000000"/>
        </w:rPr>
        <w:t>). The contractual interest rates on the April 2022 Notes maturing 2028, 2030 and 2032 are 4.750%, 4.950% and 5.125%, respectively.</w:t>
      </w:r>
    </w:p>
    <w:p>
      <w:pPr>
        <w:jc w:val="both"/>
        <w:ind w:left="340" w:hanging="332"/>
        <w:spacing w:after="0" w:line="254" w:lineRule="auto"/>
        <w:tabs>
          <w:tab w:leader="none" w:pos="332"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interest rate represents the weighted average interest rates of the Senior Unsecured Notes adjusted to account for the impact of the forward-starting interest rate swaps and treasury locks (as further described in </w:t>
      </w:r>
      <w:r>
        <w:rPr>
          <w:rFonts w:ascii="Arial" w:cs="Arial" w:eastAsia="Arial" w:hAnsi="Arial"/>
          <w:sz w:val="14"/>
          <w:szCs w:val="14"/>
          <w:i w:val="1"/>
          <w:iCs w:val="1"/>
          <w:u w:val="single" w:color="auto"/>
          <w:color w:val="0000FF"/>
        </w:rPr>
        <w:t>Note 8 - Derivatives</w:t>
      </w:r>
      <w:r>
        <w:rPr>
          <w:rFonts w:ascii="Arial" w:cs="Arial" w:eastAsia="Arial" w:hAnsi="Arial"/>
          <w:sz w:val="14"/>
          <w:szCs w:val="14"/>
          <w:i w:val="1"/>
          <w:iCs w:val="1"/>
          <w:color w:val="auto"/>
        </w:rPr>
        <w:t>), as applicable. The contractual weighted average interest rate as of September 30, 2022, which excludes the impact of the forward-starting interest rate swaps and treasury locks, is 4.67%</w:t>
      </w:r>
    </w:p>
    <w:p>
      <w:pPr>
        <w:spacing w:after="0" w:line="1" w:lineRule="exact"/>
        <w:rPr>
          <w:rFonts w:ascii="Arial" w:cs="Arial" w:eastAsia="Arial" w:hAnsi="Arial"/>
          <w:sz w:val="14"/>
          <w:szCs w:val="14"/>
          <w:i w:val="1"/>
          <w:iCs w:val="1"/>
          <w:color w:val="auto"/>
        </w:rPr>
      </w:pPr>
    </w:p>
    <w:p>
      <w:pPr>
        <w:jc w:val="both"/>
        <w:ind w:left="340" w:hanging="332"/>
        <w:spacing w:after="0" w:line="272" w:lineRule="auto"/>
        <w:tabs>
          <w:tab w:leader="none" w:pos="332"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8, 2022, we terminated the Secured Revolving Credit Facility (including the first priority lien on substantially all of VICI PropCo’s and its existing and subsequently acquired wholly owned material domestic restricted subsidiaries’ material assets) and the Existing Credit Agreement, and entered into the Credit Agreement providing for the Credit Facilities,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principal payments of our debt obligations as of September 30,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Future Minimum Principal</w:t>
            </w:r>
          </w:p>
        </w:tc>
      </w:tr>
      <w:tr>
        <w:trPr>
          <w:trHeight w:val="162"/>
        </w:trPr>
        <w:tc>
          <w:tcPr>
            <w:tcW w:w="20" w:type="dxa"/>
            <w:vAlign w:val="bottom"/>
          </w:tcPr>
          <w:p>
            <w:pPr>
              <w:spacing w:after="0"/>
              <w:rPr>
                <w:sz w:val="14"/>
                <w:szCs w:val="14"/>
                <w:color w:val="auto"/>
              </w:rPr>
            </w:pPr>
          </w:p>
        </w:tc>
        <w:tc>
          <w:tcPr>
            <w:tcW w:w="92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4"/>
                <w:szCs w:val="14"/>
                <w:color w:val="auto"/>
              </w:rPr>
            </w:pPr>
          </w:p>
        </w:tc>
        <w:tc>
          <w:tcPr>
            <w:tcW w:w="1620" w:type="dxa"/>
            <w:vAlign w:val="bottom"/>
          </w:tcPr>
          <w:p>
            <w:pPr>
              <w:jc w:val="right"/>
              <w:ind w:right="571"/>
              <w:spacing w:after="0" w:line="142" w:lineRule="exact"/>
              <w:rPr>
                <w:sz w:val="20"/>
                <w:szCs w:val="20"/>
                <w:color w:val="auto"/>
              </w:rPr>
            </w:pPr>
            <w:r>
              <w:rPr>
                <w:rFonts w:ascii="Arial" w:cs="Arial" w:eastAsia="Arial" w:hAnsi="Arial"/>
                <w:sz w:val="16"/>
                <w:szCs w:val="16"/>
                <w:b w:val="1"/>
                <w:bCs w:val="1"/>
                <w:color w:val="auto"/>
              </w:rPr>
              <w:t>Payments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2,050,000</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30"/>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7,600,000</w:t>
            </w: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Total minimum principal payments</w:t>
            </w: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29, 2022, the VICI Issuers issued $1,024.2 million in aggregate principal amount of 5.625% Senior Notes due 2024, $799.4 million in aggregate principal amount of 4.625% Senior Notes due 2025, $480.5 million in aggregate principal amount of 4.500% Senior Notes due 2026, $729.5 million in aggregate principal amount of 5.750% Senior Notes due 2027, $349.3 million in aggregate principal amount of 4.500% Senior Notes due 2028 and $727.1 million in aggregate principal amount of 3.875% Senior Notes due 2029 in exchange for the validly tendered and not validly withdrawn MGP OP Notes, originally issued by the MGP Issuers, pursuant to the settlement of the Exchange Offers and Consent Solicitations in connection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OP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Notes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29, 2022, VICI LP, our wholly owned subsidiary, issued (i) $500.0 million in aggregate principal amount of 4.375% Senior Notes due 2025, which mature on May 15, 2025, (ii) $1,250.0 million in aggregate principal amount of 4.750% Senior Notes due 2028, which mature on February 15, 2028,</w:t>
      </w:r>
    </w:p>
    <w:p>
      <w:pPr>
        <w:jc w:val="both"/>
        <w:ind w:firstLine="8"/>
        <w:spacing w:after="0" w:line="270" w:lineRule="auto"/>
        <w:tabs>
          <w:tab w:leader="none" w:pos="3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redeem up to 40% of the aggregate principal amount of the February 2020 Notes due 2025, 2027 and 2030 using the proceeds of certain equity offerings at the redemption price set forth in the respective indenture.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Notes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February 8, 2022, the November 2019 Notes and February 2020 Notes were fully and unconditionally guaranteed, jointly and severally, on a senior unsecured basis by each guaranteed indebtedness under the Existing Credit Agreement. All subsidiary guarantees were released upon the termination of the Existing Credit Agreement concurrently with the execution of the Credit Agreement on February 8, 2022.</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VICI LP and its subsidiaries represent our “Real Property Business” segment, with the “Golf Course Business” segment corresponding to the portion of our business operated through entities that are not direct or indirect subsidiaries of VICI LP or obligors of the November 2019 Notes, February 2020 Notes and Exchange Notes. Refer to </w:t>
      </w:r>
      <w:r>
        <w:rPr>
          <w:rFonts w:ascii="Arial" w:cs="Arial" w:eastAsia="Arial" w:hAnsi="Arial"/>
          <w:sz w:val="18"/>
          <w:szCs w:val="18"/>
          <w:u w:val="single" w:color="auto"/>
          <w:color w:val="0000FF"/>
        </w:rPr>
        <w:t>Note 14 - Segment Information</w:t>
      </w:r>
      <w:r>
        <w:rPr>
          <w:rFonts w:ascii="Arial" w:cs="Arial" w:eastAsia="Arial" w:hAnsi="Arial"/>
          <w:sz w:val="18"/>
          <w:szCs w:val="18"/>
          <w:color w:val="auto"/>
        </w:rPr>
        <w:t xml:space="preserve"> for more information about our segments.</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Credit Facilities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8, 2022, VICI LP entered into the Credit Agreement providing for (i) the Revolving Credit Facility in the amount of $2.5 billion scheduled to mature on March 31, 2026 and (ii) the Delayed Draw Term Loan in the amount of $1.0 billion scheduled to mature on March 31, 2025. The Delayed Draw Term Loan is available to be drawn up to 12 months following the effective date of February 8, 2022. The Revolving Credit Facility includes two six-month maturity extension options and the Delayed Draw Term Loan includes two 12-month extension options, in each case, the exercise of which is subject to customary conditions and the payment of an extension fee of 0.0625% on the extended commitments, in the case of each six-month extension of the Revolving Credit Facility, and 0.125% on the extended term loans, in the case of each twelve-month extension of the Delayed Draw Term Loan.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 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In addition, the Revolving Credit Facility requires the payment of a facility fee ranging from 0.15% to 0.375% (depending on VICI LP’s debt rating) of total revolving commitments.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terms of the Credit Agreement, VICI LP is subject to, among other things, customary covenants and the maintenance of various financial covenants. The Credit Agreement is consistent with certain tax-related requirements related to security for the Company’s debt.</w:t>
      </w:r>
    </w:p>
    <w:p>
      <w:pPr>
        <w:spacing w:after="0" w:line="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offering.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December 2017, VICI PropCo entered into a credit agreement (as amended, amended and restated and otherwise modified, the “2017 Credit Agreement”), comprised of a $2.2 billion Term Loan B Facility and a $1.0 billion Secured Revolving Credit Facility (the Term Loan B Facility and the Secured Revolving Credit Facility, as amended, are referred to together as the “Senior Secured Credit Facilities”). On September 15, 2021, we used the proceeds from the settlement of the June 2020 Forward Sale Agreement (as defined in </w:t>
      </w:r>
      <w:r>
        <w:rPr>
          <w:rFonts w:ascii="Arial" w:cs="Arial" w:eastAsia="Arial" w:hAnsi="Arial"/>
          <w:sz w:val="17"/>
          <w:szCs w:val="17"/>
          <w:u w:val="single" w:color="auto"/>
          <w:color w:val="0000FF"/>
        </w:rPr>
        <w:t>Note 11- Stockholders’ Equity</w:t>
      </w:r>
      <w:r>
        <w:rPr>
          <w:rFonts w:ascii="Arial" w:cs="Arial" w:eastAsia="Arial" w:hAnsi="Arial"/>
          <w:sz w:val="17"/>
          <w:szCs w:val="17"/>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three and nine months ended September 30, 2021, representing the write-off of the remaining unamortized deferred financing costs.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repayment in full of the Term Loan B Facility, the Secured Revolving Credit Facility remained in effect pursuant to the 2017 Credit Agreement. On February 8, 2022, we terminated the Secured Revolving Credit Facility (including the first priority lien on substantially all of VICI PropCo’s material assets and those of its existing and subsequently acquired wholly owned material domestic restricted subsidiaries) and the 2017 Credit Agreement, and entered into the Credit Agreement providing for the Credit Facilities, as described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Transactions Bridge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4, 2021, in connection with the completion of the MGP Transactions, VICI PropCo entered into a Commitment Letter with certain lenders pursuant to which they provided commitments in an amount up to $9.3 billion in the aggregate, consisting of a 364-day first lien secured bridge facility (the “MGP Transactions Bridge Facility”), for the purpose of providing a portion of the financing necessary in connection with the closing of the MGP Transactions, which was fully terminated on April 29, 2022 in connection with such closing.</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MGP Transactions Bridge Facility was subject to a tiered commitment fee based on the period the commitment is outstanding and a structuring fee. For the nine months ended September 30, 2022 and 2021, we recognized $15.3 million and $27.0 million, respectively, of fees related to the MGP Transactions Bridge Facility in Interest expense on our Statement of Operations. For the three months ended September 30, 2021, we recognized $27.0 million of fees related to the MGP Transaction Bridge Facility in Interest expense on our Statement of Operations. As the MGP Transactions Bridge Facility was terminated in April 2022, no such expense was recorded for the three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 2021, in connection with the Venetian Acquisition, VICI PropCo entered into a Commitment Letter with certain lenders pursuant to which they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closing of the Venetian Acquisition, which was fully terminated on February 23, 2022 in connection with such closing.</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Venetian Acquisition Bridge Facility was subject to a tiered commitment fee based on the period the commitment is outstanding and a structuring fee. For the nine months ended September 30, 2022 and 2021, we recognized $1.0 million and $10.9 million, respectively, of fees related to the Venetian Acquisition Bridge Facility in Interest expense on our Statement of Operations. For the three months ended September 30, 2021, we recognized $3.0 million of fees related to the Venetian Acquisition Bridge Facility in Interest expense on our Statement of Operations. As the Venetian Acquisition Bridge Facility was terminated in February 2022, no such expense was recorded for the three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September 30, 2022, we are in compliance with all financial covenants under our debt obligations.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our outstanding interest rate derivatives that were designated as cash flow hedges of interest rate risk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no derivative instruments outstanding.</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360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4"/>
          </w:tcPr>
          <w:p>
            <w:pPr>
              <w:ind w:left="320"/>
              <w:spacing w:after="0"/>
              <w:rPr>
                <w:sz w:val="20"/>
                <w:szCs w:val="20"/>
                <w:color w:val="auto"/>
              </w:rPr>
            </w:pPr>
            <w:r>
              <w:rPr>
                <w:rFonts w:ascii="Arial" w:cs="Arial" w:eastAsia="Arial" w:hAnsi="Arial"/>
                <w:sz w:val="16"/>
                <w:szCs w:val="16"/>
                <w:b w:val="1"/>
                <w:bCs w:val="1"/>
                <w:color w:val="auto"/>
              </w:rPr>
              <w:t>December 31, 2021</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320" w:type="dxa"/>
            <w:vAlign w:val="bottom"/>
            <w:gridSpan w:val="3"/>
            <w:vMerge w:val="restart"/>
          </w:tcPr>
          <w:p>
            <w:pPr>
              <w:jc w:val="right"/>
              <w:ind w:right="440"/>
              <w:spacing w:after="0"/>
              <w:rPr>
                <w:sz w:val="20"/>
                <w:szCs w:val="20"/>
                <w:color w:val="auto"/>
              </w:rPr>
            </w:pPr>
            <w:r>
              <w:rPr>
                <w:rFonts w:ascii="Arial" w:cs="Arial" w:eastAsia="Arial" w:hAnsi="Arial"/>
                <w:sz w:val="16"/>
                <w:szCs w:val="16"/>
                <w:b w:val="1"/>
                <w:bCs w:val="1"/>
                <w:color w:val="auto"/>
              </w:rPr>
              <w:t>Fixed Rate</w:t>
            </w: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Notional</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Index</w:t>
            </w: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360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32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spacing w:after="0" w:line="184" w:lineRule="exact"/>
              <w:rPr>
                <w:sz w:val="20"/>
                <w:szCs w:val="20"/>
                <w:color w:val="auto"/>
              </w:rPr>
            </w:pPr>
            <w:r>
              <w:rPr>
                <w:rFonts w:ascii="Arial" w:cs="Arial" w:eastAsia="Arial" w:hAnsi="Arial"/>
                <w:sz w:val="18"/>
                <w:szCs w:val="18"/>
                <w:color w:val="auto"/>
                <w:w w:val="90"/>
              </w:rPr>
              <w:t>USD SOFR-</w:t>
            </w:r>
          </w:p>
        </w:tc>
        <w:tc>
          <w:tcPr>
            <w:tcW w:w="12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1.3465%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COMPOUND</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Forward-Starting Derivatives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our forward-starting derivative financial instruments on our Statement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ind w:left="40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8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000" w:type="dxa"/>
            <w:vAlign w:val="bottom"/>
          </w:tcPr>
          <w:p>
            <w:pPr>
              <w:jc w:val="right"/>
              <w:ind w:right="55"/>
              <w:spacing w:after="0" w:line="142" w:lineRule="exact"/>
              <w:rPr>
                <w:sz w:val="20"/>
                <w:szCs w:val="20"/>
                <w:color w:val="auto"/>
              </w:rPr>
            </w:pPr>
            <w:r>
              <w:rPr>
                <w:rFonts w:ascii="Arial" w:cs="Arial" w:eastAsia="Arial" w:hAnsi="Arial"/>
                <w:sz w:val="16"/>
                <w:szCs w:val="16"/>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recorded in other comprehensive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200,550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175"/>
        </w:trPr>
        <w:tc>
          <w:tcPr>
            <w:tcW w:w="20" w:type="dxa"/>
            <w:vAlign w:val="bottom"/>
          </w:tcPr>
          <w:p>
            <w:pPr>
              <w:spacing w:after="0"/>
              <w:rPr>
                <w:sz w:val="15"/>
                <w:szCs w:val="15"/>
                <w:color w:val="auto"/>
              </w:rPr>
            </w:pPr>
          </w:p>
        </w:tc>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w w:val="93"/>
              </w:rPr>
              <w:t>Reduction in interest expense related to the amortization of the forward-</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starting interest rate swaps and treasury locks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(10,196)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and January 2019, we entered into six interest rate swap agreements with third party financial institutions having an aggregate notional amount of $2.0 billion. The interest rate swap transactions were designated as cash flow hedges that effectively fix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our interest rate swaps derivative financial instruments on our Statement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2560" w:type="dxa"/>
            <w:vAlign w:val="bottom"/>
            <w:gridSpan w:val="4"/>
          </w:tcPr>
          <w:p>
            <w:pPr>
              <w:jc w:val="center"/>
              <w:ind w:right="29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3"/>
                <w:szCs w:val="13"/>
                <w:color w:val="auto"/>
              </w:rPr>
            </w:pPr>
          </w:p>
        </w:tc>
        <w:tc>
          <w:tcPr>
            <w:tcW w:w="1260" w:type="dxa"/>
            <w:vAlign w:val="bottom"/>
          </w:tcPr>
          <w:p>
            <w:pPr>
              <w:jc w:val="right"/>
              <w:ind w:right="454"/>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recorded in other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28,282</w:t>
            </w:r>
          </w:p>
        </w:tc>
      </w:tr>
      <w:tr>
        <w:trPr>
          <w:trHeight w:val="230"/>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Interest from interest rate swaps recorded in interest expense</w:t>
            </w:r>
          </w:p>
        </w:tc>
        <w:tc>
          <w:tcPr>
            <w:tcW w:w="140" w:type="dxa"/>
            <w:vAlign w:val="bottom"/>
          </w:tcPr>
          <w:p>
            <w:pPr>
              <w:spacing w:after="0"/>
              <w:rPr>
                <w:sz w:val="19"/>
                <w:szCs w:val="19"/>
                <w:color w:val="auto"/>
              </w:rPr>
            </w:pPr>
          </w:p>
        </w:tc>
        <w:tc>
          <w:tcPr>
            <w:tcW w:w="184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29,960</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settlement recorded in interest expense</w:t>
            </w:r>
          </w:p>
        </w:tc>
        <w:tc>
          <w:tcPr>
            <w:tcW w:w="14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64,329</w:t>
            </w:r>
          </w:p>
        </w:tc>
      </w:tr>
      <w:tr>
        <w:trPr>
          <w:trHeight w:val="89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assets and liabilities measured at fair value on a recurring basis as of September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September 30, 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380"/>
              <w:spacing w:after="0" w:line="142" w:lineRule="exact"/>
              <w:rPr>
                <w:sz w:val="20"/>
                <w:szCs w:val="20"/>
                <w:color w:val="auto"/>
              </w:rPr>
            </w:pPr>
            <w:r>
              <w:rPr>
                <w:rFonts w:ascii="Arial" w:cs="Arial" w:eastAsia="Arial" w:hAnsi="Arial"/>
                <w:sz w:val="16"/>
                <w:szCs w:val="16"/>
                <w:b w:val="1"/>
                <w:bCs w:val="1"/>
                <w:color w:val="auto"/>
                <w:w w:val="96"/>
              </w:rPr>
              <w:t>Fair Value</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312"/>
        </w:trPr>
        <w:tc>
          <w:tcPr>
            <w:tcW w:w="20" w:type="dxa"/>
            <w:vAlign w:val="bottom"/>
          </w:tcPr>
          <w:p>
            <w:pPr>
              <w:spacing w:after="0"/>
              <w:rPr>
                <w:sz w:val="24"/>
                <w:szCs w:val="24"/>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207,722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207,722</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4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4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4360" w:type="dxa"/>
            <w:vAlign w:val="bottom"/>
            <w:gridSpan w:val="2"/>
          </w:tcPr>
          <w:p>
            <w:pPr>
              <w:ind w:left="280"/>
              <w:spacing w:after="0" w:line="176" w:lineRule="exact"/>
              <w:rPr>
                <w:sz w:val="20"/>
                <w:szCs w:val="20"/>
                <w:color w:val="auto"/>
              </w:rPr>
            </w:pPr>
            <w:r>
              <w:rPr>
                <w:rFonts w:ascii="Arial" w:cs="Arial" w:eastAsia="Arial" w:hAnsi="Arial"/>
                <w:sz w:val="18"/>
                <w:szCs w:val="18"/>
                <w:color w:val="auto"/>
                <w:w w:val="96"/>
              </w:rPr>
              <w:t>Derivative instruments - forward-starting interest rate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2"/>
        </w:trPr>
        <w:tc>
          <w:tcPr>
            <w:tcW w:w="20" w:type="dxa"/>
            <w:vAlign w:val="bottom"/>
          </w:tcPr>
          <w:p>
            <w:pPr>
              <w:spacing w:after="0"/>
              <w:rPr>
                <w:sz w:val="24"/>
                <w:szCs w:val="24"/>
                <w:color w:val="auto"/>
              </w:rPr>
            </w:pPr>
          </w:p>
        </w:tc>
        <w:tc>
          <w:tcPr>
            <w:tcW w:w="4360" w:type="dxa"/>
            <w:vAlign w:val="bottom"/>
            <w:gridSpan w:val="2"/>
          </w:tcPr>
          <w:p>
            <w:pPr>
              <w:ind w:left="280"/>
              <w:spacing w:after="0"/>
              <w:rPr>
                <w:sz w:val="20"/>
                <w:szCs w:val="20"/>
                <w:color w:val="auto"/>
              </w:rPr>
            </w:pPr>
            <w:r>
              <w:rPr>
                <w:rFonts w:ascii="Arial" w:cs="Arial" w:eastAsia="Arial" w:hAnsi="Arial"/>
                <w:sz w:val="18"/>
                <w:szCs w:val="18"/>
                <w:color w:val="auto"/>
              </w:rPr>
              <w:t xml:space="preserve">swap </w:t>
            </w:r>
            <w:r>
              <w:rPr>
                <w:rFonts w:ascii="Arial" w:cs="Arial" w:eastAsia="Arial" w:hAnsi="Arial"/>
                <w:sz w:val="23"/>
                <w:szCs w:val="23"/>
                <w:i w:val="1"/>
                <w:iCs w:val="1"/>
                <w:color w:val="auto"/>
                <w:vertAlign w:val="superscript"/>
              </w:rPr>
              <w:t>(2)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investments is equal to their fair value due to the short-term nature of the investments as well as their credit quality.</w:t>
      </w:r>
    </w:p>
    <w:p>
      <w:pPr>
        <w:spacing w:after="0" w:line="68" w:lineRule="exact"/>
        <w:rPr>
          <w:rFonts w:ascii="Arial" w:cs="Arial" w:eastAsia="Arial" w:hAnsi="Arial"/>
          <w:sz w:val="14"/>
          <w:szCs w:val="14"/>
          <w:i w:val="1"/>
          <w:iCs w:val="1"/>
          <w:color w:val="auto"/>
        </w:rPr>
      </w:pPr>
    </w:p>
    <w:p>
      <w:pPr>
        <w:ind w:right="240" w:firstLine="8"/>
        <w:spacing w:after="0" w:line="293" w:lineRule="auto"/>
        <w:tabs>
          <w:tab w:leader="none" w:pos="204"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estimated fair values of our financial instruments as of September 30, 2022 and December 31, 2021 for which fair value is only disclosed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 2022</w:t>
            </w:r>
          </w:p>
        </w:tc>
        <w:tc>
          <w:tcPr>
            <w:tcW w:w="320" w:type="dxa"/>
            <w:vAlign w:val="bottom"/>
          </w:tcPr>
          <w:p>
            <w:pPr>
              <w:spacing w:after="0"/>
              <w:rPr>
                <w:sz w:val="18"/>
                <w:szCs w:val="18"/>
                <w:color w:val="auto"/>
              </w:rPr>
            </w:pPr>
          </w:p>
        </w:tc>
        <w:tc>
          <w:tcPr>
            <w:tcW w:w="24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December 31, 2021</w:t>
            </w:r>
          </w:p>
        </w:tc>
      </w:tr>
      <w:tr>
        <w:trPr>
          <w:trHeight w:val="159"/>
        </w:trPr>
        <w:tc>
          <w:tcPr>
            <w:tcW w:w="20" w:type="dxa"/>
            <w:vAlign w:val="bottom"/>
          </w:tcPr>
          <w:p>
            <w:pPr>
              <w:spacing w:after="0"/>
              <w:rPr>
                <w:sz w:val="13"/>
                <w:szCs w:val="13"/>
                <w:color w:val="auto"/>
              </w:rPr>
            </w:pPr>
          </w:p>
        </w:tc>
        <w:tc>
          <w:tcPr>
            <w:tcW w:w="55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14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6"/>
                <w:szCs w:val="16"/>
                <w:b w:val="1"/>
                <w:bCs w:val="1"/>
                <w:color w:val="auto"/>
              </w:rPr>
              <w:t>Carrying Amount</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i w:val="1"/>
                <w:iCs w:val="1"/>
                <w:color w:val="auto"/>
              </w:rPr>
              <w:t>Financial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16,441,616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17,457,867</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3,104,337</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498,614</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518,383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739,614</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Delayed Draw Term Loan</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13,730,503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4,955,000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1" w:lineRule="exact"/>
        <w:rPr>
          <w:sz w:val="20"/>
          <w:szCs w:val="20"/>
          <w:color w:val="auto"/>
        </w:rPr>
      </w:pPr>
    </w:p>
    <w:p>
      <w:pPr>
        <w:ind w:left="340" w:right="20" w:hanging="332"/>
        <w:spacing w:after="0" w:line="261" w:lineRule="auto"/>
        <w:tabs>
          <w:tab w:leader="none" w:pos="332"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the Harrah’s Call Properties and the MGM Master Lease. The fair value of these assets are based on significant “unobservable” market inputs and, as such, these fair value measurements are considered Level 3 of the fair value hierarchy.</w:t>
      </w:r>
    </w:p>
    <w:p>
      <w:pPr>
        <w:ind w:left="320" w:hanging="312"/>
        <w:spacing w:after="0"/>
        <w:tabs>
          <w:tab w:leader="none" w:pos="3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We believe the current principal balance of these investments approximates their fair value.</w:t>
      </w:r>
    </w:p>
    <w:p>
      <w:pPr>
        <w:spacing w:after="0" w:line="14" w:lineRule="exact"/>
        <w:rPr>
          <w:rFonts w:ascii="Arial" w:cs="Arial" w:eastAsia="Arial" w:hAnsi="Arial"/>
          <w:sz w:val="14"/>
          <w:szCs w:val="14"/>
          <w:i w:val="1"/>
          <w:iCs w:val="1"/>
          <w:color w:val="auto"/>
        </w:rPr>
      </w:pPr>
    </w:p>
    <w:p>
      <w:pPr>
        <w:ind w:left="340" w:hanging="332"/>
        <w:spacing w:after="0" w:line="263" w:lineRule="auto"/>
        <w:tabs>
          <w:tab w:leader="none" w:pos="332"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2022,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has three 10-year extension options and (ii) certain corporate offices, the most material of which is our corporate headquarters in New York, NY, which expires in 2030 and has one five-year renewal option. The discount rates for the leases were determined based on the yield of our then current secured borrowings, adjusted to match borrowings of similar terms, and are between 5.3% and 5.5%. The weighted average remaining lease term as of September 30, 2022 under our operating leases was 13.8 years.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40" w:type="dxa"/>
            <w:vAlign w:val="bottom"/>
            <w:gridSpan w:val="4"/>
          </w:tcPr>
          <w:p>
            <w:pPr>
              <w:jc w:val="center"/>
              <w:ind w:left="316"/>
              <w:spacing w:after="0"/>
              <w:rPr>
                <w:sz w:val="20"/>
                <w:szCs w:val="20"/>
                <w:color w:val="auto"/>
              </w:rPr>
            </w:pPr>
            <w:r>
              <w:rPr>
                <w:rFonts w:ascii="Arial" w:cs="Arial" w:eastAsia="Arial" w:hAnsi="Arial"/>
                <w:sz w:val="16"/>
                <w:szCs w:val="16"/>
                <w:b w:val="1"/>
                <w:bCs w:val="1"/>
                <w:color w:val="auto"/>
                <w:w w:val="93"/>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293"/>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375"/>
              <w:spacing w:after="0"/>
              <w:rPr>
                <w:sz w:val="20"/>
                <w:szCs w:val="20"/>
                <w:color w:val="auto"/>
              </w:rPr>
            </w:pPr>
            <w:r>
              <w:rPr>
                <w:rFonts w:ascii="Arial" w:cs="Arial" w:eastAsia="Arial" w:hAnsi="Arial"/>
                <w:sz w:val="16"/>
                <w:szCs w:val="16"/>
                <w:b w:val="1"/>
                <w:bCs w:val="1"/>
                <w:color w:val="auto"/>
                <w:w w:val="91"/>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15"/>
              <w:spacing w:after="0" w:line="142" w:lineRule="exact"/>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future minimum lease commitments relating to the base lease rent portion of noncancelable operating leases at September 30, 2022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7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1,937</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7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30"/>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r>
      <w:tr>
        <w:trPr>
          <w:trHeight w:val="223"/>
        </w:trPr>
        <w:tc>
          <w:tcPr>
            <w:tcW w:w="20" w:type="dxa"/>
            <w:vAlign w:val="bottom"/>
          </w:tcPr>
          <w:p>
            <w:pPr>
              <w:spacing w:after="0"/>
              <w:rPr>
                <w:sz w:val="19"/>
                <w:szCs w:val="19"/>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r>
      <w:tr>
        <w:trPr>
          <w:trHeight w:val="230"/>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16,327</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The following is a summary of the leases, the lease classification of which has been determined to be either an operating sub-lease or finance sub-lease.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following information, we assessed the lease classification of certain of the sub-leases to our tenants through the Lease Agreements, and our obligation as primary obligor of the leases and determined that they meet the definition of an operating lease. Accordingly, we have recorded sub-lease right-of-use assets in Other assets and sub-lease liabilities in Other liabilities.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tcPr>
          <w:p>
            <w:pPr>
              <w:spacing w:after="0"/>
              <w:rPr>
                <w:sz w:val="17"/>
                <w:szCs w:val="17"/>
                <w:color w:val="auto"/>
              </w:rPr>
            </w:pPr>
          </w:p>
        </w:tc>
        <w:tc>
          <w:tcPr>
            <w:tcW w:w="1820" w:type="dxa"/>
            <w:vAlign w:val="bottom"/>
          </w:tcPr>
          <w:p>
            <w:pPr>
              <w:ind w:left="140"/>
              <w:spacing w:after="0"/>
              <w:rPr>
                <w:sz w:val="20"/>
                <w:szCs w:val="20"/>
                <w:color w:val="auto"/>
              </w:rPr>
            </w:pPr>
            <w:r>
              <w:rPr>
                <w:rFonts w:ascii="Arial" w:cs="Arial" w:eastAsia="Arial" w:hAnsi="Arial"/>
                <w:sz w:val="16"/>
                <w:szCs w:val="16"/>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(operating sub-leases)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(operating sub-lease liabilities)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30,362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ind w:left="156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500" w:type="dxa"/>
            <w:vAlign w:val="bottom"/>
            <w:gridSpan w:val="4"/>
          </w:tcPr>
          <w:p>
            <w:pPr>
              <w:jc w:val="center"/>
              <w:ind w:left="256"/>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15"/>
              <w:spacing w:after="0"/>
              <w:rPr>
                <w:sz w:val="20"/>
                <w:szCs w:val="20"/>
                <w:color w:val="auto"/>
              </w:rPr>
            </w:pPr>
            <w:r>
              <w:rPr>
                <w:rFonts w:ascii="Arial" w:cs="Arial" w:eastAsia="Arial" w:hAnsi="Arial"/>
                <w:sz w:val="16"/>
                <w:szCs w:val="16"/>
                <w:b w:val="1"/>
                <w:bCs w:val="1"/>
                <w:color w:val="auto"/>
                <w:w w:val="91"/>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5"/>
              <w:spacing w:after="0" w:line="142" w:lineRule="exact"/>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Arial" w:cs="Arial" w:eastAsia="Arial" w:hAnsi="Arial"/>
                <w:sz w:val="16"/>
                <w:szCs w:val="16"/>
                <w:b w:val="1"/>
                <w:bCs w:val="1"/>
                <w:color w:val="auto"/>
                <w:w w:val="95"/>
              </w:rPr>
              <w:t>2021</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1,602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458"/>
        </w:trPr>
        <w:tc>
          <w:tcPr>
            <w:tcW w:w="7860" w:type="dxa"/>
            <w:vAlign w:val="bottom"/>
            <w:gridSpan w:val="7"/>
          </w:tcPr>
          <w:p>
            <w:pPr>
              <w:spacing w:after="0"/>
              <w:rPr>
                <w:sz w:val="20"/>
                <w:szCs w:val="20"/>
                <w:color w:val="auto"/>
              </w:rPr>
            </w:pPr>
            <w:r>
              <w:rPr>
                <w:rFonts w:ascii="Arial" w:cs="Arial" w:eastAsia="Arial" w:hAnsi="Arial"/>
                <w:sz w:val="18"/>
                <w:szCs w:val="18"/>
                <w:color w:val="auto"/>
                <w:w w:val="93"/>
              </w:rPr>
              <w:t>The future minimum lease commitments relating to the sub-leases at September 30, 2022 are as follows: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5"/>
          </w:tcPr>
          <w:p>
            <w:pPr>
              <w:ind w:left="40"/>
              <w:spacing w:after="0"/>
              <w:rPr>
                <w:sz w:val="20"/>
                <w:szCs w:val="20"/>
                <w:color w:val="auto"/>
              </w:rPr>
            </w:pPr>
            <w:r>
              <w:rPr>
                <w:rFonts w:ascii="Arial" w:cs="Arial" w:eastAsia="Arial" w:hAnsi="Arial"/>
                <w:sz w:val="16"/>
                <w:szCs w:val="16"/>
                <w:b w:val="1"/>
                <w:bCs w:val="1"/>
                <w:color w:val="auto"/>
              </w:rPr>
              <w:t>Lease Commitments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6,585</w:t>
            </w:r>
          </w:p>
        </w:tc>
        <w:tc>
          <w:tcPr>
            <w:tcW w:w="20" w:type="dxa"/>
            <w:vAlign w:val="bottom"/>
          </w:tcPr>
          <w:p>
            <w:pPr>
              <w:spacing w:after="0"/>
              <w:rPr>
                <w:sz w:val="19"/>
                <w:szCs w:val="19"/>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5,129</w:t>
            </w:r>
          </w:p>
        </w:tc>
        <w:tc>
          <w:tcPr>
            <w:tcW w:w="20" w:type="dxa"/>
            <w:vAlign w:val="bottom"/>
          </w:tcPr>
          <w:p>
            <w:pPr>
              <w:spacing w:after="0"/>
              <w:rPr>
                <w:sz w:val="19"/>
                <w:szCs w:val="19"/>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4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3"/>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32,957</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Sub-lease liabilities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4"/>
          </w:tcPr>
          <w:p>
            <w:pPr>
              <w:jc w:val="right"/>
              <w:ind w:right="27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30,362</w:t>
            </w:r>
          </w:p>
        </w:tc>
        <w:tc>
          <w:tcPr>
            <w:tcW w:w="20" w:type="dxa"/>
            <w:vAlign w:val="bottom"/>
          </w:tcPr>
          <w:p>
            <w:pPr>
              <w:spacing w:after="0"/>
              <w:rPr>
                <w:sz w:val="20"/>
                <w:szCs w:val="20"/>
                <w:color w:val="auto"/>
              </w:rPr>
            </w:pP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 for the operating sub-leases were determined based on the yield of our secured borrowings at the time of assumption of the leases, adjusted to match borrowings of similar terms, and are between 2.6% and 2.9%. The weighted average remaining lease term as of September 30, 2022 under our operating sub-lease was 7.2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Sub-Lease Commitments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following information, we assessed the lease classification of certain of the sub-leases to our tenants through the Lease Agreements, and our obligation as primary obligor of the ground and use leases and determined that they meet the definition of a sales-type lease and finance lease. Accordingly, we have recorded a sales-type sub-lease in Other assets and finance sub-lease liability in Other liabilities.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balance and location in our Balance Sheet of the ground and use sub-leases as of September 30, 2022 and 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2022</w:t>
            </w:r>
          </w:p>
        </w:tc>
        <w:tc>
          <w:tcPr>
            <w:tcW w:w="240" w:type="dxa"/>
            <w:vAlign w:val="bottom"/>
          </w:tcPr>
          <w:p>
            <w:pPr>
              <w:spacing w:after="0"/>
              <w:rPr>
                <w:sz w:val="17"/>
                <w:szCs w:val="17"/>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liabilities)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784,112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280,510</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42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3"/>
                <w:szCs w:val="13"/>
                <w:color w:val="auto"/>
              </w:rPr>
            </w:pPr>
          </w:p>
        </w:tc>
        <w:tc>
          <w:tcPr>
            <w:tcW w:w="108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ind w:right="454"/>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31"/>
              <w:spacing w:after="0" w:line="14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 and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Pr>
          <w:p>
            <w:pPr>
              <w:spacing w:after="0"/>
              <w:rPr>
                <w:sz w:val="20"/>
                <w:szCs w:val="20"/>
                <w:color w:val="auto"/>
              </w:rPr>
            </w:pPr>
          </w:p>
        </w:tc>
      </w:tr>
      <w:tr>
        <w:trPr>
          <w:trHeight w:val="472"/>
        </w:trPr>
        <w:tc>
          <w:tcPr>
            <w:tcW w:w="8760" w:type="dxa"/>
            <w:vAlign w:val="bottom"/>
            <w:gridSpan w:val="10"/>
          </w:tcPr>
          <w:p>
            <w:pPr>
              <w:spacing w:after="0"/>
              <w:rPr>
                <w:sz w:val="20"/>
                <w:szCs w:val="20"/>
                <w:color w:val="auto"/>
              </w:rPr>
            </w:pPr>
            <w:r>
              <w:rPr>
                <w:rFonts w:ascii="Arial" w:cs="Arial" w:eastAsia="Arial" w:hAnsi="Arial"/>
                <w:sz w:val="18"/>
                <w:szCs w:val="18"/>
                <w:color w:val="auto"/>
                <w:w w:val="90"/>
              </w:rPr>
              <w:t>The future minimum lease commitments relating to the ground and use sub-leases at September 30, 2022 are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Lease Commitments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14,281</w:t>
            </w:r>
          </w:p>
        </w:tc>
        <w:tc>
          <w:tcPr>
            <w:tcW w:w="20" w:type="dxa"/>
            <w:vAlign w:val="bottom"/>
          </w:tcPr>
          <w:p>
            <w:pPr>
              <w:spacing w:after="0"/>
              <w:rPr>
                <w:sz w:val="19"/>
                <w:szCs w:val="19"/>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58,769</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59,039</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59,174</w:t>
            </w:r>
          </w:p>
        </w:tc>
        <w:tc>
          <w:tcPr>
            <w:tcW w:w="20" w:type="dxa"/>
            <w:vAlign w:val="bottom"/>
          </w:tcPr>
          <w:p>
            <w:pPr>
              <w:spacing w:after="0"/>
              <w:rPr>
                <w:sz w:val="19"/>
                <w:szCs w:val="19"/>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w:t>
            </w:r>
          </w:p>
        </w:tc>
        <w:tc>
          <w:tcPr>
            <w:tcW w:w="20" w:type="dxa"/>
            <w:vAlign w:val="bottom"/>
          </w:tcPr>
          <w:p>
            <w:pPr>
              <w:spacing w:after="0"/>
              <w:rPr>
                <w:sz w:val="19"/>
                <w:szCs w:val="19"/>
                <w:color w:val="auto"/>
              </w:rPr>
            </w:pP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59,174</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2,555,535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2,865,145</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2,081,033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784,112</w:t>
            </w:r>
          </w:p>
        </w:tc>
        <w:tc>
          <w:tcPr>
            <w:tcW w:w="20" w:type="dxa"/>
            <w:vAlign w:val="bottom"/>
          </w:tcPr>
          <w:p>
            <w:pPr>
              <w:spacing w:after="0"/>
              <w:rPr>
                <w:sz w:val="20"/>
                <w:szCs w:val="20"/>
                <w:color w:val="auto"/>
              </w:rPr>
            </w:pPr>
          </w:p>
        </w:tc>
      </w:tr>
    </w:tbl>
    <w:p>
      <w:pPr>
        <w:spacing w:after="0" w:line="2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rates for the finance ground and use sub-leases were determined based on the yield of our secured borrowings at the time of assumption of the leases, adjusted to match borrowings of similar terms, and are between 6% and 8%. The weighted average remaining lease term as of September 30, 2022 under our finance sub-leases was 55.0 years.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2022, we have the authority to issue 1,400,000,000 shares of stock, consisting of 1,350,000,000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2021 Offering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(collectively, the “September 2021 Forward Sale Agreements”), which required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 stock). We did not initially receive any proceeds from the sale of the 50,000,000 shares subject to the September 2021 Forward Sale Agreements, which were sold to the underwriters by the forward purchasers or their respective affiliates and remained subject to settlement in accordance with the terms of the September 2021 Forward Sale Agreements.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September 2021 Forward Sale Agreements by delivering 50,000,000 shares of our common stock to the forward purchases, in exchange for total net proceeds of approximately $1,390.6 million, which were used to pay for a portion of the purchase price of the Venetian Acquisition. The physical settlement of the September 2021 Forward Sale Agreements were calculated based on the initial forward sale price per share of $28.62, as adjusted for a floating interest rate factor and other fixed amounts based on the passage of time, as specified in the September 2021 Forward Sale Agreements, resulting in a net forward sale price on the settlement date of $27.81 per share.</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were subject to forward sale agreements (the “March 2021 Forward Sale Agreements”), which required settlement by March 4, 2022. We did not initially receive any proceeds from the sale of the shares of common stock in the offering, which were sold to the underwriters by the forward purchasers or their respective affiliates.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18, 2022, we settled the March 2021 Forward Sale Agreements by delivering 69,000,000 shares of our common stock to the forward purchases, in exchange for total net proceeds of approximately $1,828.6 million, which were used to pay for a portion of the purchase price of the Venetian Acquisition. The physical settlement of the March 2021 Forward Sale Agreements were calculated based on the initial forward sale price per share of $28.06, as adjusted for a floating interest rate factor and other fixed amounts based on the passage of time, as specified in the March 2021 Forward Sale Agreements, resulting in a net forward sale price on the settlement date of $26.50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were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On September 9, 2021, we physically settled the remaining shares under the June 2020 Forward Sale Agreement by delivering 26,900,000 shares of our common stock to the forward purchaser in exchange for total net proceeds of approximately $526.9 million, which was calculated based on the net forward sale price on the settlement date of $19.59 per share. The physical settlements of the June 2020 Forward Sale Agreement were calculated based on the initial forward sale price per share of $21.37, as adjusted for a floating interest rate factor and other fixed amounts based on the passage of time, as specified in the June 2020 Forward Sale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2021, we entered into an equity distribution agreement (the “ATM Agreement”), subsequently amended in November 2021,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2022, we sold a total of 3,918,807 shares under the ATM Program at a weighted average price per share of $34.73 for an aggregate value of $136.08 million, all of which were sold subject to a forward sale agreement (the “August 2022 ATM Forward Sale Agreement”). After fees and other adjustments calculated in accordance with the forward sale agreement, the aggregate net value of $134.8 million yielded a net initial forward sales price per share of $34.40.</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June 30, 2022, we sold a total of 11,380,980 shares under the ATM Program at a weighted average price per share of $32.28 for an aggregate value of $367.4 million, all of which were sold subject to a forward sale agreement (the “June 2022 ATM Forward Sale Agreement” and together with the August 2022 ATM Forward Sale Agreement the “ATM Forward Sale Agreements”). After fees and other adjustments calculated in accordance with the forward sale agreement, the aggregate net value of $360.0 million yielded a net initial forward sales price per share of $31.64.</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and the three and nine months ended September 30, 2021, we did not sell any shares under the ATM Program. We have no obligation to sell the remaining shares available for sale under the ATM Program.</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did not receive any proceeds from the sale of shares at the time we entered into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 We expect to settle the shares under the ATM Forward Sale Agreements prior to the expiration of their respective terms entirely by the physical delivery of shares of our common stock in exchange for cash proceeds, although we may elect cash settlement or net share settlement for all or a portion of our obligations under the ATM Forward Sale Agreements.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September 30, 2022, the net forward sales price per share under the August 2022 ATM Forward Sale Agreement and June 2022 ATM Forward Sale Agreement were $34.08 and $31.36, respectively, and would result in us receiving approximately $133.5 million and $356.9 million, respectively, in net cash proceeds if we were to physically settle the shares under the ATM Forward Sale Agreements. Alternatively, if we were to cash settle the shares under the August 2022 ATM Forward Sale Agreement and the June 2022 ATM Forward Sale Agreement, it would result in a cash inflow of $3.4 million and $17.2 million, respectively, or, if we were to net share settle the shares under the August 2022 ATM Forward Sale Agreement and the June 2022 ATM Forward Sale Agreement, it would result in us receiving approximately 0.1 million and 0.6 million shares,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2021</w:t>
            </w:r>
          </w:p>
        </w:tc>
      </w:tr>
      <w:tr>
        <w:trPr>
          <w:trHeight w:val="226"/>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628,942,092</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536,669,722</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primary follow-on offerings</w:t>
            </w:r>
          </w:p>
        </w:tc>
        <w:tc>
          <w:tcPr>
            <w:tcW w:w="2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65,000,000</w:t>
            </w:r>
          </w:p>
        </w:tc>
      </w:tr>
      <w:tr>
        <w:trPr>
          <w:trHeight w:val="229"/>
        </w:trPr>
        <w:tc>
          <w:tcPr>
            <w:tcW w:w="7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119,000,000</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26,900,000</w:t>
            </w: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connection with the REIT Mergers</w:t>
            </w:r>
          </w:p>
        </w:tc>
        <w:tc>
          <w:tcPr>
            <w:tcW w:w="2000" w:type="dxa"/>
            <w:vAlign w:val="bottom"/>
          </w:tcPr>
          <w:p>
            <w:pPr>
              <w:jc w:val="right"/>
              <w:spacing w:after="0"/>
              <w:rPr>
                <w:sz w:val="20"/>
                <w:szCs w:val="20"/>
                <w:color w:val="auto"/>
              </w:rPr>
            </w:pPr>
            <w:r>
              <w:rPr>
                <w:rFonts w:ascii="Arial" w:cs="Arial" w:eastAsia="Arial" w:hAnsi="Arial"/>
                <w:sz w:val="18"/>
                <w:szCs w:val="18"/>
                <w:color w:val="auto"/>
              </w:rPr>
              <w:t>214,552,532</w:t>
            </w: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0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24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598,800</w:t>
            </w:r>
          </w:p>
        </w:tc>
        <w:tc>
          <w:tcPr>
            <w:tcW w:w="80" w:type="dxa"/>
            <w:vAlign w:val="bottom"/>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375,165</w:t>
            </w: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September 30,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963,093,424</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628,944,887</w:t>
            </w: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Excludes the 15,299,787 shares subject to the ATM Forward Sale Agreements as such shares are not yet settled.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nine months ended September 30, 2022 and 2021 were as follows: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500" w:type="dxa"/>
            <w:vAlign w:val="bottom"/>
            <w:tcBorders>
              <w:top w:val="single" w:sz="8" w:color="auto"/>
            </w:tcBorders>
          </w:tcPr>
          <w:p>
            <w:pPr>
              <w:jc w:val="center"/>
              <w:ind w:left="233"/>
              <w:spacing w:after="0"/>
              <w:rPr>
                <w:sz w:val="20"/>
                <w:szCs w:val="20"/>
                <w:color w:val="auto"/>
              </w:rPr>
            </w:pPr>
            <w:r>
              <w:rPr>
                <w:rFonts w:ascii="Arial" w:cs="Arial" w:eastAsia="Arial" w:hAnsi="Arial"/>
                <w:sz w:val="16"/>
                <w:szCs w:val="16"/>
                <w:b w:val="1"/>
                <w:bCs w:val="1"/>
                <w:color w:val="auto"/>
                <w:w w:val="92"/>
              </w:rPr>
              <w:t>Payment Date</w:t>
            </w: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2022</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4"/>
              </w:rPr>
              <w:t>April 7, 2022</w:t>
            </w: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c>
          <w:tcPr>
            <w:tcW w:w="20" w:type="dxa"/>
            <w:vAlign w:val="bottom"/>
          </w:tcPr>
          <w:p>
            <w:pPr>
              <w:spacing w:after="0"/>
              <w:rPr>
                <w:sz w:val="19"/>
                <w:szCs w:val="19"/>
                <w:color w:val="auto"/>
              </w:rPr>
            </w:pPr>
          </w:p>
        </w:tc>
      </w:tr>
      <w:tr>
        <w:trPr>
          <w:trHeight w:val="229"/>
        </w:trPr>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June 9, 2022</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23, 2022</w:t>
            </w:r>
          </w:p>
        </w:tc>
        <w:tc>
          <w:tcPr>
            <w:tcW w:w="1500" w:type="dxa"/>
            <w:vAlign w:val="bottom"/>
          </w:tcPr>
          <w:p>
            <w:pPr>
              <w:jc w:val="center"/>
              <w:ind w:left="213"/>
              <w:spacing w:after="0"/>
              <w:rPr>
                <w:sz w:val="20"/>
                <w:szCs w:val="20"/>
                <w:color w:val="auto"/>
              </w:rPr>
            </w:pPr>
            <w:r>
              <w:rPr>
                <w:rFonts w:ascii="Arial" w:cs="Arial" w:eastAsia="Arial" w:hAnsi="Arial"/>
                <w:sz w:val="18"/>
                <w:szCs w:val="18"/>
                <w:color w:val="auto"/>
                <w:w w:val="90"/>
              </w:rPr>
              <w:t>July 7, 2022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April 1, 2022 - June 30, 2022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0.3600</w:t>
            </w:r>
          </w:p>
        </w:tc>
        <w:tc>
          <w:tcPr>
            <w:tcW w:w="20" w:type="dxa"/>
            <w:vAlign w:val="bottom"/>
          </w:tcPr>
          <w:p>
            <w:pPr>
              <w:spacing w:after="0"/>
              <w:rPr>
                <w:sz w:val="19"/>
                <w:szCs w:val="19"/>
                <w:color w:val="auto"/>
              </w:rPr>
            </w:pPr>
          </w:p>
        </w:tc>
      </w:tr>
      <w:tr>
        <w:trPr>
          <w:trHeight w:val="230"/>
        </w:trPr>
        <w:tc>
          <w:tcPr>
            <w:tcW w:w="2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September 8, 2022</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22, 2022</w:t>
            </w:r>
          </w:p>
        </w:tc>
        <w:tc>
          <w:tcPr>
            <w:tcW w:w="15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October 6, 2022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 2022 - September 30, 2022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0.3900</w:t>
            </w:r>
          </w:p>
        </w:tc>
        <w:tc>
          <w:tcPr>
            <w:tcW w:w="20" w:type="dxa"/>
            <w:vAlign w:val="bottom"/>
          </w:tcPr>
          <w:p>
            <w:pPr>
              <w:spacing w:after="0"/>
              <w:rPr>
                <w:sz w:val="19"/>
                <w:szCs w:val="19"/>
                <w:color w:val="auto"/>
              </w:rPr>
            </w:pPr>
          </w:p>
        </w:tc>
      </w:tr>
      <w:tr>
        <w:trPr>
          <w:trHeight w:val="497"/>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5"/>
          </w:tcPr>
          <w:p>
            <w:pPr>
              <w:jc w:val="center"/>
              <w:ind w:right="2200"/>
              <w:spacing w:after="0"/>
              <w:rPr>
                <w:sz w:val="20"/>
                <w:szCs w:val="20"/>
                <w:color w:val="auto"/>
              </w:rPr>
            </w:pPr>
            <w:r>
              <w:rPr>
                <w:rFonts w:ascii="Arial" w:cs="Arial" w:eastAsia="Arial" w:hAnsi="Arial"/>
                <w:sz w:val="16"/>
                <w:szCs w:val="16"/>
                <w:b w:val="1"/>
                <w:bCs w:val="1"/>
                <w:color w:val="auto"/>
                <w:w w:val="91"/>
              </w:rPr>
              <w:t>Nine Months Ended September 30, 2021</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Record Date</w:t>
            </w:r>
          </w:p>
        </w:tc>
        <w:tc>
          <w:tcPr>
            <w:tcW w:w="1500" w:type="dxa"/>
            <w:vAlign w:val="bottom"/>
          </w:tcPr>
          <w:p>
            <w:pPr>
              <w:jc w:val="center"/>
              <w:ind w:left="233"/>
              <w:spacing w:after="0"/>
              <w:rPr>
                <w:sz w:val="20"/>
                <w:szCs w:val="20"/>
                <w:color w:val="auto"/>
              </w:rPr>
            </w:pPr>
            <w:r>
              <w:rPr>
                <w:rFonts w:ascii="Arial" w:cs="Arial" w:eastAsia="Arial" w:hAnsi="Arial"/>
                <w:sz w:val="16"/>
                <w:szCs w:val="16"/>
                <w:b w:val="1"/>
                <w:bCs w:val="1"/>
                <w:color w:val="auto"/>
                <w:w w:val="92"/>
              </w:rPr>
              <w:t>Payment Date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c>
          <w:tcPr>
            <w:tcW w:w="20" w:type="dxa"/>
            <w:vAlign w:val="bottom"/>
          </w:tcPr>
          <w:p>
            <w:pPr>
              <w:spacing w:after="0"/>
              <w:rPr>
                <w:sz w:val="18"/>
                <w:szCs w:val="18"/>
                <w:color w:val="auto"/>
              </w:rPr>
            </w:pPr>
          </w:p>
        </w:tc>
      </w:tr>
      <w:tr>
        <w:trPr>
          <w:trHeight w:val="226"/>
        </w:trPr>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25, 2021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4"/>
              </w:rPr>
              <w:t>April 8, 2021</w:t>
            </w: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2021 - March 31, 2021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Pr>
          <w:p>
            <w:pPr>
              <w:spacing w:after="0"/>
              <w:rPr>
                <w:sz w:val="19"/>
                <w:szCs w:val="19"/>
                <w:color w:val="auto"/>
              </w:rPr>
            </w:pPr>
          </w:p>
        </w:tc>
      </w:tr>
      <w:tr>
        <w:trPr>
          <w:trHeight w:val="230"/>
        </w:trPr>
        <w:tc>
          <w:tcPr>
            <w:tcW w:w="2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June 10, 2021</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24, 2021</w:t>
            </w:r>
          </w:p>
        </w:tc>
        <w:tc>
          <w:tcPr>
            <w:tcW w:w="1500" w:type="dxa"/>
            <w:vAlign w:val="bottom"/>
          </w:tcPr>
          <w:p>
            <w:pPr>
              <w:jc w:val="center"/>
              <w:ind w:left="213"/>
              <w:spacing w:after="0"/>
              <w:rPr>
                <w:sz w:val="20"/>
                <w:szCs w:val="20"/>
                <w:color w:val="auto"/>
              </w:rPr>
            </w:pPr>
            <w:r>
              <w:rPr>
                <w:rFonts w:ascii="Arial" w:cs="Arial" w:eastAsia="Arial" w:hAnsi="Arial"/>
                <w:sz w:val="18"/>
                <w:szCs w:val="18"/>
                <w:color w:val="auto"/>
                <w:w w:val="90"/>
              </w:rPr>
              <w:t>July 8, 2021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April 1, 2021 - June 30, 2021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0.3300</w:t>
            </w:r>
          </w:p>
        </w:tc>
        <w:tc>
          <w:tcPr>
            <w:tcW w:w="20" w:type="dxa"/>
            <w:vAlign w:val="bottom"/>
          </w:tcPr>
          <w:p>
            <w:pPr>
              <w:spacing w:after="0"/>
              <w:rPr>
                <w:sz w:val="19"/>
                <w:szCs w:val="19"/>
                <w:color w:val="auto"/>
              </w:rPr>
            </w:pPr>
          </w:p>
        </w:tc>
      </w:tr>
      <w:tr>
        <w:trPr>
          <w:trHeight w:val="229"/>
        </w:trPr>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August 4, 2021</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24, 2021</w:t>
            </w:r>
          </w:p>
        </w:tc>
        <w:tc>
          <w:tcPr>
            <w:tcW w:w="150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October 7, 2021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 2021 - September 30, 2021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0.3600</w:t>
            </w:r>
          </w:p>
        </w:tc>
        <w:tc>
          <w:tcPr>
            <w:tcW w:w="20" w:type="dxa"/>
            <w:vAlign w:val="bottom"/>
          </w:tcPr>
          <w:p>
            <w:pPr>
              <w:spacing w:after="0"/>
              <w:rPr>
                <w:sz w:val="19"/>
                <w:szCs w:val="19"/>
                <w:color w:val="auto"/>
              </w:rPr>
            </w:pPr>
          </w:p>
        </w:tc>
      </w:tr>
      <w:tr>
        <w:trPr>
          <w:trHeight w:val="90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 and Earnings Per Unit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r>
        <w:rPr>
          <w:rFonts w:ascii="Arial" w:cs="Arial" w:eastAsia="Arial" w:hAnsi="Arial"/>
          <w:sz w:val="16"/>
          <w:szCs w:val="16"/>
          <w:u w:val="single" w:color="auto"/>
          <w:color w:val="0000FF"/>
        </w:rPr>
        <w:t>Note 11 - Stockholders' Equity</w:t>
      </w:r>
      <w:r>
        <w:rPr>
          <w:rFonts w:ascii="Arial" w:cs="Arial" w:eastAsia="Arial" w:hAnsi="Arial"/>
          <w:sz w:val="16"/>
          <w:szCs w:val="16"/>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16"/>
                <w:szCs w:val="16"/>
                <w:color w:val="auto"/>
              </w:rPr>
            </w:pPr>
          </w:p>
        </w:tc>
        <w:tc>
          <w:tcPr>
            <w:tcW w:w="2580" w:type="dxa"/>
            <w:vAlign w:val="bottom"/>
            <w:gridSpan w:val="4"/>
          </w:tcPr>
          <w:p>
            <w:pPr>
              <w:jc w:val="center"/>
              <w:ind w:right="27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3"/>
                <w:szCs w:val="13"/>
                <w:color w:val="auto"/>
              </w:rPr>
            </w:pPr>
          </w:p>
        </w:tc>
        <w:tc>
          <w:tcPr>
            <w:tcW w:w="126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962,574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848,839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542,844</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restricted stock</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forward sale agreements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320" w:type="dxa"/>
            <w:vAlign w:val="bottom"/>
          </w:tcPr>
          <w:p>
            <w:pPr>
              <w:spacing w:after="0"/>
              <w:rPr>
                <w:sz w:val="24"/>
                <w:szCs w:val="24"/>
                <w:color w:val="auto"/>
              </w:rPr>
            </w:pPr>
          </w:p>
        </w:tc>
        <w:tc>
          <w:tcPr>
            <w:tcW w:w="2580" w:type="dxa"/>
            <w:vAlign w:val="bottom"/>
            <w:gridSpan w:val="4"/>
          </w:tcPr>
          <w:p>
            <w:pPr>
              <w:jc w:val="center"/>
              <w:ind w:right="27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140" w:type="dxa"/>
            <w:vAlign w:val="bottom"/>
          </w:tcPr>
          <w:p>
            <w:pPr>
              <w:spacing w:after="0"/>
              <w:rPr>
                <w:sz w:val="13"/>
                <w:szCs w:val="13"/>
                <w:color w:val="auto"/>
              </w:rPr>
            </w:pPr>
          </w:p>
        </w:tc>
        <w:tc>
          <w:tcPr>
            <w:tcW w:w="126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330,905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161,862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513,582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732,372</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962,574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542,844</w:t>
            </w:r>
          </w:p>
        </w:tc>
      </w:tr>
      <w:tr>
        <w:trPr>
          <w:trHeight w:val="223"/>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732,372</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Diluted weighted-average shares of common stock outstanding</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964,134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53"/>
              <w:spacing w:after="0"/>
              <w:rPr>
                <w:sz w:val="20"/>
                <w:szCs w:val="20"/>
                <w:color w:val="auto"/>
              </w:rPr>
            </w:pPr>
            <w:r>
              <w:rPr>
                <w:rFonts w:ascii="Arial" w:cs="Arial" w:eastAsia="Arial" w:hAnsi="Arial"/>
                <w:sz w:val="18"/>
                <w:szCs w:val="18"/>
                <w:color w:val="auto"/>
                <w:w w:val="99"/>
              </w:rPr>
              <w:t>51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units outstanding used in the calculation of basic EPU to the weighted-average units outstanding used in the calculation of diluted EPU:</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6"/>
          </w:tcPr>
          <w:p>
            <w:pPr>
              <w:jc w:val="center"/>
              <w:ind w:right="292"/>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left="653"/>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left="473"/>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3"/>
              <w:spacing w:after="0" w:line="142"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Determination of units: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974,805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855,784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542,844</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Assumed conversion of VICI restricted stock</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Assumed settlement of VICI forward sale agreements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weighted-average units outstanding</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gridSpan w:val="6"/>
          </w:tcPr>
          <w:p>
            <w:pPr>
              <w:jc w:val="center"/>
              <w:ind w:right="272"/>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13"/>
              <w:spacing w:after="0" w:line="142"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12"/>
              <w:spacing w:after="0" w:line="14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33"/>
              <w:spacing w:after="0" w:line="142"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452"/>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34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Net income attributable to partners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334,271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509,584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728,865</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855,784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542,844</w:t>
            </w:r>
          </w:p>
        </w:tc>
      </w:tr>
      <w:tr>
        <w:trPr>
          <w:trHeight w:val="223"/>
        </w:trPr>
        <w:tc>
          <w:tcPr>
            <w:tcW w:w="20" w:type="dxa"/>
            <w:vAlign w:val="bottom"/>
          </w:tcPr>
          <w:p>
            <w:pPr>
              <w:spacing w:after="0"/>
              <w:rPr>
                <w:sz w:val="19"/>
                <w:szCs w:val="19"/>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Basic EPU</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Diluted: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income attributable to partners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728,865</w:t>
            </w: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Weighted-average units outstanding</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976,366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Diluted EPU</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953"/>
              <w:spacing w:after="0"/>
              <w:rPr>
                <w:sz w:val="20"/>
                <w:szCs w:val="20"/>
                <w:color w:val="auto"/>
              </w:rPr>
            </w:pPr>
            <w:r>
              <w:rPr>
                <w:rFonts w:ascii="Arial" w:cs="Arial" w:eastAsia="Arial" w:hAnsi="Arial"/>
                <w:sz w:val="18"/>
                <w:szCs w:val="18"/>
                <w:color w:val="auto"/>
                <w:w w:val="89"/>
              </w:rPr>
              <w:t>52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2022, 10.9 million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380" w:type="dxa"/>
            <w:vAlign w:val="bottom"/>
            <w:gridSpan w:val="4"/>
          </w:tcPr>
          <w:p>
            <w:pPr>
              <w:jc w:val="center"/>
              <w:ind w:left="376"/>
              <w:spacing w:after="0"/>
              <w:rPr>
                <w:sz w:val="20"/>
                <w:szCs w:val="20"/>
                <w:color w:val="auto"/>
              </w:rPr>
            </w:pPr>
            <w:r>
              <w:rPr>
                <w:rFonts w:ascii="Arial" w:cs="Arial" w:eastAsia="Arial" w:hAnsi="Arial"/>
                <w:sz w:val="16"/>
                <w:szCs w:val="16"/>
                <w:b w:val="1"/>
                <w:bCs w:val="1"/>
                <w:color w:val="auto"/>
                <w:w w:val="93"/>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295"/>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6"/>
                <w:szCs w:val="16"/>
                <w:b w:val="1"/>
                <w:bCs w:val="1"/>
                <w:color w:val="auto"/>
                <w:w w:val="91"/>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5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57"/>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5"/>
              <w:spacing w:after="0" w:line="142" w:lineRule="exact"/>
              <w:rPr>
                <w:sz w:val="20"/>
                <w:szCs w:val="20"/>
                <w:color w:val="auto"/>
              </w:rPr>
            </w:pPr>
            <w:r>
              <w:rPr>
                <w:rFonts w:ascii="Arial" w:cs="Arial" w:eastAsia="Arial" w:hAnsi="Arial"/>
                <w:sz w:val="16"/>
                <w:szCs w:val="16"/>
                <w:b w:val="1"/>
                <w:bCs w:val="1"/>
                <w:color w:val="auto"/>
                <w:w w:val="95"/>
              </w:rPr>
              <w:t>2021</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960" w:type="dxa"/>
            <w:vAlign w:val="bottom"/>
            <w:gridSpan w:val="5"/>
          </w:tcPr>
          <w:p>
            <w:pPr>
              <w:ind w:left="540"/>
              <w:spacing w:after="0"/>
              <w:rPr>
                <w:sz w:val="20"/>
                <w:szCs w:val="20"/>
                <w:color w:val="auto"/>
              </w:rPr>
            </w:pPr>
            <w:r>
              <w:rPr>
                <w:rFonts w:ascii="Arial" w:cs="Arial" w:eastAsia="Arial" w:hAnsi="Arial"/>
                <w:sz w:val="16"/>
                <w:szCs w:val="16"/>
                <w:b w:val="1"/>
                <w:bCs w:val="1"/>
                <w:color w:val="auto"/>
              </w:rPr>
              <w:t>Nine Months Ended September 30, 2022</w:t>
            </w:r>
          </w:p>
        </w:tc>
        <w:tc>
          <w:tcPr>
            <w:tcW w:w="3860" w:type="dxa"/>
            <w:vAlign w:val="bottom"/>
            <w:gridSpan w:val="4"/>
          </w:tcPr>
          <w:p>
            <w:pPr>
              <w:jc w:val="right"/>
              <w:ind w:right="452"/>
              <w:spacing w:after="0"/>
              <w:rPr>
                <w:sz w:val="20"/>
                <w:szCs w:val="20"/>
                <w:color w:val="auto"/>
              </w:rPr>
            </w:pPr>
            <w:r>
              <w:rPr>
                <w:rFonts w:ascii="Arial" w:cs="Arial" w:eastAsia="Arial" w:hAnsi="Arial"/>
                <w:sz w:val="16"/>
                <w:szCs w:val="16"/>
                <w:b w:val="1"/>
                <w:bCs w:val="1"/>
                <w:color w:val="auto"/>
              </w:rPr>
              <w:t>Nine Months Ended September 30, 2021</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3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52"/>
              <w:spacing w:after="0" w:line="158" w:lineRule="exact"/>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3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per share data)</w:t>
            </w: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372"/>
              <w:spacing w:after="0" w:line="142"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34"/>
        </w:trPr>
        <w:tc>
          <w:tcPr>
            <w:tcW w:w="60" w:type="dxa"/>
            <w:vAlign w:val="bottom"/>
            <w:tcBorders>
              <w:bottom w:val="single" w:sz="8" w:color="CCEEFF"/>
            </w:tcBorders>
          </w:tcPr>
          <w:p>
            <w:pPr>
              <w:spacing w:after="0"/>
              <w:rPr>
                <w:sz w:val="2"/>
                <w:szCs w:val="2"/>
                <w:color w:val="auto"/>
              </w:rPr>
            </w:pPr>
          </w:p>
        </w:tc>
        <w:tc>
          <w:tcPr>
            <w:tcW w:w="2200" w:type="dxa"/>
            <w:vAlign w:val="bottom"/>
            <w:tcBorders>
              <w:top w:val="single" w:sz="8" w:color="auto"/>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30"/>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0"/>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29"/>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0"/>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there was $21.2 million of unrecognized compensation cost related to non-vested stock-based compensation arrangements under the Plan. This cost is expected to be recognized over a weighted average period of 2.0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20"/>
          <w:szCs w:val="20"/>
          <w:b w:val="1"/>
          <w:bCs w:val="1"/>
          <w:color w:val="auto"/>
        </w:rPr>
        <w:t>VICI PROPERTIES INC. AND VICI PROPERTIES L.P.</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which is wholly owned by VICI, consists of four golf courses, with each being operating segments that are aggregated into one reportable segment.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 presents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Three Months Ended September 30, 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2"/>
              </w:rPr>
              <w:t>Three Months Ended September 30,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VICI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81"/>
              </w:rPr>
              <w:t>Business</w:t>
            </w: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(165,099)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gridSpan w:val="2"/>
          </w:tcPr>
          <w:p>
            <w:pPr>
              <w:spacing w:after="0" w:line="189" w:lineRule="exact"/>
              <w:rPr>
                <w:sz w:val="20"/>
                <w:szCs w:val="20"/>
                <w:color w:val="auto"/>
              </w:rPr>
            </w:pPr>
            <w:r>
              <w:rPr>
                <w:rFonts w:ascii="Arial" w:cs="Arial" w:eastAsia="Arial" w:hAnsi="Arial"/>
                <w:sz w:val="18"/>
                <w:szCs w:val="18"/>
                <w:color w:val="auto"/>
              </w:rPr>
              <w:t>Income from unconsolidated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37,307,982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15,227,819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15,245,685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5,402,358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5,420,018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1"/>
              </w:rPr>
              <w:t>Nine Months Ended September 30, 2022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6"/>
                <w:szCs w:val="16"/>
                <w:b w:val="1"/>
                <w:bCs w:val="1"/>
                <w:color w:val="auto"/>
                <w:w w:val="92"/>
              </w:rPr>
              <w:t>Nine Months Ended September 30, 2021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VICI Consolidated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Real Property</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Golf Course</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VICI 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84"/>
              </w:rPr>
              <w:t>Business</w:t>
            </w: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81"/>
              </w:rPr>
              <w:t>Business</w:t>
            </w:r>
          </w:p>
        </w:tc>
        <w:tc>
          <w:tcPr>
            <w:tcW w:w="1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1,830,791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(321,953)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on extinguishment of debt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gridSpan w:val="2"/>
          </w:tcPr>
          <w:p>
            <w:pPr>
              <w:spacing w:after="0" w:line="189" w:lineRule="exact"/>
              <w:rPr>
                <w:sz w:val="20"/>
                <w:szCs w:val="20"/>
                <w:color w:val="auto"/>
              </w:rPr>
            </w:pPr>
            <w:r>
              <w:rPr>
                <w:rFonts w:ascii="Arial" w:cs="Arial" w:eastAsia="Arial" w:hAnsi="Arial"/>
                <w:sz w:val="18"/>
                <w:szCs w:val="18"/>
                <w:color w:val="auto"/>
              </w:rPr>
              <w:t>Income from unconsolidated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37,307,982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15,227,819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15,245,685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5,402,358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5,420,018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0"/>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93"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following discussion and analysis of the financial position and operating results of VICI Properties Inc. and VICI Properties L.P. for the three and nine months ended September 30, 2022 should be read in conjunction with the Financial Statements and related notes thereto and other financial information contained elsewhere in this Quarterly Report on Form 10-Q and the audited consolidated financial statements and related notes for the year ended December 31, 2021, which, in the case of VICI Properties Inc., were included in our </w:t>
      </w:r>
      <w:hyperlink r:id="rId81">
        <w:r>
          <w:rPr>
            <w:rFonts w:ascii="Arial" w:cs="Arial" w:eastAsia="Arial" w:hAnsi="Arial"/>
            <w:sz w:val="16"/>
            <w:szCs w:val="16"/>
            <w:i w:val="1"/>
            <w:iCs w:val="1"/>
            <w:u w:val="single" w:color="auto"/>
            <w:color w:val="0000FF"/>
          </w:rPr>
          <w:t>Annual Report on Form 10-K for the year ended December 31, 2021</w:t>
        </w:r>
      </w:hyperlink>
      <w:r>
        <w:rPr>
          <w:rFonts w:ascii="Arial" w:cs="Arial" w:eastAsia="Arial" w:hAnsi="Arial"/>
          <w:sz w:val="16"/>
          <w:szCs w:val="16"/>
          <w:i w:val="1"/>
          <w:iCs w:val="1"/>
          <w:color w:val="auto"/>
        </w:rPr>
        <w:t xml:space="preserve"> and in the case of VICI Properties L.P. were included as an </w:t>
      </w:r>
      <w:hyperlink r:id="rId31">
        <w:r>
          <w:rPr>
            <w:rFonts w:ascii="Arial" w:cs="Arial" w:eastAsia="Arial" w:hAnsi="Arial"/>
            <w:sz w:val="16"/>
            <w:szCs w:val="16"/>
            <w:i w:val="1"/>
            <w:iCs w:val="1"/>
            <w:u w:val="single" w:color="auto"/>
            <w:color w:val="0000FF"/>
          </w:rPr>
          <w:t>exhibit to Form 8-K filed on April 18, 2022</w:t>
        </w:r>
      </w:hyperlink>
      <w:r>
        <w:rPr>
          <w:rFonts w:ascii="Arial" w:cs="Arial" w:eastAsia="Arial" w:hAnsi="Arial"/>
          <w:sz w:val="16"/>
          <w:szCs w:val="16"/>
          <w:i w:val="1"/>
          <w:iCs w:val="1"/>
          <w:color w:val="auto"/>
        </w:rPr>
        <w:t xml:space="preserve">. All defined terms included herein have the same meaning as those set forth in the </w:t>
      </w:r>
      <w:r>
        <w:rPr>
          <w:rFonts w:ascii="Arial" w:cs="Arial" w:eastAsia="Arial" w:hAnsi="Arial"/>
          <w:sz w:val="16"/>
          <w:szCs w:val="16"/>
          <w:i w:val="1"/>
          <w:iCs w:val="1"/>
          <w:u w:val="single" w:color="auto"/>
          <w:color w:val="0000FF"/>
        </w:rPr>
        <w:t>Notes to the Consolidated Financial Statements</w:t>
      </w:r>
      <w:r>
        <w:rPr>
          <w:rFonts w:ascii="Arial" w:cs="Arial" w:eastAsia="Arial" w:hAnsi="Arial"/>
          <w:sz w:val="16"/>
          <w:szCs w:val="16"/>
          <w:i w:val="1"/>
          <w:iCs w:val="1"/>
          <w:color w:val="auto"/>
        </w:rPr>
        <w:t xml:space="preserve"> contained within this Quarterly Report on Form 10-Q.</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rising inflation, rising interest rates, supply chain disruptions, consumer confidence levels, unemployment levels and depressed real estate prices resulting from the severity and duration of any downturn in the U.S. or global economy; the impact of the rise in interest rates on us, including our ability to successfully pursue investments in, and acquisitions of, additional properties and to obtain debt financing for such investments at attractive interest rates, or at all; the impact of the COVID-19 pandemic on our and our tenants’ financial condition, results of operations, cash flows and performance (including the impact of actions taken to contain the pandemic or mitigate its impact, the direct and indirect economic effects of the pandemic and containment measures on our tenants, and the ability of our tenants to successfully operate their businesses); risks associated with our recently closed transactions, including our ability or failure to realize the anticipated benefits thereof; our dependence on our tenants as tenants of our properties and their guarantors as guarantors of the lease payments and the negative consequences any material adverse effect on their respective businesses could have on us; the possibility that our pending transactions may not be consummated on the terms or timeframes contemplated, or at all; the ability of the parties to our pending transactions to satisfy the conditions set forth in the definitive transaction documents, including the ability to receive, or delays in obtaining, the governmental and regulatory approvals and consents required to consummate the pending transactions, or other delays or impediments to completing the transactions; our ability to obtain the financing necessary to complete our pending acquisitions on the terms we currently expect in a timely manner, or at all; the effects of our pending and recently completed transactions on us, including the future impact on our financial condition, financial and operating results, cash flows, strategy and plans; the anticipated benefits of the Partner Property Growth Fund; our borrowers’ ability to repay their outstanding loan obligations to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including indebtedness assumed and incurred by us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connection with the completion of the MGP Transactions, and ability to service, refinance and otherwise fulfill our obligations under such indebtedness; our historical financial information may not be reliable indicators of our future results of operations, financial condition and cash flows; our inability to successfully pursue investments in, and acquisitions of, additional properties; the possibility that we identify significant environmental, tax, legal or other issues that materially and adversely impact the value of assets acquired or secured as collateral (or other benefits we expect to receive) in any of our recently completed transactions; the impact of changes to the U.S. federal income tax laws; the possibility of adverse tax consequences as a result of our recently completed transactions, including tax protection agreements to which we are a party; increased volatility in our stock price, including as a result of our pending and recently completed transactions; our inability to maintain our qualification for taxation as a REIT;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VICI’s reliance on distributions received from VICI OP and its subsidiaries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3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owner and acquirer of experiential real estate assets across leading gaming, hospitality, entertainment and leisure destinations. Our national, geographically diverse portfolio currently consists of 43 market leading properties,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122 million square feet, our well-maintained properties are currently located across urban, destination and drive-to markets in fifteen states, contain approximately 58,700 hotel rooms and feature over 450 restaurants, bars, nightclubs, and sportsbooks.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also includes certain real estate debt investments that we have originated for strategic reasons in connection with transactions that either do or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lease our properties to subsidiaries of, or entities managed by, Apollo, Caesars, Century Casinos, EBCI, JACK Entertainment, MGM, PENN Entertainment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other global events and market conditions more broadly. We conduct our real property business through VICI OP and our golf course business through a taxable REIT subsidiary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and nine months ended September 30,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Material Trends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Macroeconomic Environment</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Recent macroeconomic volatility has introduced significant uncertainty and heightened risk for businesses, including us and our tenants, as a result of the current inflationary environment, including the impact of rising interest rates and increased cost of capital. Our tenants also face additional challenges, including potential changes in consumer behavior and spending and increased operational expenses, such as with respect to labor or energy costs. As a triple-net lessor, increased operational expenses at our leased properties are borne by our tenants and do not impact their rent obligations (other than with respect to underlying inflation as applied to the CPI-based escalators described below) or other obligations under our Lease Agreements.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the current environment, including rising interest rates and market volatility, impacts our business in certain respects, such as by increasing interest expense with respect to any borrowings under our Credit Facility, increasing volatility of our share price with respect to sales of common stock, and, with respect to potential transactions, evaluating asset and property values in discussions with potential counterparties and obtaining transaction financing on attractive terms, all of which could increase our cost of capital and impact our growth prospects.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Lease Agreements, which generally provide for annual rent escalation based on a specified percentage increase, increases in the consumer price index (“CPI”), or a combination thereof, we expect that increasing inflation will result in additional rent increases over time under our CPI-based lease provisions (subject to any applicable caps or periods in which such provisions do not apply). However, these rent increases may not match inflation during periods when inflation rates are greater than the applicable CPI-based caps.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the emergence of the COVID-19 pandemic in early 2020, among broader public health, societal and global impacts, the pandemic has negatively impacted the economy, including the real estate industry and certain experiential sectors, and contributed to volatility and uncertainty in financial markets. Although our tenants’ operations at our leased properties are generally no longer subject to significant operating restrictions, with performance in many cases at or above pre-pandemic levels, they may continue to face challenges in operating their businesses due to the ongoing impact of the COVID-19 pandemic, such as complying with any future operating restrictions, ensuring sufficient staffing and service levels, sustaining customer engagement and maintaining improved operating margins and financial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Implications of Such Material Trends on Our Business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triple-net lessor, we believe we are generally in a strong creditor position and structurally insulated from operational and performance impacts of our tenants, both positive and negative. However, the full extent to which these trends ultimately impact us depends on future developments that cannot be predicted with confidence, including our tenants’ financial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performance, the direct and indirect effects of these macroeconomic trends and the impact of any future measures taken in response to these trends on our tenants.</w:t>
      </w:r>
    </w:p>
    <w:p>
      <w:pPr>
        <w:spacing w:after="0" w:line="116"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more information, refer to the section entitled “Risk Factors” in our </w:t>
      </w:r>
      <w:hyperlink r:id="rId81">
        <w:r>
          <w:rPr>
            <w:rFonts w:ascii="Arial" w:cs="Arial" w:eastAsia="Arial" w:hAnsi="Arial"/>
            <w:sz w:val="18"/>
            <w:szCs w:val="18"/>
            <w:u w:val="single" w:color="auto"/>
            <w:color w:val="0000FF"/>
          </w:rPr>
          <w:t>Annual Report on Form 10-K for the year ended 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Acquisition and Investment Activity</w:t>
      </w:r>
    </w:p>
    <w:p>
      <w:pPr>
        <w:spacing w:after="0" w:line="171" w:lineRule="exact"/>
        <w:rPr>
          <w:sz w:val="20"/>
          <w:szCs w:val="20"/>
          <w:color w:val="auto"/>
        </w:rPr>
      </w:pPr>
    </w:p>
    <w:p>
      <w:pPr>
        <w:jc w:val="both"/>
        <w:ind w:left="660" w:hanging="328"/>
        <w:spacing w:after="0" w:line="290"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Rocky Gap Casino. </w:t>
      </w:r>
      <w:r>
        <w:rPr>
          <w:rFonts w:ascii="Arial" w:cs="Arial" w:eastAsia="Arial" w:hAnsi="Arial"/>
          <w:sz w:val="16"/>
          <w:szCs w:val="16"/>
          <w:color w:val="auto"/>
        </w:rPr>
        <w:t>On August 24, 2022, we and Century Casinos entered into definitive agreements to acquire Rocky Gap Casino,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Flintstone, Maryland, from Golden Entertainment, Inc. for an aggregate purchase price of $260.0 million. Pursuant to the transaction agreements, we will acquire an interest in the land and buildings associated with Rocky Gap Casino for approximately $203.9 million and Century Casinos will acquire the operating assets of the property for approximately $56.1 million. Simultaneous with the closing of the transaction, the Century Master Lease will be amended to include Rocky Gap Casino and annual rent will increase by $15.5 million. Additionally, the terms of the Century Master Lease will be extended such that, upon closing of the transaction, the lease will have a full 15-year initial base lease term remaining, with four 5-year tenant renewal options. The tenant’s obligations under the Century Master Lease will continue to be guaranteed by Century Casinos. The transaction is subject to customary regulatory approvals and closing conditions and is expected to close in mid-2023.</w:t>
      </w:r>
    </w:p>
    <w:p>
      <w:pPr>
        <w:spacing w:after="0" w:line="111" w:lineRule="exact"/>
        <w:rPr>
          <w:rFonts w:ascii="Arial" w:cs="Arial" w:eastAsia="Arial" w:hAnsi="Arial"/>
          <w:sz w:val="16"/>
          <w:szCs w:val="16"/>
          <w:b w:val="1"/>
          <w:bCs w:val="1"/>
          <w:i w:val="1"/>
          <w:iCs w:val="1"/>
          <w:color w:val="auto"/>
        </w:rPr>
      </w:pPr>
    </w:p>
    <w:p>
      <w:pPr>
        <w:jc w:val="both"/>
        <w:ind w:left="660" w:hanging="328"/>
        <w:spacing w:after="0" w:line="288"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MGP Transactions. </w:t>
      </w:r>
      <w:r>
        <w:rPr>
          <w:rFonts w:ascii="Arial" w:cs="Arial" w:eastAsia="Arial" w:hAnsi="Arial"/>
          <w:sz w:val="16"/>
          <w:szCs w:val="16"/>
          <w:color w:val="auto"/>
        </w:rPr>
        <w:t>On April 29, 2022, we closed on the previously announced MGP Transactions governed by the MGP Master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pursuant to which we acquired MGP for total consideration of $11.6 billion, plus the assumption of approximately $5.7 billion principal amount of debt, inclusive of our 50.1% share of the BREIT JV CMBS debt.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holders of MGP Common Shares received 1.366 shares of our newly issued common stock in exchange for each Class A common share of MGP.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retained approximately 12.2 million units in VICI OP. The MGP Class B share that was held by MGM was cancelled and ceased to exist.</w:t>
      </w:r>
    </w:p>
    <w:p>
      <w:pPr>
        <w:spacing w:after="0" w:line="114" w:lineRule="exact"/>
        <w:rPr>
          <w:rFonts w:ascii="Arial" w:cs="Arial" w:eastAsia="Arial" w:hAnsi="Arial"/>
          <w:sz w:val="16"/>
          <w:szCs w:val="16"/>
          <w:b w:val="1"/>
          <w:bCs w:val="1"/>
          <w:i w:val="1"/>
          <w:iCs w:val="1"/>
          <w:color w:val="auto"/>
        </w:rPr>
      </w:pPr>
    </w:p>
    <w:p>
      <w:pPr>
        <w:jc w:val="both"/>
        <w:ind w:left="660"/>
        <w:spacing w:after="0" w:line="269" w:lineRule="auto"/>
        <w:rPr>
          <w:rFonts w:ascii="Arial" w:cs="Arial" w:eastAsia="Arial" w:hAnsi="Arial"/>
          <w:sz w:val="16"/>
          <w:szCs w:val="16"/>
          <w:b w:val="1"/>
          <w:bCs w:val="1"/>
          <w:i w:val="1"/>
          <w:iCs w:val="1"/>
          <w:color w:val="auto"/>
        </w:rPr>
      </w:pPr>
      <w:r>
        <w:rPr>
          <w:rFonts w:ascii="Arial" w:cs="Arial" w:eastAsia="Arial" w:hAnsi="Arial"/>
          <w:sz w:val="17"/>
          <w:szCs w:val="17"/>
          <w:color w:val="auto"/>
        </w:rPr>
        <w:t>Simultaneous with the closing of the Mergers on April 29, 2022, we entered into the MGM Master Lease. The MGM Master Lease has an initial term of 25 years, with three 10-year tenant renewal options and has an initial total annual rent of $860.0 million. Rent under the MGM Master Lease escalates at a rate of 2.0% per annum for the first 10 years and thereafter at the greater of 2.0% per annum or the increase in CPI, subject to a 3.0% cap. The total annual rent under the MGM Master Lease will be reduced by (i) $90.0 million upon the close of MGM’s pending sale of the operations of the Mirage to Hard Rock and entrance into the Mirage Lease, and (ii) $40.0 million upon the close of MGM’s pending sale of the operations of Gold Strike, each as described below. Additionally, we retained a 50.1% ownership stake in the BREIT JV, which owns the real estate assets of MGM Grand Las Vegas and Mandalay Bay. The BREIT JV Lease provides for current total annual base rent of approximately $303.8 million, of which approximately $152.2 million is attributable to our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MGM Master Lease and the BREIT JV Lease continue to be guaranteed by MGM.</w:t>
      </w:r>
    </w:p>
    <w:p>
      <w:pPr>
        <w:spacing w:after="0" w:line="127" w:lineRule="exact"/>
        <w:rPr>
          <w:rFonts w:ascii="Arial" w:cs="Arial" w:eastAsia="Arial" w:hAnsi="Arial"/>
          <w:sz w:val="16"/>
          <w:szCs w:val="16"/>
          <w:b w:val="1"/>
          <w:bCs w:val="1"/>
          <w:i w:val="1"/>
          <w:iCs w:val="1"/>
          <w:color w:val="auto"/>
        </w:rPr>
      </w:pPr>
    </w:p>
    <w:p>
      <w:pPr>
        <w:jc w:val="both"/>
        <w:ind w:left="660" w:hanging="328"/>
        <w:spacing w:after="0" w:line="25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Venetian Acquisition. </w:t>
      </w:r>
      <w:r>
        <w:rPr>
          <w:rFonts w:ascii="Arial" w:cs="Arial" w:eastAsia="Arial" w:hAnsi="Arial"/>
          <w:sz w:val="18"/>
          <w:szCs w:val="18"/>
          <w:color w:val="auto"/>
        </w:rPr>
        <w:t>On February 23, 2022, we closed on the previously announced transaction to acquire all of the land and real estate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and (iii) cash on hand. Simultaneous with the closing of the Venetian Acquisition, we entered into the Venetian Lease with the Venetian Tenant. The Venetian Lease has an initial total annual rent of $250.0 million and an initial term of 30 years, with two ten-year tenant renewal options. The annual rent is subject to escalation equal to the greater of 2.0% and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w:t>
      </w:r>
    </w:p>
    <w:p>
      <w:pPr>
        <w:spacing w:after="0" w:line="13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connection with the Venetian Acquisition, we entered into the Venetian PGF with the Venetian Tenant. Under the Venetian PGF, we agreed to provide up to $1.0 billion for various development and construction projects affecting the Venetian Resort to be identified by the Venetian Tenant and that satisfy certain criteria more particularly set forth in the Venetian PGF, in consideration of additional incremental rent to be paid by the Venetian Tenant under the Venetian Lease and calculated in accordance with a formula set forth in the Venetian PGF.</w:t>
      </w:r>
    </w:p>
    <w:p>
      <w:pPr>
        <w:spacing w:after="0" w:line="117"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addition, LVS agreed with the Venetian Tenant pursuant to the Contingent Lease Support Agreement entered into simultaneously with the closing of the Venetian Acquisition to provide lease payment support designed to guarantee the Venetian Tenant’s rent obligations under the Venetian Lease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Origination Activity</w:t>
      </w:r>
    </w:p>
    <w:p>
      <w:pPr>
        <w:spacing w:after="0" w:line="171" w:lineRule="exact"/>
        <w:rPr>
          <w:sz w:val="20"/>
          <w:szCs w:val="20"/>
          <w:color w:val="auto"/>
        </w:rPr>
      </w:pPr>
    </w:p>
    <w:p>
      <w:pPr>
        <w:jc w:val="both"/>
        <w:ind w:left="660" w:hanging="328"/>
        <w:spacing w:after="0" w:line="28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Canyon Ranch Austin Loan. </w:t>
      </w:r>
      <w:r>
        <w:rPr>
          <w:rFonts w:ascii="Arial" w:cs="Arial" w:eastAsia="Arial" w:hAnsi="Arial"/>
          <w:sz w:val="16"/>
          <w:szCs w:val="16"/>
          <w:color w:val="auto"/>
        </w:rPr>
        <w:t>On October 7, 2022, we entered into the Canyon Ranch Austin Loan with Canyon Ranch, a leading pioneer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wellness, under which we agreed to provide up to $200.0 million of secured financing to fund the development of Canyon Ranch Austin in Austin, Texas. We also entered into a call right agreement pursuant to which we will have the right to acquire the real estate assets of Canyon Ranch Austin for up to 24 months following stabilization (with the loan balance being settled in connection with the exercise of such call right), which transaction will be structured as a sale leaseback (with the simultaneous entry into a triple-net lease with Canyon Ranch that has an initial term of 25 years, with eight 5-year tenant renewal options). In addition, we entered into a purchase option agreement, pursuant to which (i) we have an option to acquire the real estate assets associated with the existing Canyon Ranch Tucson and Canyon Ranch Lenox properties, which transactions will be structured as a sale leaseback, in each case solely to the extent Canyon Ranch elects to sell such properties in a sale leaseback structure for a specific period of time, subject to certain conditions. In addition, we entered into a right of first offer agreement on future financing opportunities for Canyon Ranch and certain of its affiliates with respect to the funding of certain facilities (including Canyon Ranch Austin, Canyon Ranch Tucson and Canyon Ranch Lenox, and any other fee owned Canyon Ranch branded wellness resort), until the date that is the earlier of five years from commencement of the Canyon Ranch Austin lease (to the extent applicable) and the date that neither VICI nor any of its affiliates are landlord under such lease, subject to certain specified terms, conditions and exceptions.</w:t>
      </w:r>
    </w:p>
    <w:p>
      <w:pPr>
        <w:spacing w:after="0" w:line="119"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Great Wolf Gulf Coast Texas Loan. </w:t>
      </w:r>
      <w:r>
        <w:rPr>
          <w:rFonts w:ascii="Arial" w:cs="Arial" w:eastAsia="Arial" w:hAnsi="Arial"/>
          <w:sz w:val="18"/>
          <w:szCs w:val="18"/>
          <w:color w:val="auto"/>
        </w:rPr>
        <w:t>On August 30, 2022, we entered into the Great Wolf Gulf Coast Texas Loan with Great Wolf, under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provide up to $127.0 million of mezzanine financing, the proceeds of which will be used to fund the development of Great Wolf Lodge Gulf Coast Texas, a more than $200.0 million, 532-room indoor water park resort project in Webster, TX. The Great Wolf Gulf Coast Texas Loan has an initial term of 3 years with two 12-month extension option, subject to certain conditions and is expected to be funded with cash on hand in accordance with a construction draw schedule.</w:t>
      </w:r>
    </w:p>
    <w:p>
      <w:pPr>
        <w:spacing w:after="0" w:line="133"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Great Wolf South Florida Loan. </w:t>
      </w:r>
      <w:r>
        <w:rPr>
          <w:rFonts w:ascii="Arial" w:cs="Arial" w:eastAsia="Arial" w:hAnsi="Arial"/>
          <w:sz w:val="18"/>
          <w:szCs w:val="18"/>
          <w:color w:val="auto"/>
        </w:rPr>
        <w:t>On July 1, 2022, we entered into the Great Wolf South Florida Loan with Great Wolf, under which we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up to $59.0 million of mezzanine financing, the proceeds of which will be used to fund the development of Great Wolf Lodge South Florida, a more than $250.0 million, 500-room indoor water park resort project in Collier County, FL. The Great Wolf South Florida Loan has an initial term of 4 years with one 12-month extension option subject to certain conditions and is expected to be funded with cash on hand in accordance with a construction draw schedule.</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Cabot Citrus Farms Loan. </w:t>
      </w:r>
      <w:r>
        <w:rPr>
          <w:rFonts w:ascii="Arial" w:cs="Arial" w:eastAsia="Arial" w:hAnsi="Arial"/>
          <w:sz w:val="18"/>
          <w:szCs w:val="18"/>
          <w:color w:val="auto"/>
        </w:rPr>
        <w:t>On June 6, 2022, we entered into the Cabot Citrus Farms Loan with Cabot, a developer, owner and operator of world-class destination golf resorts and communities, under which we agreed to provide up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$120.0 million of mortgage financing, the proceeds of which will be used to fund Cabot’s property-wide transformation of Cabot Citrus Farms in Brooksville, Florida, with the addition of a new clubhouse, luxury lodging, health and wellness facilities and a vibrant village center. We also entered into a Purchase and Sale Agreement, pursuant to which we will convert a portion of the Cabot Citrus Farms Loan into the ownership of certain Cabot Citrus Farms real estate assets and simultaneously enter into a triple-net lease with Cabot that has an initial term of 25 years, with five 5-year tenant renewal options.</w:t>
      </w:r>
    </w:p>
    <w:p>
      <w:pPr>
        <w:spacing w:after="0" w:line="134" w:lineRule="exact"/>
        <w:rPr>
          <w:sz w:val="20"/>
          <w:szCs w:val="20"/>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BigShots Loan. </w:t>
      </w:r>
      <w:r>
        <w:rPr>
          <w:rFonts w:ascii="Arial" w:cs="Arial" w:eastAsia="Arial" w:hAnsi="Arial"/>
          <w:sz w:val="18"/>
          <w:szCs w:val="18"/>
          <w:color w:val="auto"/>
        </w:rPr>
        <w:t>On April 7, 2022, we entered into the BigShots Loan with BigShots Golf, a subsidiary of ClubCorp, an Apollo fund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under which we agreed to provide up to $80.0 million of mortgage financing for the construction of certain new BigShots Golf facilities throughout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7" w:lineRule="exact"/>
        <w:rPr>
          <w:sz w:val="20"/>
          <w:szCs w:val="20"/>
          <w:color w:val="auto"/>
        </w:rPr>
      </w:pPr>
    </w:p>
    <w:p>
      <w:pPr>
        <w:jc w:val="both"/>
        <w:ind w:left="660" w:hanging="328"/>
        <w:spacing w:after="0" w:line="273" w:lineRule="auto"/>
        <w:tabs>
          <w:tab w:leader="none" w:pos="655"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Issuance of Exchange Notes. </w:t>
      </w:r>
      <w:r>
        <w:rPr>
          <w:rFonts w:ascii="Arial" w:cs="Arial" w:eastAsia="Arial" w:hAnsi="Arial"/>
          <w:sz w:val="17"/>
          <w:szCs w:val="17"/>
          <w:color w:val="auto"/>
        </w:rPr>
        <w:t>In connection with the closing of the MGP Transactions on April 29, 2022, the VICI Issuers issued $4,110.0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aggregate principal amount of Exchange Notes in exchange for the validly tendered and not validly withdrawn MGP OP Notes pursuant to the settlement of the Exchange Offers and Consent Solicitations (each, as defined in </w:t>
      </w:r>
      <w:r>
        <w:rPr>
          <w:rFonts w:ascii="Arial" w:cs="Arial" w:eastAsia="Arial" w:hAnsi="Arial"/>
          <w:sz w:val="17"/>
          <w:szCs w:val="17"/>
          <w:u w:val="single" w:color="auto"/>
          <w:color w:val="0000FF"/>
        </w:rPr>
        <w:t>Note 3 - Property Transactions</w:t>
      </w:r>
      <w:r>
        <w:rPr>
          <w:rFonts w:ascii="Arial" w:cs="Arial" w:eastAsia="Arial" w:hAnsi="Arial"/>
          <w:sz w:val="17"/>
          <w:szCs w:val="17"/>
          <w:color w:val="auto"/>
        </w:rPr>
        <w:t xml:space="preserve">). The Exchange Notes were issued with the same interest rate, maturity date and redemption terms as the corresponding series of MGP OP Notes. Following the issuance of the Exchange Notes pursuant to the settlement of the Exchange Offers and Consent Solicitations, $90.0 million in aggregate principal amount of MGP OP Notes remained outstanding. See </w:t>
      </w:r>
      <w:r>
        <w:rPr>
          <w:rFonts w:ascii="Arial" w:cs="Arial" w:eastAsia="Arial" w:hAnsi="Arial"/>
          <w:sz w:val="17"/>
          <w:szCs w:val="17"/>
          <w:u w:val="single" w:color="auto"/>
          <w:color w:val="0000FF"/>
        </w:rPr>
        <w:t>Note 7 - Debt</w:t>
      </w:r>
      <w:r>
        <w:rPr>
          <w:rFonts w:ascii="Arial" w:cs="Arial" w:eastAsia="Arial" w:hAnsi="Arial"/>
          <w:sz w:val="17"/>
          <w:szCs w:val="17"/>
          <w:color w:val="auto"/>
        </w:rPr>
        <w:t xml:space="preserve"> for additional information.</w:t>
      </w:r>
    </w:p>
    <w:p>
      <w:pPr>
        <w:spacing w:after="0" w:line="69" w:lineRule="exact"/>
        <w:rPr>
          <w:rFonts w:ascii="Arial" w:cs="Arial" w:eastAsia="Arial" w:hAnsi="Arial"/>
          <w:sz w:val="17"/>
          <w:szCs w:val="17"/>
          <w:b w:val="1"/>
          <w:bCs w:val="1"/>
          <w:i w:val="1"/>
          <w:iCs w:val="1"/>
          <w:color w:val="auto"/>
        </w:rPr>
      </w:pPr>
    </w:p>
    <w:p>
      <w:pPr>
        <w:jc w:val="both"/>
        <w:ind w:left="660" w:hanging="328"/>
        <w:spacing w:after="0" w:line="270" w:lineRule="auto"/>
        <w:tabs>
          <w:tab w:leader="none" w:pos="655"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Issuance of April 2022 Notes. </w:t>
      </w:r>
      <w:r>
        <w:rPr>
          <w:rFonts w:ascii="Arial" w:cs="Arial" w:eastAsia="Arial" w:hAnsi="Arial"/>
          <w:sz w:val="17"/>
          <w:szCs w:val="17"/>
          <w:color w:val="auto"/>
        </w:rPr>
        <w:t>In connection with the closing of the MGP Transactions on April 29, 2022, VICI LP issued (i) $500.0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 principal amount of 4.375% 2025 Notes, (ii) $1,250.0 million in aggregate principal amount of 4.750% 2028 Notes, (iii) $1,000.0 million in aggregate principal amount of 4.950% 2030 Notes, (iv) $1,500.0 million in aggregate principal amount of 5.125% 2032 Notes, and (v) $750.0 million in aggregate principal amount of 5.625% 2052 Notes, in each case under a supplemental indenture dated as of April 29, 2022, between VICI LP and the Trustee (as defined in </w:t>
      </w:r>
      <w:r>
        <w:rPr>
          <w:rFonts w:ascii="Arial" w:cs="Arial" w:eastAsia="Arial" w:hAnsi="Arial"/>
          <w:sz w:val="17"/>
          <w:szCs w:val="17"/>
          <w:u w:val="single" w:color="auto"/>
          <w:color w:val="0000FF"/>
        </w:rPr>
        <w:t>Note 7 - Debt</w:t>
      </w:r>
      <w:r>
        <w:rPr>
          <w:rFonts w:ascii="Arial" w:cs="Arial" w:eastAsia="Arial" w:hAnsi="Arial"/>
          <w:sz w:val="17"/>
          <w:szCs w:val="17"/>
          <w:color w:val="auto"/>
        </w:rPr>
        <w:t>).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The weighted average interest rate for the senior notes issued in the April 2022 Notes offering is 5.00%, and the adjusted weighted average interest rate, after taking into account the impact of the forward starting interest rate swaps and treasury locks, is 4.51%.</w:t>
      </w:r>
    </w:p>
    <w:p>
      <w:pPr>
        <w:spacing w:after="0" w:line="72" w:lineRule="exact"/>
        <w:rPr>
          <w:rFonts w:ascii="Arial" w:cs="Arial" w:eastAsia="Arial" w:hAnsi="Arial"/>
          <w:sz w:val="17"/>
          <w:szCs w:val="17"/>
          <w:b w:val="1"/>
          <w:bCs w:val="1"/>
          <w:i w:val="1"/>
          <w:iCs w:val="1"/>
          <w:color w:val="auto"/>
        </w:rPr>
      </w:pPr>
    </w:p>
    <w:p>
      <w:pPr>
        <w:jc w:val="both"/>
        <w:ind w:left="660" w:hanging="328"/>
        <w:spacing w:after="0" w:line="286" w:lineRule="auto"/>
        <w:tabs>
          <w:tab w:leader="none" w:pos="655"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Settlement of September 2021 Forward Sale Agreements and March 2021 Forward Sale Agreements. </w:t>
      </w:r>
      <w:r>
        <w:rPr>
          <w:rFonts w:ascii="Arial" w:cs="Arial" w:eastAsia="Arial" w:hAnsi="Arial"/>
          <w:sz w:val="17"/>
          <w:szCs w:val="17"/>
          <w:color w:val="auto"/>
        </w:rPr>
        <w:t>On February 18, 2022, we physically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settled the September 2021 Forward Sale Agreements and the March 2021 Forward Sale Agreements in exchange for total net proceeds of approximately $3.2 billion, which were used to pay for a portion of the purchase price of the Venetian Acquisition.</w:t>
      </w:r>
    </w:p>
    <w:p>
      <w:pPr>
        <w:spacing w:after="0" w:line="57" w:lineRule="exact"/>
        <w:rPr>
          <w:rFonts w:ascii="Arial" w:cs="Arial" w:eastAsia="Arial" w:hAnsi="Arial"/>
          <w:sz w:val="17"/>
          <w:szCs w:val="17"/>
          <w:b w:val="1"/>
          <w:bCs w:val="1"/>
          <w:i w:val="1"/>
          <w:iCs w:val="1"/>
          <w:color w:val="auto"/>
        </w:rPr>
      </w:pPr>
    </w:p>
    <w:p>
      <w:pPr>
        <w:jc w:val="both"/>
        <w:ind w:left="660" w:hanging="328"/>
        <w:spacing w:after="0" w:line="267"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Entry into New Unsecured Credit Agreement. </w:t>
      </w:r>
      <w:r>
        <w:rPr>
          <w:rFonts w:ascii="Arial" w:cs="Arial" w:eastAsia="Arial" w:hAnsi="Arial"/>
          <w:sz w:val="17"/>
          <w:szCs w:val="17"/>
          <w:color w:val="auto"/>
        </w:rPr>
        <w:t>On February 8, 2022, we entered into the Credit Facilities pursuant to the Credit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comprised of (i) the Revolving Credit Facility in the amount of $2.5 billion scheduled to mature on March 31, 2026 and (ii) the Delayed Draw Term Loan in the amount of $1.0 billion scheduled to mature on March 31, 2025. Concurrently, we terminated our Secured Revolving Credit Facility (including the first priority lien on substantially all of VICI PropCo’s and its existing and subsequently acquired wholly owned material domestic restricted subsidiaries’ material assets) and 2017 Credit Agreement (as defined in </w:t>
      </w:r>
      <w:r>
        <w:rPr>
          <w:rFonts w:ascii="Arial" w:cs="Arial" w:eastAsia="Arial" w:hAnsi="Arial"/>
          <w:sz w:val="17"/>
          <w:szCs w:val="17"/>
          <w:u w:val="single" w:color="auto"/>
          <w:color w:val="0000FF"/>
        </w:rPr>
        <w:t>Note 7 - Debt</w:t>
      </w:r>
      <w:r>
        <w:rPr>
          <w:rFonts w:ascii="Arial" w:cs="Arial" w:eastAsia="Arial" w:hAnsi="Arial"/>
          <w:sz w:val="17"/>
          <w:szCs w:val="17"/>
          <w:color w:val="auto"/>
        </w:rPr>
        <w:t>). The Delayed Draw Term Loan is available to be drawn up to 12 months following the effective date of February 8, 2022. The Credit Facilities include the option to increase the revolving loan commitments by up to $1.0 billion in the aggregate and increase the delayed draw term loan commitments or add one or more new tranches of term loans by up to $1.0 billion in the aggregate, in each case, to the extent that any one or more lenders (from the syndicate or otherwise) agree to provide such additional credit extensions. Borrowings under the Credit Facilities will bear interest, at VICI LP’s option, (i) with respect to the Revolving Credit Facility, at a rate based on SOFR (including a credit spread adjustment) plus a margin ranging from 0.775% to 1.325% or a base rate plus a margin ranging from 0.00% to 0.325%, in each case, with the actual margin determined according to VICI LP’s debt ratings, and (ii) with respect to the Delayed Draw Term Loan, at a rate based on SOFR (including a credit spread adjustment) plus a margin ranging from 0.85% to 1.60% or a base rate plus a margin ranging from 0.00% to 0.60%, in each case, with the actual margin determined according to VICI LP’s debt ratings. On February 18, 2022, we drew on the Revolving Credit Facility in the amount of $600.0 million to fund a portion of the purchase price of the Venetian Acquisition. On April 29, 2022, we repaid the outstanding balance of the Revolving Credit Facility using the proceeds from the April 2022 Notes and cash on hand. On July 15, 2022, the Credit Agreement was amended pursuant to a First Amendment among VICI LP and the lenders party to the Credit Agreement, in order to permit borrowings under the Revolving Credit Facility in certain foreign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currencies in an aggregate principal amount of up to the equivalent of $1.25 billion.</w:t>
      </w:r>
    </w:p>
    <w:p>
      <w:pPr>
        <w:spacing w:after="0" w:line="171" w:lineRule="exact"/>
        <w:rPr>
          <w:sz w:val="20"/>
          <w:szCs w:val="20"/>
          <w:color w:val="auto"/>
        </w:rPr>
      </w:pPr>
    </w:p>
    <w:p>
      <w:pPr>
        <w:jc w:val="both"/>
        <w:ind w:left="660" w:hanging="328"/>
        <w:spacing w:after="0" w:line="271"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Entry into Forward-Starting Interest Rate Swap Agreements and U.S. Treasury Rate Locks. </w:t>
      </w:r>
      <w:r>
        <w:rPr>
          <w:rFonts w:ascii="Arial" w:cs="Arial" w:eastAsia="Arial" w:hAnsi="Arial"/>
          <w:sz w:val="17"/>
          <w:szCs w:val="17"/>
          <w:color w:val="auto"/>
        </w:rPr>
        <w:t>From December 2021 through April 2022,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entered into five forward-starting interest rate swap agreements with an aggregate notional amount of $2,500.0 million and two U.S. Treasury Rate Lock agreements with an aggregate notional amount of $500.0 million. The interest rate swap agreements and treasury locks were intended to reduce the variability in the forecasted interest expense related to the fixed-rate debt we expected to incur in connection with closing the MGP Transactions. In connection with the April 2022 Notes offering, we settled the outstanding forward-starting interest rate swaps and treasury locks for net proceeds of $206.8 million. Since the forward-starting swaps and treasury locks were hedging the interest rate risk on the April 2022 Notes, the unrealized gain in Accumulated other comprehensive income is being amortized over the term of the respective derivative instruments, which matches that of the underlying note, as a reduction in interest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Activity</w:t>
      </w:r>
    </w:p>
    <w:p>
      <w:pPr>
        <w:spacing w:after="0" w:line="171" w:lineRule="exact"/>
        <w:rPr>
          <w:sz w:val="20"/>
          <w:szCs w:val="20"/>
          <w:color w:val="auto"/>
        </w:rPr>
      </w:pPr>
    </w:p>
    <w:p>
      <w:pPr>
        <w:jc w:val="both"/>
        <w:ind w:left="660" w:hanging="328"/>
        <w:spacing w:after="0" w:line="290" w:lineRule="auto"/>
        <w:tabs>
          <w:tab w:leader="none" w:pos="655"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Gold Strike Lease. </w:t>
      </w:r>
      <w:r>
        <w:rPr>
          <w:rFonts w:ascii="Arial" w:cs="Arial" w:eastAsia="Arial" w:hAnsi="Arial"/>
          <w:sz w:val="16"/>
          <w:szCs w:val="16"/>
          <w:color w:val="auto"/>
        </w:rPr>
        <w:t>On June 9, 2022, in connection with MGM’s agreement to sell the operations of Gold Strike, we agreed to enter into the Gold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Strike Lease with CNB related to the land and real estate assets of Gold Strike, and enter into an amendment to the MGM Master Lease relating to the sale of Gold Strike. The Gold Strike Lease will have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Gold Strike, the MGM Master Lease will be amended to account for MGM’s divestiture of the Gold Strike operations and will result in a reduction of the annual base rent under the MGM Master Lease by $40.0 million. We expect these transactions to be completed in the first half of 2023, and they remain subject to customary closing conditions and regulatory approvals.</w:t>
      </w:r>
    </w:p>
    <w:p>
      <w:pPr>
        <w:spacing w:after="0" w:line="111" w:lineRule="exact"/>
        <w:rPr>
          <w:rFonts w:ascii="Arial" w:cs="Arial" w:eastAsia="Arial" w:hAnsi="Arial"/>
          <w:sz w:val="16"/>
          <w:szCs w:val="16"/>
          <w:b w:val="1"/>
          <w:bCs w:val="1"/>
          <w:i w:val="1"/>
          <w:iCs w:val="1"/>
          <w:color w:val="auto"/>
        </w:rPr>
      </w:pPr>
    </w:p>
    <w:p>
      <w:pPr>
        <w:jc w:val="both"/>
        <w:ind w:left="660" w:hanging="328"/>
        <w:spacing w:after="0" w:line="269" w:lineRule="auto"/>
        <w:tabs>
          <w:tab w:leader="none" w:pos="655"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Mirage Lease. </w:t>
      </w:r>
      <w:r>
        <w:rPr>
          <w:rFonts w:ascii="Arial" w:cs="Arial" w:eastAsia="Arial" w:hAnsi="Arial"/>
          <w:sz w:val="17"/>
          <w:szCs w:val="17"/>
          <w:color w:val="auto"/>
        </w:rPr>
        <w:t>On December 13, 2021, in connection with MGM’s agreement to sell the operations of the Mirage Hotel &amp; Casino to Hard Rock,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agreed to enter into the Mirage Lease and enter into an amendment to the MGM Master Lease relating to the sale of the Mirage. The Mirage Lease will have initial annual base rent of $90.0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Upon the closing of the sale of the Mirage, the MGM Master Lease will be amended to account for MGM’s divestiture of the Mirage operations and will result in a reduction of the annual base rent under the MGM Master Lease by $90.0 million. We expect these transactions to be completed in the fourth quarter of 2022, and they remain subject to customary closing conditions and regulatory approvals. Additionally, subject to certain conditions, we may fund up to $1.5 billion of Hard Rock’s redevelopment plan for the Mirage through our Partner Property Growth Fund if Hard Rock elects to seek third-party financing for such redevelopment. Specific amounts and terms of the redevelopment and related funding remain under discussion and subject to final documentation.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Activity</w:t>
      </w:r>
    </w:p>
    <w:p>
      <w:pPr>
        <w:spacing w:after="0" w:line="171" w:lineRule="exact"/>
        <w:rPr>
          <w:sz w:val="20"/>
          <w:szCs w:val="20"/>
          <w:color w:val="auto"/>
        </w:rPr>
      </w:pPr>
    </w:p>
    <w:p>
      <w:pPr>
        <w:jc w:val="both"/>
        <w:ind w:left="660" w:hanging="328"/>
        <w:spacing w:after="0" w:line="293" w:lineRule="auto"/>
        <w:tabs>
          <w:tab w:leader="none" w:pos="655" w:val="left"/>
        </w:tabs>
        <w:numPr>
          <w:ilvl w:val="0"/>
          <w:numId w:val="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Cabot Golf Course Management Agreement. </w:t>
      </w:r>
      <w:r>
        <w:rPr>
          <w:rFonts w:ascii="Arial" w:cs="Arial" w:eastAsia="Arial" w:hAnsi="Arial"/>
          <w:sz w:val="16"/>
          <w:szCs w:val="16"/>
          <w:color w:val="auto"/>
        </w:rPr>
        <w:t>On October 1, 2022, we entered into a management agreement with CDN Golf Management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(“CDN”), an affiliate of Cabot, a developer, owner and operator of world-class destination golf resorts and communities, pursuant to which CDN will manage and operate our four golf courses, consisting of Cascata Golf Club, Rio Secco Golf Club, Grand Bear Golf Club and Chariot Run Golf Club (collectively, the “Golf Courses”). Pursuant to the management agreement, CDN has assumed all day-to-day operations of the Golf Courses and the employees at each of the Golf Courses are employees of CDN. We continue to own the Golf Courses within our TRS, VICI Golf. The management agreement has a term of 20 years with two five-year renewal options, subject to certain early termination rights.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discussion of VICI and VICI LP are presented combined as there are no material differences between the two reporting entities.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Further, Golf revenues and Golf expenses, which are wholly attributable to VICI, are shown as separate line items in the Statement of Operations of VICI.</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real property business and our golf course business represent our two reportable segments. The real property business segment consists of leased real property and loan investments and represents the substantial majority of our business. The golf course business segment, which is a wholly-owned subsidiary of VICI, consists of four golf courses, with each being operating segments that are aggregated into one reportable segment. The results of each reportable segment presented below are consistent with the way our management assesses these results and allocates resources.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0" w:type="dxa"/>
            <w:vAlign w:val="bottom"/>
            <w:gridSpan w:val="6"/>
          </w:tcPr>
          <w:p>
            <w:pPr>
              <w:ind w:left="20"/>
              <w:spacing w:after="0"/>
              <w:rPr>
                <w:sz w:val="20"/>
                <w:szCs w:val="20"/>
                <w:color w:val="auto"/>
              </w:rPr>
            </w:pPr>
            <w:r>
              <w:rPr>
                <w:rFonts w:ascii="Arial" w:cs="Arial" w:eastAsia="Arial" w:hAnsi="Arial"/>
                <w:sz w:val="16"/>
                <w:szCs w:val="16"/>
                <w:b w:val="1"/>
                <w:bCs w:val="1"/>
                <w:color w:val="auto"/>
                <w:w w:val="96"/>
              </w:rPr>
              <w:t>Three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Nine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4060" w:type="dxa"/>
            <w:vAlign w:val="bottom"/>
            <w:gridSpan w:val="2"/>
          </w:tcPr>
          <w:p>
            <w:pPr>
              <w:spacing w:after="0" w:line="175" w:lineRule="exact"/>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5"/>
                <w:szCs w:val="15"/>
                <w:color w:val="auto"/>
              </w:rPr>
            </w:pPr>
          </w:p>
        </w:tc>
        <w:tc>
          <w:tcPr>
            <w:tcW w:w="880" w:type="dxa"/>
            <w:vAlign w:val="bottom"/>
          </w:tcPr>
          <w:p>
            <w:pPr>
              <w:jc w:val="right"/>
              <w:ind w:right="311"/>
              <w:spacing w:after="0" w:line="175"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Variance</w:t>
            </w:r>
          </w:p>
        </w:tc>
        <w:tc>
          <w:tcPr>
            <w:tcW w:w="220" w:type="dxa"/>
            <w:vAlign w:val="bottom"/>
          </w:tcPr>
          <w:p>
            <w:pPr>
              <w:spacing w:after="0"/>
              <w:rPr>
                <w:sz w:val="15"/>
                <w:szCs w:val="15"/>
                <w:color w:val="auto"/>
              </w:rPr>
            </w:pPr>
          </w:p>
        </w:tc>
        <w:tc>
          <w:tcPr>
            <w:tcW w:w="900" w:type="dxa"/>
            <w:vAlign w:val="bottom"/>
          </w:tcPr>
          <w:p>
            <w:pPr>
              <w:jc w:val="right"/>
              <w:ind w:right="291"/>
              <w:spacing w:after="0" w:line="175"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0"/>
              <w:spacing w:after="0" w:line="175" w:lineRule="exact"/>
              <w:rPr>
                <w:sz w:val="20"/>
                <w:szCs w:val="20"/>
                <w:color w:val="auto"/>
              </w:rPr>
            </w:pPr>
            <w:r>
              <w:rPr>
                <w:rFonts w:ascii="Arial" w:cs="Arial" w:eastAsia="Arial" w:hAnsi="Arial"/>
                <w:sz w:val="16"/>
                <w:szCs w:val="16"/>
                <w:b w:val="1"/>
                <w:bCs w:val="1"/>
                <w:color w:val="auto"/>
                <w:w w:val="98"/>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Income from sales-type leases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376,048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292,059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83,989</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1,077,952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873,337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204,615</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Income from lease financing receivables and loans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474,966</w:t>
            </w: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20,914</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Golf revenues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751,543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1,126,414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704,377</w:t>
            </w: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889,912</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931,222</w:t>
            </w: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(165,099)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(370,624)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(48,671)</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15,622</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337,295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172,723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(218,219)</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(217,935)</w:t>
            </w:r>
          </w:p>
        </w:tc>
      </w:tr>
      <w:tr>
        <w:trPr>
          <w:trHeight w:val="188"/>
        </w:trPr>
        <w:tc>
          <w:tcPr>
            <w:tcW w:w="20" w:type="dxa"/>
            <w:vAlign w:val="bottom"/>
          </w:tcPr>
          <w:p>
            <w:pPr>
              <w:spacing w:after="0"/>
              <w:rPr>
                <w:sz w:val="16"/>
                <w:szCs w:val="16"/>
                <w:color w:val="auto"/>
              </w:rPr>
            </w:pPr>
          </w:p>
        </w:tc>
        <w:tc>
          <w:tcPr>
            <w:tcW w:w="4060" w:type="dxa"/>
            <w:vAlign w:val="bottom"/>
            <w:gridSpan w:val="2"/>
          </w:tcPr>
          <w:p>
            <w:pPr>
              <w:ind w:left="200"/>
              <w:spacing w:after="0" w:line="189" w:lineRule="exact"/>
              <w:rPr>
                <w:sz w:val="20"/>
                <w:szCs w:val="20"/>
                <w:color w:val="auto"/>
              </w:rPr>
            </w:pPr>
            <w:r>
              <w:rPr>
                <w:rFonts w:ascii="Arial" w:cs="Arial" w:eastAsia="Arial" w:hAnsi="Arial"/>
                <w:sz w:val="18"/>
                <w:szCs w:val="18"/>
                <w:color w:val="auto"/>
              </w:rPr>
              <w:t>Less: Net income attributable to non-controlling</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interests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9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2022 and 2021, our revenue was comprised of the following items: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Three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7"/>
          </w:tcPr>
          <w:p>
            <w:pPr>
              <w:ind w:left="100"/>
              <w:spacing w:after="0"/>
              <w:rPr>
                <w:sz w:val="20"/>
                <w:szCs w:val="20"/>
                <w:color w:val="auto"/>
              </w:rPr>
            </w:pPr>
            <w:r>
              <w:rPr>
                <w:rFonts w:ascii="Arial" w:cs="Arial" w:eastAsia="Arial" w:hAnsi="Arial"/>
                <w:sz w:val="16"/>
                <w:szCs w:val="16"/>
                <w:b w:val="1"/>
                <w:bCs w:val="1"/>
                <w:color w:val="auto"/>
                <w:w w:val="98"/>
              </w:rPr>
              <w:t>Nine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800" w:type="dxa"/>
            <w:vAlign w:val="bottom"/>
          </w:tcPr>
          <w:p>
            <w:pPr>
              <w:jc w:val="right"/>
              <w:ind w:right="252"/>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line="142" w:lineRule="exact"/>
              <w:rPr>
                <w:sz w:val="20"/>
                <w:szCs w:val="20"/>
                <w:color w:val="auto"/>
              </w:rPr>
            </w:pPr>
            <w:r>
              <w:rPr>
                <w:rFonts w:ascii="Arial" w:cs="Arial" w:eastAsia="Arial" w:hAnsi="Arial"/>
                <w:sz w:val="16"/>
                <w:szCs w:val="16"/>
                <w:b w:val="1"/>
                <w:bCs w:val="1"/>
                <w:color w:val="auto"/>
              </w:rPr>
              <w:t>Variance</w:t>
            </w:r>
          </w:p>
        </w:tc>
        <w:tc>
          <w:tcPr>
            <w:tcW w:w="220" w:type="dxa"/>
            <w:vAlign w:val="bottom"/>
          </w:tcPr>
          <w:p>
            <w:pPr>
              <w:spacing w:after="0"/>
              <w:rPr>
                <w:sz w:val="14"/>
                <w:szCs w:val="14"/>
                <w:color w:val="auto"/>
              </w:rPr>
            </w:pPr>
          </w:p>
        </w:tc>
        <w:tc>
          <w:tcPr>
            <w:tcW w:w="840" w:type="dxa"/>
            <w:vAlign w:val="bottom"/>
          </w:tcPr>
          <w:p>
            <w:pPr>
              <w:jc w:val="right"/>
              <w:ind w:right="232"/>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2"/>
              <w:spacing w:after="0" w:line="142" w:lineRule="exact"/>
              <w:rPr>
                <w:sz w:val="20"/>
                <w:szCs w:val="20"/>
                <w:color w:val="auto"/>
              </w:rPr>
            </w:pPr>
            <w:r>
              <w:rPr>
                <w:rFonts w:ascii="Arial" w:cs="Arial" w:eastAsia="Arial" w:hAnsi="Arial"/>
                <w:sz w:val="16"/>
                <w:szCs w:val="16"/>
                <w:b w:val="1"/>
                <w:bCs w:val="1"/>
                <w:color w:val="auto"/>
                <w:w w:val="98"/>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678,384</w:t>
            </w: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Golf revenues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751,543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1,830,791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704,377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and financing receivables leases: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Three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7"/>
          </w:tcPr>
          <w:p>
            <w:pPr>
              <w:ind w:left="100"/>
              <w:spacing w:after="0"/>
              <w:rPr>
                <w:sz w:val="20"/>
                <w:szCs w:val="20"/>
                <w:color w:val="auto"/>
              </w:rPr>
            </w:pPr>
            <w:r>
              <w:rPr>
                <w:rFonts w:ascii="Arial" w:cs="Arial" w:eastAsia="Arial" w:hAnsi="Arial"/>
                <w:sz w:val="16"/>
                <w:szCs w:val="16"/>
                <w:b w:val="1"/>
                <w:bCs w:val="1"/>
                <w:color w:val="auto"/>
                <w:w w:val="98"/>
              </w:rPr>
              <w:t>Nine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800" w:type="dxa"/>
            <w:vAlign w:val="bottom"/>
          </w:tcPr>
          <w:p>
            <w:pPr>
              <w:jc w:val="right"/>
              <w:ind w:right="232"/>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2"/>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Variance</w:t>
            </w:r>
          </w:p>
        </w:tc>
        <w:tc>
          <w:tcPr>
            <w:tcW w:w="220" w:type="dxa"/>
            <w:vAlign w:val="bottom"/>
          </w:tcPr>
          <w:p>
            <w:pPr>
              <w:spacing w:after="0"/>
              <w:rPr>
                <w:sz w:val="14"/>
                <w:szCs w:val="14"/>
                <w:color w:val="auto"/>
              </w:rPr>
            </w:pPr>
          </w:p>
        </w:tc>
        <w:tc>
          <w:tcPr>
            <w:tcW w:w="840" w:type="dxa"/>
            <w:vAlign w:val="bottom"/>
          </w:tcPr>
          <w:p>
            <w:pPr>
              <w:ind w:left="180"/>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ind w:left="80"/>
              <w:spacing w:after="0" w:line="142" w:lineRule="exact"/>
              <w:rPr>
                <w:sz w:val="20"/>
                <w:szCs w:val="20"/>
                <w:color w:val="auto"/>
              </w:rPr>
            </w:pPr>
            <w:r>
              <w:rPr>
                <w:rFonts w:ascii="Arial" w:cs="Arial" w:eastAsia="Arial" w:hAnsi="Arial"/>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sales-type leases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376,047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1,077,952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204,615</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89"/>
              </w:rPr>
              <w:t>339,544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9"/>
              </w:rPr>
              <w:t>473,769</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715,591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678,384</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8"/>
                <w:szCs w:val="18"/>
                <w:color w:val="auto"/>
                <w:w w:val="90"/>
              </w:rPr>
              <w:t>(108,556)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0"/>
              </w:rPr>
              <w:t>(230,516)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3"/>
              </w:rPr>
              <w:t>(142,099)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color w:val="auto"/>
                <w:w w:val="89"/>
              </w:rPr>
              <w:t>607,035</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321,095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1,501,344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center"/>
              <w:ind w:left="112"/>
              <w:spacing w:after="0"/>
              <w:rPr>
                <w:sz w:val="20"/>
                <w:szCs w:val="20"/>
                <w:color w:val="auto"/>
              </w:rPr>
            </w:pPr>
            <w:r>
              <w:rPr>
                <w:rFonts w:ascii="Arial" w:cs="Arial" w:eastAsia="Arial" w:hAnsi="Arial"/>
                <w:sz w:val="18"/>
                <w:szCs w:val="18"/>
                <w:color w:val="auto"/>
                <w:w w:val="89"/>
              </w:rPr>
              <w:t>536,285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firstLine="8"/>
        <w:spacing w:after="0" w:line="254" w:lineRule="auto"/>
        <w:tabs>
          <w:tab w:leader="none" w:pos="209"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MGM Master Lease, Harrah’s Call Properties and the JACK Cleveland/Thistledown Lease, all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75" w:lineRule="auto"/>
        <w:tabs>
          <w:tab w:leader="none" w:pos="211"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Leasing revenue is generated from rent from our Lease Agreements. Total leasing revenue increased $363.4 million and $678.4 million during the three and nine months ended September 30, 2022, respectively, compared to the three and nine months ended September 30, 2021, respectively. Total contractual leasing revenue increased $285.9 million and $536.3 million during the three and nine months ended September 30, 2022, respectively, compared to the three and nine months ended September 30, 2021, respectively. The increases were primarily driven by the addition of the MGM Master Lease and Venetian Lease to our portfolio in April 2022 and February 2022, respectively, as well as the annual rent escalators from certain of our other Lease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from loans increased $1.4 million and $1.2 million during the three and nine months ended September 30, 2022 compared to the three and nine months ended September 30, 2021, respectively. The increase was driven by the addition and subsequent funding, as applicable, of the Great Wolf Gulf Coast Texas Loan, the Great Wolf South Florida Loan, the Cabot Citrus Farms Loan and the Great Wolf Maryland loan to our real estate investment portfolio in August 2022, July 2022, June 2022 and June 2021, respectively. The increase for the nine months ended September 30, 2022 compared to the nine months ended September 30, 2021 was partially offset by the repayment of the $70.0 million term loan with JACK Entertainment in October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increased $10.9 million and $20.9 million during the three and nine months ended September 30, 2022, respectively, compared to the three and nine months ended September 30, 2021, respectively. The increase was driven primarily by the additional income and offsetting expense as a result of the assumption of certain sub-leases in connection with the closing of the Venetian Acquisition and MGP Transactions. The Lease Agreements require the tenants to pay all costs associated with such ground and use sub-leases and provide for their direct payment to the landlord.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Revenues from VICI’s golf operations increased $0.2 million and $3.9 million during the three and nine months ended September 30, 2022, respectively, compared to the three and nine months ended September 30, 2021, respectively. The change was primarily driven by an increase in rounds played at the golf courses and an increase in the contractual fees paid to us by Caesars for the use of our golf courses, pursuant to a golf course use agreement.</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2022 and 2021, our operating expenses were comprised of the following items: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Three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7"/>
          </w:tcPr>
          <w:p>
            <w:pPr>
              <w:ind w:left="80"/>
              <w:spacing w:after="0"/>
              <w:rPr>
                <w:sz w:val="20"/>
                <w:szCs w:val="20"/>
                <w:color w:val="auto"/>
              </w:rPr>
            </w:pPr>
            <w:r>
              <w:rPr>
                <w:rFonts w:ascii="Arial" w:cs="Arial" w:eastAsia="Arial" w:hAnsi="Arial"/>
                <w:sz w:val="16"/>
                <w:szCs w:val="16"/>
                <w:b w:val="1"/>
                <w:bCs w:val="1"/>
                <w:color w:val="auto"/>
                <w:w w:val="98"/>
              </w:rPr>
              <w:t>Nine Months Ended September</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1"/>
        </w:trPr>
        <w:tc>
          <w:tcPr>
            <w:tcW w:w="20" w:type="dxa"/>
            <w:vAlign w:val="bottom"/>
          </w:tcPr>
          <w:p>
            <w:pPr>
              <w:spacing w:after="0"/>
              <w:rPr>
                <w:sz w:val="14"/>
                <w:szCs w:val="14"/>
                <w:color w:val="auto"/>
              </w:rPr>
            </w:pPr>
          </w:p>
        </w:tc>
        <w:tc>
          <w:tcPr>
            <w:tcW w:w="40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1"/>
              <w:spacing w:after="0" w:line="14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80"/>
              <w:spacing w:after="0" w:line="142" w:lineRule="exact"/>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4"/>
                <w:szCs w:val="14"/>
                <w:color w:val="auto"/>
              </w:rPr>
            </w:pPr>
          </w:p>
        </w:tc>
        <w:tc>
          <w:tcPr>
            <w:tcW w:w="800" w:type="dxa"/>
            <w:vAlign w:val="bottom"/>
          </w:tcPr>
          <w:p>
            <w:pPr>
              <w:jc w:val="right"/>
              <w:ind w:right="251"/>
              <w:spacing w:after="0" w:line="142"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1"/>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1"/>
              <w:spacing w:after="0" w:line="142" w:lineRule="exact"/>
              <w:rPr>
                <w:sz w:val="20"/>
                <w:szCs w:val="20"/>
                <w:color w:val="auto"/>
              </w:rPr>
            </w:pPr>
            <w:r>
              <w:rPr>
                <w:rFonts w:ascii="Arial" w:cs="Arial" w:eastAsia="Arial" w:hAnsi="Arial"/>
                <w:sz w:val="16"/>
                <w:szCs w:val="16"/>
                <w:b w:val="1"/>
                <w:bCs w:val="1"/>
                <w:color w:val="auto"/>
                <w:w w:val="98"/>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Golf expenses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232,763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889,912</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270,637</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978,648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$3.7 million and $9.2 million for the three and nine months ended September 30, 2022, respectively, as compared to the three and nine months ended September 30, 2021, respectively. The increase was primarily driven by an increase in compensation, including stock based compensation and the addition of new employees to the corporate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expenses increased $10.9 million and $20.9 million during the three and nine months ended September 30, 2022, respectively, compared to the three and nine months ended September 30, 2021, respectively, driven primarily by the additional income and offsetting expense as a result of the assumption of certain sub-leases in connection with the Venetian Acquisition and MGP Transactions. The Lease Agreements require the tenants to pay all costs associated with such ground and use sub-leases and provide for their direct payment to the landlord.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Expenses from VICI’s golf operations remained consistent during the three months ended September 30, 2022 compared to the three months ended September 30, 2021. Expenses from VICI’s golf operations increased by $1.4 million during the nine months ended September 30, 2022, compared to the nine months ended September 30, 2021 primarily driven by an increase in rounds of golf played across our golf courses.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September 30, 2022, we recognized a $232.8 million increase in our allowance for credit losses, or CECL allowance, primarily driven by (i) changes in the macroeconomic model used to scenario condition our reasonable and supportable period, or R&amp;S Period, probability of default, or PD, due to uncertain and potentially negative future market conditions, (ii) an increase in the R&amp;S Period PD of our tenants and their parent guarantors (as applicable) as a result of market volatility during the quarter, (iii) an increase in the R&amp;S Period PD and loss given default, or LGD, as a result of standard annual updates that were made to the inputs and assumptions in the model that we utilize to estimate our CECL allowance and (iv) the initial CECL allowance on the future funding commitments from the origination of the Great Wolf Gulf Coast Texas Loan and the Great Wolf South Florida Loan.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we recognized an $865.5 million increase in our allowance for credit losses primarily driven by initial CECL allowances on our acquisition activity during such periods in the amount of $523.2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representing 60.5% of the total allowance for the nine months ended September 30, 2022.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(ii) the closing of the Venetian Acquisition on February 23, 2022, which included (a) the classification of the Venetian Lease as a sales-type lease, (b) the estimated future funding commitments under the Venetian PGF and (c) the sales-type sub-lease agreements we assumed in connection with the closing of the Venetian Acquisition, and (iii) the future funding commitments from the origination of the BigShots Loan, the Cabot Citrus Farms Loan, the Great Wolf South Florida Loan and the Great Wolf Gulf Coast Texas Loan. Additional increases were attributable to the increase for the three months ended September 30, 2022, as described above. These increases were partially offset by a decrease in the Long-Term Period PD as a result of standard annual updates that were made to the Long-Term Period PD default study we utilize to estimate our CECL allowance.</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we recognized a $9.0 million increase in our allowance for credit losses primarily driven by (i) the increase in the Long-Term Period PD for one of our tenants during the third quarter of 2021 and (ii) an increase in the existing amortized cost balances subject to the CECL allowance.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2021, we recognized a $24.5 million decrease in our allowance for credit losses primarily driven by (i) the decrease in the R&amp;S Period PD of our tenants and their parent guarantors as a result of an improvement in their economic outlook due to the reopening of all of their gaming operations and relative performance of such operations during the first three quarters of 2021, (ii) the decrease in the Long-Term Period PD due to an upgrade of the credit rating of the senior secured debt used to determine the Long-Term Period PD for two of our tenants during the second quarter of 2021, and (iii) the decrease in the R&amp;S Period PD and LGD as a result of standard annual updates that were made to the inputs and assumptions in the model that we utilize to estimate our CECL allowance. This decrease was partially offset by the increase for the three months ended September 30, 2021, as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 and acquisition expenses increased $1.8 million and $9.7 million during the three and nine months ended September 30, 2022, respectively, compared to the three and nine months ended September 30, 2021, respectively. Changes in transaction and acquisition expenses are related to fluctuations in (i) costs incurred for investments during the period that are not capitalizable under GAAP and (ii) costs incurred for investments that we are no longer pursuing.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2022 and 2021, our non-operating income and expenses were comprised of the following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600" w:type="dxa"/>
            <w:vAlign w:val="bottom"/>
            <w:gridSpan w:val="8"/>
          </w:tcPr>
          <w:p>
            <w:pPr>
              <w:ind w:left="40"/>
              <w:spacing w:after="0"/>
              <w:rPr>
                <w:sz w:val="20"/>
                <w:szCs w:val="20"/>
                <w:color w:val="auto"/>
              </w:rPr>
            </w:pPr>
            <w:r>
              <w:rPr>
                <w:rFonts w:ascii="Arial" w:cs="Arial" w:eastAsia="Arial" w:hAnsi="Arial"/>
                <w:sz w:val="16"/>
                <w:szCs w:val="16"/>
                <w:b w:val="1"/>
                <w:bCs w:val="1"/>
                <w:color w:val="auto"/>
              </w:rPr>
              <w:t>Three Months Ended September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tcPr>
          <w:p>
            <w:pPr>
              <w:jc w:val="center"/>
              <w:ind w:right="190"/>
              <w:spacing w:after="0"/>
              <w:rPr>
                <w:sz w:val="20"/>
                <w:szCs w:val="20"/>
                <w:color w:val="auto"/>
              </w:rPr>
            </w:pPr>
            <w:r>
              <w:rPr>
                <w:rFonts w:ascii="Arial" w:cs="Arial" w:eastAsia="Arial" w:hAnsi="Arial"/>
                <w:sz w:val="16"/>
                <w:szCs w:val="16"/>
                <w:b w:val="1"/>
                <w:bCs w:val="1"/>
                <w:color w:val="auto"/>
                <w:w w:val="92"/>
              </w:rPr>
              <w:t>Nine Months Ended September</w:t>
            </w:r>
          </w:p>
        </w:tc>
        <w:tc>
          <w:tcPr>
            <w:tcW w:w="9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4060" w:type="dxa"/>
            <w:vAlign w:val="bottom"/>
            <w:gridSpan w:val="2"/>
          </w:tcPr>
          <w:p>
            <w:pPr>
              <w:spacing w:after="0" w:line="148" w:lineRule="exact"/>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820" w:type="dxa"/>
            <w:vAlign w:val="bottom"/>
          </w:tcPr>
          <w:p>
            <w:pPr>
              <w:ind w:left="160"/>
              <w:spacing w:after="0" w:line="148"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2"/>
              <w:spacing w:after="0" w:line="14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line="148" w:lineRule="exact"/>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4"/>
                <w:szCs w:val="14"/>
                <w:color w:val="auto"/>
              </w:rPr>
            </w:pPr>
          </w:p>
        </w:tc>
        <w:tc>
          <w:tcPr>
            <w:tcW w:w="800" w:type="dxa"/>
            <w:vAlign w:val="bottom"/>
          </w:tcPr>
          <w:p>
            <w:pPr>
              <w:ind w:left="140"/>
              <w:spacing w:after="0" w:line="148" w:lineRule="exact"/>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12"/>
              <w:spacing w:after="0" w:line="148"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2"/>
              <w:spacing w:after="0" w:line="148" w:lineRule="exact"/>
              <w:rPr>
                <w:sz w:val="20"/>
                <w:szCs w:val="20"/>
                <w:color w:val="auto"/>
              </w:rPr>
            </w:pPr>
            <w:r>
              <w:rPr>
                <w:rFonts w:ascii="Arial" w:cs="Arial" w:eastAsia="Arial" w:hAnsi="Arial"/>
                <w:sz w:val="16"/>
                <w:szCs w:val="16"/>
                <w:b w:val="1"/>
                <w:bCs w:val="1"/>
                <w:color w:val="auto"/>
                <w:w w:val="98"/>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37,853</w:t>
            </w:r>
          </w:p>
        </w:tc>
      </w:tr>
      <w:tr>
        <w:trPr>
          <w:trHeight w:val="230"/>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w w:val="93"/>
              </w:rPr>
              <w:t>(169,354)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(165,099)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w w:val="90"/>
              </w:rPr>
              <w:t>(370,624)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(48,671)</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30"/>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15,622</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from unconsolidated affiliate during the three and nine months ended September 30, 2022 represents our 50.1% share of the income of the BREIT JV for the period, which was acquired as part of the MGP Transactions on April 29, 2022. The income from unconsolidated affiliate includes the amortization of certain basis differences arising from the differences between our purchase price and the underlying carrying value of the joint venture. As the BREIT JV interest was acquired by us on April 29, 2022, no such income was recognized for the three and nine months ended September 30, 2021.</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expense increased $4.3 million and $48.7 million during the three and nine months ended September 30, 2022, respectively, as compared to the three and nine months ended September 30, 2021, respectively. The increase during the three and nine months ended September 30, 2022 was primarily related to the increase in debt from the (i) issuance of the April 2022 Notes, (ii) issuance of the Exchange Notes, and (iii) assumption of the MGP OP Notes, the combination of which resulted in an additional $9.2 billion in notional amount of debt at a weighted average interest rate of 4.70%, net of the impact of the forward-starting interest rate swaps and treasury locks. Further increases were related to (i) the amortization of the commitment fees associated with the Venetian Acquisition Bridge Facility and the MGP Transactions Bridge Facility, (ii) the commitment fees on the Revolving Credit Facility and Delayed Draw Term Loan, and (iii) additional interest on the $600.0 million draw on the Revolving Credit Facility (which was repaid in full on April 29, 2022). The increases were partially offset by the full repayment of the Term Loan B Facility in September 2021 and certain non-recurring activity during the three and nine months ended September 30, 2021, which included (i) the $64.2 million payment in connection with the early settlement of the outstanding interest rate swap agreements and (ii) the amortization of the commitment fees associated with the Venetian Acquisition Bridge Facility and the MGP Transactions Bridge Facility.</w:t>
      </w:r>
    </w:p>
    <w:p>
      <w:pPr>
        <w:spacing w:after="0" w:line="12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Additionally, the weighted average annualized interest rate of our debt, net of the impact of the forward-starting interest rate swaps and treasury locks, increased to 4.47% and 4.35% during the three and nine months ended September 30, 2022, respectively, from 4.02% and 4.03% during the three and nine months ended September 30, 2021, respectively, as a result of a higher weighted average effective interest rate on the April 2022 Notes, Exchange Notes and MGP OP Notes as compared to our outstanding debt during such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nine months ended September 30, 2021, we recognized a loss on extinguishment of debt of $15.6 million resulting from the write-off of the unamortized deferred financing fees in connection with the full repayment of our Term Loan B Facility in September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VICI’s Net Income to FFO, FFO per Share, AFFO, AFFO per Share and Adjusted EBITDA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6"/>
                <w:szCs w:val="16"/>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60" w:type="dxa"/>
            <w:vAlign w:val="bottom"/>
          </w:tcPr>
          <w:p>
            <w:pPr>
              <w:spacing w:after="0"/>
              <w:rPr>
                <w:sz w:val="18"/>
                <w:szCs w:val="18"/>
                <w:color w:val="auto"/>
              </w:rPr>
            </w:pPr>
          </w:p>
        </w:tc>
        <w:tc>
          <w:tcPr>
            <w:tcW w:w="2640" w:type="dxa"/>
            <w:vAlign w:val="bottom"/>
            <w:gridSpan w:val="4"/>
          </w:tcPr>
          <w:p>
            <w:pPr>
              <w:jc w:val="right"/>
              <w:ind w:right="870"/>
              <w:spacing w:after="0"/>
              <w:rPr>
                <w:sz w:val="20"/>
                <w:szCs w:val="20"/>
                <w:color w:val="auto"/>
              </w:rPr>
            </w:pPr>
            <w:r>
              <w:rPr>
                <w:rFonts w:ascii="Arial" w:cs="Arial" w:eastAsia="Arial" w:hAnsi="Arial"/>
                <w:sz w:val="16"/>
                <w:szCs w:val="16"/>
                <w:b w:val="1"/>
                <w:bCs w:val="1"/>
                <w:color w:val="auto"/>
              </w:rPr>
              <w:t>September 30,</w:t>
            </w:r>
          </w:p>
        </w:tc>
      </w:tr>
      <w:tr>
        <w:trPr>
          <w:trHeight w:val="158"/>
        </w:trPr>
        <w:tc>
          <w:tcPr>
            <w:tcW w:w="20" w:type="dxa"/>
            <w:vAlign w:val="bottom"/>
          </w:tcPr>
          <w:p>
            <w:pPr>
              <w:spacing w:after="0"/>
              <w:rPr>
                <w:sz w:val="13"/>
                <w:szCs w:val="13"/>
                <w:color w:val="auto"/>
              </w:rPr>
            </w:pPr>
          </w:p>
        </w:tc>
        <w:tc>
          <w:tcPr>
            <w:tcW w:w="532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0"/>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50"/>
              <w:spacing w:after="0" w:line="142"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732,372</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Joint venture depreciation and non-controlling interest adjustments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FFO attributable to common stockholders</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340,648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161,862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530,635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732,372</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leasing and financing adjustments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(88,063)</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Non-cash change in allowance for credit losses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232,763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(24,453)</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9,689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50,723</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depreciation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2,228</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1"/>
              </w:rPr>
              <w:t>(Gain) loss on extinguishment of debt and interest rate swap settlements</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79,861</w:t>
            </w:r>
          </w:p>
        </w:tc>
      </w:tr>
      <w:tr>
        <w:trPr>
          <w:trHeight w:val="176"/>
        </w:trPr>
        <w:tc>
          <w:tcPr>
            <w:tcW w:w="2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Joint venture non-cash adjustments and non-controlling interest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AFFO attributable to common stockholders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470,657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257,420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1,206,202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768,559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206,916</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Joint venture interest expense and non-controlling interest adjustments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Adjusted EBITDA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638,614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324,544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1,561,071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977,603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AFFO per common share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Weighted average number of shares of common stock outstanding</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962,573,646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555,153,692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848,839,357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542,843,855</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964,134,340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571,894,545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850,823,037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557,113,510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our available cash balances, capacity under our Revolving Credit Facility and Delayed Draw Term Loan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500" w:type="dxa"/>
            <w:vAlign w:val="bottom"/>
          </w:tcPr>
          <w:p>
            <w:pPr>
              <w:spacing w:after="0"/>
              <w:rPr>
                <w:sz w:val="16"/>
                <w:szCs w:val="16"/>
                <w:color w:val="auto"/>
              </w:rPr>
            </w:pPr>
          </w:p>
        </w:tc>
        <w:tc>
          <w:tcPr>
            <w:tcW w:w="2520" w:type="dxa"/>
            <w:vAlign w:val="bottom"/>
          </w:tcPr>
          <w:p>
            <w:pPr>
              <w:jc w:val="right"/>
              <w:ind w:right="772"/>
              <w:spacing w:after="0"/>
              <w:rPr>
                <w:sz w:val="20"/>
                <w:szCs w:val="20"/>
                <w:color w:val="auto"/>
              </w:rPr>
            </w:pPr>
            <w:r>
              <w:rPr>
                <w:rFonts w:ascii="Arial" w:cs="Arial" w:eastAsia="Arial" w:hAnsi="Arial"/>
                <w:sz w:val="15"/>
                <w:szCs w:val="15"/>
                <w:b w:val="1"/>
                <w:bCs w:val="1"/>
                <w:color w:val="auto"/>
              </w:rPr>
              <w:t>September 30,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518,383</w:t>
            </w: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5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207,722</w:t>
            </w: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i w:val="1"/>
                <w:iCs w:val="1"/>
                <w:color w:val="auto"/>
                <w:vertAlign w:val="superscript"/>
              </w:rPr>
              <w:t>(1)</w:t>
            </w:r>
          </w:p>
        </w:tc>
        <w:tc>
          <w:tcPr>
            <w:tcW w:w="5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57"/>
        </w:trPr>
        <w:tc>
          <w:tcPr>
            <w:tcW w:w="20" w:type="dxa"/>
            <w:vAlign w:val="bottom"/>
          </w:tcPr>
          <w:p>
            <w:pPr>
              <w:spacing w:after="0"/>
              <w:rPr>
                <w:sz w:val="22"/>
                <w:szCs w:val="22"/>
                <w:color w:val="auto"/>
              </w:rPr>
            </w:pPr>
          </w:p>
        </w:tc>
        <w:tc>
          <w:tcPr>
            <w:tcW w:w="82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Capacity under Delayed Draw Term Loan </w:t>
            </w:r>
            <w:r>
              <w:rPr>
                <w:rFonts w:ascii="Arial" w:cs="Arial" w:eastAsia="Arial" w:hAnsi="Arial"/>
                <w:sz w:val="23"/>
                <w:szCs w:val="23"/>
                <w:i w:val="1"/>
                <w:iCs w:val="1"/>
                <w:color w:val="auto"/>
                <w:vertAlign w:val="superscript"/>
              </w:rPr>
              <w:t>(1)</w:t>
            </w:r>
          </w:p>
        </w:tc>
        <w:tc>
          <w:tcPr>
            <w:tcW w:w="500" w:type="dxa"/>
            <w:vAlign w:val="bottom"/>
          </w:tcPr>
          <w:p>
            <w:pPr>
              <w:spacing w:after="0"/>
              <w:rPr>
                <w:sz w:val="22"/>
                <w:szCs w:val="22"/>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57"/>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Proceeds available from settlement of the ATM Forward Sale Agreements </w:t>
            </w:r>
            <w:r>
              <w:rPr>
                <w:rFonts w:ascii="Arial" w:cs="Arial" w:eastAsia="Arial" w:hAnsi="Arial"/>
                <w:sz w:val="23"/>
                <w:szCs w:val="23"/>
                <w:i w:val="1"/>
                <w:iCs w:val="1"/>
                <w:color w:val="auto"/>
                <w:vertAlign w:val="superscript"/>
              </w:rPr>
              <w:t>(2)</w:t>
            </w:r>
          </w:p>
        </w:tc>
        <w:tc>
          <w:tcPr>
            <w:tcW w:w="50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490,442</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4,716,547</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9" w:lineRule="exact"/>
        <w:rPr>
          <w:sz w:val="20"/>
          <w:szCs w:val="20"/>
          <w:color w:val="auto"/>
        </w:rPr>
      </w:pPr>
    </w:p>
    <w:p>
      <w:pPr>
        <w:jc w:val="both"/>
        <w:ind w:left="340" w:hanging="332"/>
        <w:spacing w:after="0" w:line="264" w:lineRule="auto"/>
        <w:tabs>
          <w:tab w:leader="none" w:pos="332"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spacing w:after="0" w:line="1" w:lineRule="exact"/>
        <w:rPr>
          <w:rFonts w:ascii="Arial" w:cs="Arial" w:eastAsia="Arial" w:hAnsi="Arial"/>
          <w:sz w:val="14"/>
          <w:szCs w:val="14"/>
          <w:i w:val="1"/>
          <w:iCs w:val="1"/>
          <w:color w:val="auto"/>
        </w:rPr>
      </w:pPr>
    </w:p>
    <w:p>
      <w:pPr>
        <w:ind w:left="340" w:hanging="332"/>
        <w:spacing w:after="0" w:line="263" w:lineRule="auto"/>
        <w:tabs>
          <w:tab w:leader="none" w:pos="332"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Assumes the physical settlement of the 11,380,980 shares under the June 2022 ATM Forward Sale Agreement at the forward sale price per share of $31.36, and the 3,918,807 shares under the August 2022 ATM Forward Sale Agreement at the forward price per share of $34.08, calculated as of September 30, 2022.</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have sufficient liquidity to meet our material cash requirements, including our contractual obligations and commitments as well as our additional funding requirements, primarily through currently available cash and cash equivalents, cash received under our Lease Agreements, existing borrowings from banks, including our Delayed Draw Term Loan and undrawn capacity under our Revolving Credit Facility, and proceeds from future issuances of debt and equity securities (including issuances under our ATM Agreement) for the next 12 months and in future periods.</w:t>
      </w:r>
    </w:p>
    <w:p>
      <w:pPr>
        <w:spacing w:after="0" w:line="117"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rising interest rates, equity market volatility, and the COVID-19 pandemic. In particular, we can provide no assurances that our tenants will not default on their leases or fail to make full rental payments if their businesses become challenged due to, among other things, current or future adverse economic conditions and the direct or indirect impact of the COVID-19 pandemic. </w:t>
      </w:r>
      <w:r>
        <w:rPr>
          <w:rFonts w:ascii="Arial" w:cs="Arial" w:eastAsia="Arial" w:hAnsi="Arial"/>
          <w:sz w:val="17"/>
          <w:szCs w:val="17"/>
          <w:i w:val="1"/>
          <w:iCs w:val="1"/>
          <w:color w:val="auto"/>
        </w:rPr>
        <w:t>See</w:t>
      </w:r>
      <w:r>
        <w:rPr>
          <w:rFonts w:ascii="Arial" w:cs="Arial" w:eastAsia="Arial" w:hAnsi="Arial"/>
          <w:sz w:val="17"/>
          <w:szCs w:val="17"/>
          <w:color w:val="auto"/>
        </w:rPr>
        <w:t xml:space="preserve"> “Overview — Recent Trends” above for additional detail.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w:t>
      </w:r>
      <w:hyperlink r:id="rId81">
        <w:r>
          <w:rPr>
            <w:rFonts w:ascii="Arial" w:cs="Arial" w:eastAsia="Arial" w:hAnsi="Arial"/>
            <w:sz w:val="17"/>
            <w:szCs w:val="17"/>
            <w:color w:val="auto"/>
          </w:rPr>
          <w:t xml:space="preserve">until 2024. For more information, refer to the risk factors incorporated by reference into </w:t>
        </w:r>
        <w:r>
          <w:rPr>
            <w:rFonts w:ascii="Arial" w:cs="Arial" w:eastAsia="Arial" w:hAnsi="Arial"/>
            <w:sz w:val="17"/>
            <w:szCs w:val="17"/>
            <w:u w:val="single" w:color="auto"/>
            <w:color w:val="0000FF"/>
          </w:rPr>
          <w:t>Part II. Item 1A. Risk Factors</w:t>
        </w:r>
        <w:r>
          <w:rPr>
            <w:rFonts w:ascii="Arial" w:cs="Arial" w:eastAsia="Arial" w:hAnsi="Arial"/>
            <w:sz w:val="17"/>
            <w:szCs w:val="17"/>
            <w:color w:val="auto"/>
          </w:rPr>
          <w:t xml:space="preserve"> herein from our </w:t>
        </w:r>
        <w:r>
          <w:rPr>
            <w:rFonts w:ascii="Arial" w:cs="Arial" w:eastAsia="Arial" w:hAnsi="Arial"/>
            <w:sz w:val="17"/>
            <w:szCs w:val="17"/>
            <w:u w:val="single" w:color="auto"/>
            <w:color w:val="0000FF"/>
          </w:rPr>
          <w:t>Annual Report on</w:t>
        </w:r>
      </w:hyperlink>
      <w:r>
        <w:rPr>
          <w:rFonts w:ascii="Arial" w:cs="Arial" w:eastAsia="Arial" w:hAnsi="Arial"/>
          <w:sz w:val="17"/>
          <w:szCs w:val="17"/>
          <w:color w:val="auto"/>
        </w:rPr>
        <w:t xml:space="preserve"> </w:t>
      </w:r>
      <w:hyperlink r:id="rId81">
        <w:r>
          <w:rPr>
            <w:rFonts w:ascii="Arial" w:cs="Arial" w:eastAsia="Arial" w:hAnsi="Arial"/>
            <w:sz w:val="17"/>
            <w:szCs w:val="17"/>
            <w:u w:val="single" w:color="auto"/>
            <w:color w:val="0000FF"/>
          </w:rPr>
          <w:t>Form 10-K for the year ended December 31, 2021</w:t>
        </w:r>
        <w:r>
          <w:rPr>
            <w:rFonts w:ascii="Arial" w:cs="Arial" w:eastAsia="Arial" w:hAnsi="Arial"/>
            <w:sz w:val="17"/>
            <w:szCs w:val="17"/>
            <w:color w:val="000000"/>
          </w:rPr>
          <w:t>.</w:t>
        </w:r>
      </w:hyperlink>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COVID-19 and the impact of our response and our tenants’ responses to COVID-19.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r>
        <w:rPr>
          <w:rFonts w:ascii="Arial" w:cs="Arial" w:eastAsia="Arial" w:hAnsi="Arial"/>
          <w:sz w:val="18"/>
          <w:szCs w:val="18"/>
          <w:u w:val="single" w:color="auto"/>
          <w:color w:val="0000FF"/>
        </w:rPr>
        <w:t>Note 10 - Commitments and Contingent Liabilities</w:t>
      </w:r>
      <w:r>
        <w:rPr>
          <w:rFonts w:ascii="Arial" w:cs="Arial" w:eastAsia="Arial" w:hAnsi="Arial"/>
          <w:sz w:val="18"/>
          <w:szCs w:val="18"/>
          <w:color w:val="auto"/>
        </w:rPr>
        <w: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September 30, 2022, we have $14.0 billion of debt obligations outstanding (excluding approximately $1.5 billion of debt obligations held by the BREIT JV), none of which are maturing in the next twelve months. For a summary of principal debt balances and their maturity dates and principal terms, refer to </w:t>
      </w:r>
      <w:r>
        <w:rPr>
          <w:rFonts w:ascii="Arial" w:cs="Arial" w:eastAsia="Arial" w:hAnsi="Arial"/>
          <w:sz w:val="18"/>
          <w:szCs w:val="18"/>
          <w:u w:val="single" w:color="auto"/>
          <w:color w:val="0000FF"/>
        </w:rPr>
        <w:t>Note 7 - Debt</w:t>
      </w:r>
      <w:r>
        <w:rPr>
          <w:rFonts w:ascii="Arial" w:cs="Arial" w:eastAsia="Arial" w:hAnsi="Arial"/>
          <w:sz w:val="18"/>
          <w:szCs w:val="18"/>
          <w:color w:val="auto"/>
        </w:rPr>
        <w:t xml:space="preserve">. For a summary of our future funding commitments under our loan portfolio, refer to </w:t>
      </w:r>
      <w:r>
        <w:rPr>
          <w:rFonts w:ascii="Arial" w:cs="Arial" w:eastAsia="Arial" w:hAnsi="Arial"/>
          <w:sz w:val="18"/>
          <w:szCs w:val="18"/>
          <w:u w:val="single" w:color="auto"/>
          <w:color w:val="0000FF"/>
        </w:rPr>
        <w:t>Note 4 - Real Estate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Portfolio</w:t>
      </w:r>
      <w:r>
        <w:rPr>
          <w:rFonts w:ascii="Arial" w:cs="Arial" w:eastAsia="Arial" w:hAnsi="Arial"/>
          <w:sz w:val="18"/>
          <w:szCs w:val="18"/>
          <w:color w:val="000000"/>
        </w:rPr>
        <w: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pursuant to the Lease Agreements are described in </w:t>
      </w:r>
      <w:r>
        <w:rPr>
          <w:rFonts w:ascii="Arial" w:cs="Arial" w:eastAsia="Arial" w:hAnsi="Arial"/>
          <w:sz w:val="18"/>
          <w:szCs w:val="18"/>
          <w:u w:val="single" w:color="auto"/>
          <w:color w:val="0000FF"/>
        </w:rPr>
        <w:t>Note 4 - Real Estate Portfolio</w:t>
      </w:r>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material contractual obligations and commitments to make future payments under contracts such as our indebtedness and future minimum lease commitments under operating leases is included in the following table as of September 30, 2022. Amounts in this table omit, among other things, non-contractual commitments and items such as dividends and recurring or non-recurring operating expenses and other expenditures, including acquisitions and other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3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2022 (remaining)</w:t>
            </w:r>
          </w:p>
        </w:tc>
        <w:tc>
          <w:tcPr>
            <w:tcW w:w="280" w:type="dxa"/>
            <w:vAlign w:val="bottom"/>
          </w:tcPr>
          <w:p>
            <w:pPr>
              <w:spacing w:after="0"/>
              <w:rPr>
                <w:sz w:val="13"/>
                <w:szCs w:val="13"/>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2"/>
              <w:spacing w:after="0" w:line="158" w:lineRule="exact"/>
              <w:rPr>
                <w:sz w:val="20"/>
                <w:szCs w:val="20"/>
                <w:color w:val="auto"/>
              </w:rPr>
            </w:pPr>
            <w:r>
              <w:rPr>
                <w:rFonts w:ascii="Arial" w:cs="Arial" w:eastAsia="Arial" w:hAnsi="Arial"/>
                <w:sz w:val="16"/>
                <w:szCs w:val="16"/>
                <w:b w:val="1"/>
                <w:bCs w:val="1"/>
                <w:color w:val="auto"/>
              </w:rPr>
              <w:t>2026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Senior Unsecured Notes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13,950,000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10,850,000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Delayed Draw Term Loan</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interest payments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2,714,781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 contractual obligations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18,684,650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176,687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13,564,781</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line="243"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rPr>
              <w:t>Golf course operating lease and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line="243" w:lineRule="exact"/>
              <w:rPr>
                <w:sz w:val="20"/>
                <w:szCs w:val="20"/>
                <w:color w:val="auto"/>
              </w:rPr>
            </w:pPr>
            <w:r>
              <w:rPr>
                <w:rFonts w:ascii="Arial" w:cs="Arial" w:eastAsia="Arial" w:hAnsi="Arial"/>
                <w:sz w:val="18"/>
                <w:szCs w:val="18"/>
                <w:color w:val="auto"/>
              </w:rPr>
              <w:t xml:space="preserve">contractual commitments </w:t>
            </w:r>
            <w:r>
              <w:rPr>
                <w:rFonts w:ascii="Arial" w:cs="Arial" w:eastAsia="Arial" w:hAnsi="Arial"/>
                <w:sz w:val="23"/>
                <w:szCs w:val="23"/>
                <w:color w:val="auto"/>
                <w:vertAlign w:val="superscript"/>
              </w:rPr>
              <w:t>(2)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office leases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leases and contract obligations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57,035</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contractual commitments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19,108,588</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954,857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2,610,174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13,621,816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ind w:firstLine="8"/>
        <w:spacing w:after="0" w:line="247" w:lineRule="auto"/>
        <w:tabs>
          <w:tab w:leader="none" w:pos="206"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expiration date or other information, as applicable, however we may be obligated to fund these commitments earlier than such date.</w:t>
      </w:r>
    </w:p>
    <w:p>
      <w:pPr>
        <w:ind w:firstLine="8"/>
        <w:spacing w:after="0" w:line="323" w:lineRule="auto"/>
        <w:tabs>
          <w:tab w:leader="none" w:pos="22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The amounts include the Cascata ground lease commitments and certain contractual golf-related commitments, including commitments under the golf course management agreement we entered into with CDN on October 1, 2022. See “Significant Activities During 2022 - Other Activity” above for further details on the golf course management agreement with CDN.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September 30, 2022, we had $1.0 billion of potential future funding commitments under our Partner Property Growth Fund agreements. The use of the Partner Property Growth Fund commitments are at the discretion of our tenants and there is no guarantee any such commitments will be drawn upon.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nine months ended September 30,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September 30,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5760" w:type="dxa"/>
            <w:vAlign w:val="bottom"/>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32"/>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1"/>
              <w:spacing w:after="0" w:line="14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71"/>
              <w:spacing w:after="0" w:line="142" w:lineRule="exact"/>
              <w:rPr>
                <w:sz w:val="20"/>
                <w:szCs w:val="20"/>
                <w:color w:val="auto"/>
              </w:rPr>
            </w:pPr>
            <w:r>
              <w:rPr>
                <w:rFonts w:ascii="Arial" w:cs="Arial" w:eastAsia="Arial" w:hAnsi="Arial"/>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1,455,477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610,924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844,553</w:t>
            </w:r>
          </w:p>
        </w:tc>
      </w:tr>
      <w:tr>
        <w:trPr>
          <w:trHeight w:val="230"/>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(Used in) provided by investing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(8,889,098)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(8,908,954)</w:t>
            </w:r>
          </w:p>
        </w:tc>
      </w:tr>
      <w:tr>
        <w:trPr>
          <w:trHeight w:val="229"/>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Provided by (used in) financing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7,212,390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7,489,649</w:t>
            </w:r>
          </w:p>
        </w:tc>
      </w:tr>
      <w:tr>
        <w:trPr>
          <w:trHeight w:val="223"/>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(574,752)</w:t>
            </w:r>
          </w:p>
        </w:tc>
      </w:tr>
      <w:tr>
        <w:trPr>
          <w:trHeight w:val="230"/>
        </w:trPr>
        <w:tc>
          <w:tcPr>
            <w:tcW w:w="2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423,621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increased $844.6 million for the nine months ended September 30, 2022 compared with the nine months ended September 30, 2021. The increase is primarily driven by an increase in cash rental payments from the addition of the MGM Master Lease and Venetian Lease to our real estate portfolio in April 2022 and February 2022, respectively, the annual rent escalators on certain of our other Lease Agreements and the proceeds from settlement of our forward-starting derivative instruments in connection with the April 2022 Notes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increased $8,909.0 million for the nine months ended September 30, 2022 compared with the nine months ended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the primary sources and uses of cash from investing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payments of $4,574.5 million in relation to the closing of the MGP Transactions, including $4,404.0 million in connection with the redemption of the majority of the MGP OP units held by MGM, $90.0 million in connection with the repayment of the outstanding MGP revolving credit facility and acquisition costs;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for the Venetian Acquisition for a total cost of $4,012.8 million, including acquisition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Investment in short-term investments of $207.7 million;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Disbursements to fund portions of the Great Wolf Maryland loan, Great Wolf South Florida Loan, Great Wolf Gulf Coast Texas Loan, and the Cabot Citrus Farms Loan in the amount of $87.2 million;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Capitalized transaction costs of $6.8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primary sources and uses of cash from investing activities include:</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partial repayment of the JACK Entertainment term loan of $30.4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Disbursements to fund a portion of the Great Wolf Maryland loan in the amount of $19.2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Capitalized transaction costs of $9.2 million;</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the sale of certain parcels of vacant land in the aggregate amount of $3.8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 of property and equipment costs of $1.7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financing activities increased $7,489.6 million for the nine months ended September 30, 2022, compared with the nine months ended September 30,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2022, the primary sources and uses of cash in financing activities included:</w:t>
      </w:r>
    </w:p>
    <w:p>
      <w:pPr>
        <w:spacing w:after="0" w:line="117" w:lineRule="exact"/>
        <w:rPr>
          <w:sz w:val="20"/>
          <w:szCs w:val="20"/>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proceeds of $3,219.1 million from the sale of an aggregate 119,000,000 shares of our common stock pursuant to the full physical settlement of the September 2021 Forward Sale Agreements and March 2021 Forward Sale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proceeds of $5,000.0 million from the April 2002 Notes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 payments of $843.7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Initial draw and repayment of $600.0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issuance costs of $146.2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Distributions of $10.7 million to non-controlling interests;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Repurchase of shares of common stock for tax withholding in connection with the vesting of employee stock compensation of $6.1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2021, the primary sources and uses of cash from financing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proceeds of $2,386.1 million from the sale of an aggregate of 91,900,000 shares of our common stock from our September 2021 equity offering (excluding the shares subject to the September 2021 Forward Sale Agreements) and pursuant to the full physical settlement of the June 2020 Forward Sale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Full repayment of the $2,100.0 million outstanding aggregate principal amount of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Dividend payments of $532.4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Debt issuance costs of $23.2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of $6.2 million to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summary of our debt obligations as of September 30, 2022, refer to </w:t>
      </w:r>
      <w:r>
        <w:rPr>
          <w:rFonts w:ascii="Arial" w:cs="Arial" w:eastAsia="Arial" w:hAnsi="Arial"/>
          <w:sz w:val="18"/>
          <w:szCs w:val="18"/>
          <w:u w:val="single" w:color="auto"/>
          <w:color w:val="0000FF"/>
        </w:rPr>
        <w:t>Note 7 - Debt</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2022,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nine months ended September 30, 2022 and 2021 were as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Nine Months Ended September 30,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Record Date</w:t>
            </w: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10,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24, 2022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7, 2022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2022 - March 31, 2022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229"/>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June 9, 2022</w:t>
            </w:r>
          </w:p>
        </w:tc>
        <w:tc>
          <w:tcPr>
            <w:tcW w:w="20" w:type="dxa"/>
            <w:vAlign w:val="bottom"/>
          </w:tcPr>
          <w:p>
            <w:pPr>
              <w:spacing w:after="0"/>
              <w:rPr>
                <w:sz w:val="19"/>
                <w:szCs w:val="19"/>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23, 2022</w:t>
            </w:r>
          </w:p>
        </w:tc>
        <w:tc>
          <w:tcPr>
            <w:tcW w:w="20" w:type="dxa"/>
            <w:vAlign w:val="bottom"/>
          </w:tcPr>
          <w:p>
            <w:pPr>
              <w:spacing w:after="0"/>
              <w:rPr>
                <w:sz w:val="19"/>
                <w:szCs w:val="19"/>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July 7, 2022</w:t>
            </w:r>
          </w:p>
        </w:tc>
        <w:tc>
          <w:tcPr>
            <w:tcW w:w="20" w:type="dxa"/>
            <w:vAlign w:val="bottom"/>
          </w:tcPr>
          <w:p>
            <w:pPr>
              <w:spacing w:after="0"/>
              <w:rPr>
                <w:sz w:val="19"/>
                <w:szCs w:val="19"/>
                <w:color w:val="auto"/>
              </w:rPr>
            </w:pPr>
          </w:p>
        </w:tc>
        <w:tc>
          <w:tcPr>
            <w:tcW w:w="34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2021 - June 30, 2022</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0.3600</w:t>
            </w:r>
          </w:p>
        </w:tc>
      </w:tr>
      <w:tr>
        <w:trPr>
          <w:trHeight w:val="230"/>
        </w:trPr>
        <w:tc>
          <w:tcPr>
            <w:tcW w:w="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8, 2022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22, 2022</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6, 2022</w:t>
            </w:r>
          </w:p>
        </w:tc>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2022 - September 30, 2022</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0.3900</w:t>
            </w:r>
          </w:p>
        </w:tc>
      </w:tr>
      <w:tr>
        <w:trPr>
          <w:trHeight w:val="496"/>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7"/>
          </w:tcPr>
          <w:p>
            <w:pPr>
              <w:ind w:left="200"/>
              <w:spacing w:after="0"/>
              <w:rPr>
                <w:sz w:val="20"/>
                <w:szCs w:val="20"/>
                <w:color w:val="auto"/>
              </w:rPr>
            </w:pPr>
            <w:r>
              <w:rPr>
                <w:rFonts w:ascii="Arial" w:cs="Arial" w:eastAsia="Arial" w:hAnsi="Arial"/>
                <w:sz w:val="16"/>
                <w:szCs w:val="16"/>
                <w:b w:val="1"/>
                <w:bCs w:val="1"/>
                <w:color w:val="auto"/>
              </w:rPr>
              <w:t>Nine Months Ended September 30, 2021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Pr>
          <w:p>
            <w:pPr>
              <w:spacing w:after="0"/>
              <w:rPr>
                <w:sz w:val="18"/>
                <w:szCs w:val="18"/>
                <w:color w:val="auto"/>
              </w:rPr>
            </w:pPr>
          </w:p>
        </w:tc>
        <w:tc>
          <w:tcPr>
            <w:tcW w:w="3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9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January 1, 2021 - March 31, 2021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10, 2021</w:t>
            </w:r>
          </w:p>
        </w:tc>
        <w:tc>
          <w:tcPr>
            <w:tcW w:w="20" w:type="dxa"/>
            <w:vAlign w:val="bottom"/>
          </w:tcPr>
          <w:p>
            <w:pPr>
              <w:spacing w:after="0"/>
              <w:rPr>
                <w:sz w:val="19"/>
                <w:szCs w:val="19"/>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June 24, 2021</w:t>
            </w:r>
          </w:p>
        </w:tc>
        <w:tc>
          <w:tcPr>
            <w:tcW w:w="20" w:type="dxa"/>
            <w:vAlign w:val="bottom"/>
          </w:tcPr>
          <w:p>
            <w:pPr>
              <w:spacing w:after="0"/>
              <w:rPr>
                <w:sz w:val="19"/>
                <w:szCs w:val="19"/>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July 8, 2021</w:t>
            </w:r>
          </w:p>
        </w:tc>
        <w:tc>
          <w:tcPr>
            <w:tcW w:w="20" w:type="dxa"/>
            <w:vAlign w:val="bottom"/>
          </w:tcPr>
          <w:p>
            <w:pPr>
              <w:spacing w:after="0"/>
              <w:rPr>
                <w:sz w:val="19"/>
                <w:szCs w:val="19"/>
                <w:color w:val="auto"/>
              </w:rPr>
            </w:pPr>
          </w:p>
        </w:tc>
        <w:tc>
          <w:tcPr>
            <w:tcW w:w="34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2021 - June 30, 2021</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 w:type="dxa"/>
            <w:vAlign w:val="bottom"/>
          </w:tcPr>
          <w:p>
            <w:pPr>
              <w:spacing w:after="0"/>
              <w:rPr>
                <w:sz w:val="19"/>
                <w:szCs w:val="19"/>
                <w:color w:val="auto"/>
              </w:rPr>
            </w:pPr>
          </w:p>
        </w:tc>
        <w:tc>
          <w:tcPr>
            <w:tcW w:w="19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August 4, 2021</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24, 2021</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7, 2021</w:t>
            </w:r>
          </w:p>
        </w:tc>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2021 - September 30, 2021</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0.3600</w:t>
            </w: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84" w:lineRule="exact"/>
        <w:rPr>
          <w:sz w:val="20"/>
          <w:szCs w:val="20"/>
          <w:color w:val="auto"/>
        </w:rPr>
      </w:pPr>
    </w:p>
    <w:p>
      <w:pPr>
        <w:jc w:val="both"/>
        <w:spacing w:after="0" w:line="259" w:lineRule="auto"/>
        <w:rPr>
          <w:rFonts w:ascii="Arial" w:cs="Arial" w:eastAsia="Arial" w:hAnsi="Arial"/>
          <w:sz w:val="18"/>
          <w:szCs w:val="18"/>
          <w:color w:val="0000FF"/>
        </w:rPr>
      </w:pPr>
      <w:hyperlink r:id="rId81">
        <w:r>
          <w:rPr>
            <w:rFonts w:ascii="Arial" w:cs="Arial" w:eastAsia="Arial" w:hAnsi="Arial"/>
            <w:sz w:val="18"/>
            <w:szCs w:val="18"/>
            <w:color w:val="auto"/>
          </w:rPr>
          <w:t xml:space="preserve">A complete discussion of our critical accounting policies and estimates is included in our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2021</w:t>
        </w:r>
        <w:r>
          <w:rPr>
            <w:rFonts w:ascii="Arial" w:cs="Arial" w:eastAsia="Arial" w:hAnsi="Arial"/>
            <w:sz w:val="18"/>
            <w:szCs w:val="18"/>
            <w:color w:val="0000FF"/>
          </w:rPr>
          <w:t xml:space="preserve"> </w:t>
        </w:r>
        <w:r>
          <w:rPr>
            <w:rFonts w:ascii="Arial" w:cs="Arial" w:eastAsia="Arial" w:hAnsi="Arial"/>
            <w:sz w:val="18"/>
            <w:szCs w:val="18"/>
            <w:color w:val="000000"/>
          </w:rPr>
          <w:t>and VICI LP’s Management’s Discussion and Analysis of Financial Condition and Results of Operations included as an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exhibit to the Current Report</w:t>
        </w:r>
      </w:hyperlink>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FF"/>
          </w:rPr>
          <w:t>on Form 8-K filed on April 18, 2022</w:t>
        </w:r>
        <w:r>
          <w:rPr>
            <w:rFonts w:ascii="Arial" w:cs="Arial" w:eastAsia="Arial" w:hAnsi="Arial"/>
            <w:sz w:val="18"/>
            <w:szCs w:val="18"/>
            <w:color w:val="000000"/>
          </w:rPr>
          <w:t>. There have been no significant changes in our critical policies and estimates for the nine months ended September 30,</w:t>
        </w:r>
      </w:hyperlink>
      <w:r>
        <w:rPr>
          <w:rFonts w:ascii="Arial" w:cs="Arial" w:eastAsia="Arial" w:hAnsi="Arial"/>
          <w:sz w:val="18"/>
          <w:szCs w:val="18"/>
          <w:color w:val="0000FF"/>
        </w:rPr>
        <w:t xml:space="preserve"> </w:t>
      </w:r>
      <w:r>
        <w:rPr>
          <w:rFonts w:ascii="Arial" w:cs="Arial" w:eastAsia="Arial" w:hAnsi="Arial"/>
          <w:sz w:val="18"/>
          <w:szCs w:val="18"/>
          <w:color w:val="000000"/>
        </w:rPr>
        <w:t>2022.</w:t>
      </w:r>
    </w:p>
    <w:p>
      <w:pPr>
        <w:spacing w:after="0" w:line="187"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rFonts w:ascii="Arial" w:cs="Arial" w:eastAsia="Arial" w:hAnsi="Arial"/>
          <w:sz w:val="18"/>
          <w:szCs w:val="18"/>
          <w:color w:val="auto"/>
        </w:rPr>
      </w:pPr>
    </w:p>
    <w:p>
      <w:pPr>
        <w:jc w:val="both"/>
        <w:spacing w:after="0" w:line="311" w:lineRule="auto"/>
        <w:rPr>
          <w:sz w:val="20"/>
          <w:szCs w:val="20"/>
          <w:color w:val="auto"/>
        </w:rPr>
      </w:pPr>
      <w:r>
        <w:rPr>
          <w:rFonts w:ascii="Arial" w:cs="Arial" w:eastAsia="Arial" w:hAnsi="Arial"/>
          <w:sz w:val="16"/>
          <w:szCs w:val="16"/>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September 30, 2022, excluding our proportionate share of the debt at the BREIT JV, we had $13,950.0 million aggregate principal amount of outstanding indebtedness, all of which has fixed rate interest.</w:t>
      </w:r>
    </w:p>
    <w:p>
      <w:pPr>
        <w:spacing w:after="0" w:line="95"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Markets Risks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 Properties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VICI’s internal control over financial reporting (as defined in Rules 13a-15(f) and 15d-15(f) under the Exchange Act) that occurred during the three months ended September 30, 2022, that have materially affected, or are reasonably likely to materially affect, VICI’s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VICI Properties L.P.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VICI LP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VICI LP’s internal control over financial reporting (as defined in Rules 13a-15(f) and 15d-15(f) under the Exchange Act) that occurred during the three months ended September 30, 2022, that have materially affected, or are reasonably likely to materially affect, VICI LP’s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information contained under the heading “Litigation” in </w:t>
      </w:r>
      <w:r>
        <w:rPr>
          <w:rFonts w:ascii="Arial" w:cs="Arial" w:eastAsia="Arial" w:hAnsi="Arial"/>
          <w:sz w:val="18"/>
          <w:szCs w:val="18"/>
          <w:u w:val="single" w:color="auto"/>
          <w:color w:val="0000FF"/>
        </w:rPr>
        <w:t>Note 10 - Commitments and Contingent Liabilities</w:t>
      </w:r>
      <w:r>
        <w:rPr>
          <w:rFonts w:ascii="Arial" w:cs="Arial" w:eastAsia="Arial" w:hAnsi="Arial"/>
          <w:sz w:val="18"/>
          <w:szCs w:val="18"/>
          <w:color w:val="auto"/>
        </w:rPr>
        <w:t xml:space="preserve"> to our Financial Statements included in this report is incorporated by reference into this Item 1.</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spacing w:after="0" w:line="277" w:lineRule="auto"/>
        <w:rPr>
          <w:rFonts w:ascii="Arial" w:cs="Arial" w:eastAsia="Arial" w:hAnsi="Arial"/>
          <w:sz w:val="18"/>
          <w:szCs w:val="18"/>
          <w:color w:val="0000FF"/>
        </w:rPr>
      </w:pPr>
      <w:hyperlink r:id="rId81">
        <w:r>
          <w:rPr>
            <w:rFonts w:ascii="Arial" w:cs="Arial" w:eastAsia="Arial" w:hAnsi="Arial"/>
            <w:sz w:val="18"/>
            <w:szCs w:val="18"/>
            <w:color w:val="auto"/>
          </w:rPr>
          <w:t xml:space="preserve">A description of certain factors that may affect our future results and risk factors is set forth in our </w:t>
        </w:r>
        <w:r>
          <w:rPr>
            <w:rFonts w:ascii="Arial" w:cs="Arial" w:eastAsia="Arial" w:hAnsi="Arial"/>
            <w:sz w:val="18"/>
            <w:szCs w:val="18"/>
            <w:u w:val="single" w:color="auto"/>
            <w:color w:val="0000FF"/>
          </w:rPr>
          <w:t>Annual Report on Form 10-K for the year ended</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December 31, 2021</w:t>
        </w:r>
        <w:r>
          <w:rPr>
            <w:rFonts w:ascii="Arial" w:cs="Arial" w:eastAsia="Arial" w:hAnsi="Arial"/>
            <w:sz w:val="18"/>
            <w:szCs w:val="18"/>
            <w:color w:val="000000"/>
          </w:rPr>
          <w:t>. There have been no material changes to those factors for the nine months ended September 30, 2022.</w:t>
        </w:r>
      </w:hyperlink>
    </w:p>
    <w:p>
      <w:pPr>
        <w:spacing w:after="0" w:line="17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2022, VICI did not repurchase any equity securities registered pursuant to Section 12 of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Properties L.P.</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September 30, 2022, VICI LP did not repurchase any equity securities registered pursuant to Section 12 of the Exchange Act.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5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20" w:type="dxa"/>
            <w:vAlign w:val="bottom"/>
            <w:gridSpan w:val="4"/>
          </w:tcPr>
          <w:p>
            <w:pPr>
              <w:spacing w:after="0"/>
              <w:rPr>
                <w:sz w:val="20"/>
                <w:szCs w:val="20"/>
                <w:color w:val="auto"/>
              </w:rPr>
            </w:pPr>
            <w:r>
              <w:rPr>
                <w:rFonts w:ascii="Arial" w:cs="Arial" w:eastAsia="Arial" w:hAnsi="Arial"/>
                <w:sz w:val="22"/>
                <w:szCs w:val="22"/>
                <w:b w:val="1"/>
                <w:bCs w:val="1"/>
                <w:color w:val="auto"/>
              </w:rPr>
              <w:t>Item 6.</w:t>
            </w:r>
          </w:p>
        </w:tc>
        <w:tc>
          <w:tcPr>
            <w:tcW w:w="40" w:type="dxa"/>
            <w:vAlign w:val="bottom"/>
          </w:tcPr>
          <w:p>
            <w:pPr>
              <w:spacing w:after="0"/>
              <w:rPr>
                <w:sz w:val="24"/>
                <w:szCs w:val="24"/>
                <w:color w:val="auto"/>
              </w:rPr>
            </w:pPr>
          </w:p>
        </w:tc>
        <w:tc>
          <w:tcPr>
            <w:tcW w:w="5640" w:type="dxa"/>
            <w:vAlign w:val="bottom"/>
            <w:gridSpan w:val="8"/>
          </w:tcPr>
          <w:p>
            <w:pPr>
              <w:ind w:left="14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467"/>
        </w:trPr>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24"/>
                <w:szCs w:val="24"/>
                <w:color w:val="auto"/>
              </w:rPr>
            </w:pPr>
          </w:p>
        </w:tc>
        <w:tc>
          <w:tcPr>
            <w:tcW w:w="5640" w:type="dxa"/>
            <w:vAlign w:val="bottom"/>
            <w:gridSpan w:val="8"/>
            <w:vMerge w:val="restart"/>
          </w:tcPr>
          <w:p>
            <w:pPr>
              <w:ind w:left="2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40" w:type="dxa"/>
            <w:vAlign w:val="bottom"/>
          </w:tcPr>
          <w:p>
            <w:pPr>
              <w:spacing w:after="0"/>
              <w:rPr>
                <w:sz w:val="16"/>
                <w:szCs w:val="16"/>
                <w:color w:val="auto"/>
              </w:rPr>
            </w:pPr>
          </w:p>
        </w:tc>
        <w:tc>
          <w:tcPr>
            <w:tcW w:w="56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20" w:type="dxa"/>
            <w:vAlign w:val="bottom"/>
            <w:tcBorders>
              <w:top w:val="single" w:sz="8" w:color="auto"/>
            </w:tcBorders>
            <w:gridSpan w:val="3"/>
          </w:tcPr>
          <w:p>
            <w:pPr>
              <w:jc w:val="center"/>
              <w:spacing w:after="0" w:line="189" w:lineRule="exact"/>
              <w:rPr>
                <w:sz w:val="20"/>
                <w:szCs w:val="20"/>
                <w:color w:val="auto"/>
              </w:rPr>
            </w:pPr>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640" w:type="dxa"/>
            <w:vAlign w:val="bottom"/>
            <w:tcBorders>
              <w:top w:val="single" w:sz="8" w:color="auto"/>
            </w:tcBorders>
            <w:gridSpan w:val="8"/>
          </w:tcPr>
          <w:p>
            <w:pPr>
              <w:spacing w:after="0" w:line="189" w:lineRule="exact"/>
              <w:rPr>
                <w:sz w:val="20"/>
                <w:szCs w:val="20"/>
                <w:color w:val="auto"/>
              </w:rPr>
            </w:pPr>
            <w:r>
              <w:rPr>
                <w:rFonts w:ascii="Arial" w:cs="Arial" w:eastAsia="Arial" w:hAnsi="Arial"/>
                <w:sz w:val="18"/>
                <w:szCs w:val="18"/>
                <w:color w:val="0000FF"/>
                <w:w w:val="90"/>
              </w:rPr>
              <w:t>Eleventh Amendment to Regional Lease, dated as of August 25, 2022, by and</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8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among the entities listed on Schedules A and B thereto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5"/>
              </w:rPr>
              <w:t>VICI Properties Inc.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8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6"/>
              </w:rPr>
              <w:t>VICI Properties Inc.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5"/>
              </w:rPr>
              <w:t>VICI Properties L.P.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6"/>
              </w:rPr>
              <w:t>VICI Properties L.P.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5"/>
              </w:rPr>
              <w:t>VICI Properties Inc.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8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6"/>
              </w:rPr>
              <w:t>VICI Properties Inc.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5"/>
              </w:rPr>
              <w:t>VICI Properties L.P.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5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jc w:val="center"/>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0000FF"/>
                <w:w w:val="96"/>
              </w:rPr>
              <w:t>VICI Properties L.P.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Section 906 of the Sarbanes-Oxley Act of 2002.</w:t>
            </w:r>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gridSpan w:val="4"/>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101.INS</w:t>
            </w:r>
          </w:p>
        </w:tc>
        <w:tc>
          <w:tcPr>
            <w:tcW w:w="40" w:type="dxa"/>
            <w:vAlign w:val="bottom"/>
          </w:tcPr>
          <w:p>
            <w:pPr>
              <w:spacing w:after="0"/>
              <w:rPr>
                <w:sz w:val="22"/>
                <w:szCs w:val="22"/>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w w:val="95"/>
              </w:rPr>
              <w:t>XBRL Instance Document - the instance document does not appear in the</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40" w:type="dxa"/>
            <w:vAlign w:val="bottom"/>
            <w:gridSpan w:val="8"/>
          </w:tcPr>
          <w:p>
            <w:pPr>
              <w:spacing w:after="0" w:line="176" w:lineRule="exact"/>
              <w:rPr>
                <w:sz w:val="20"/>
                <w:szCs w:val="20"/>
                <w:color w:val="auto"/>
              </w:rPr>
            </w:pPr>
            <w:r>
              <w:rPr>
                <w:rFonts w:ascii="Arial" w:cs="Arial" w:eastAsia="Arial" w:hAnsi="Arial"/>
                <w:sz w:val="18"/>
                <w:szCs w:val="18"/>
                <w:color w:val="auto"/>
                <w:w w:val="94"/>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101.SCH</w:t>
            </w:r>
          </w:p>
        </w:tc>
        <w:tc>
          <w:tcPr>
            <w:tcW w:w="40" w:type="dxa"/>
            <w:vAlign w:val="bottom"/>
          </w:tcPr>
          <w:p>
            <w:pPr>
              <w:spacing w:after="0"/>
              <w:rPr>
                <w:sz w:val="24"/>
                <w:szCs w:val="24"/>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97"/>
              </w:rPr>
              <w:t>101.CAL</w:t>
            </w:r>
          </w:p>
        </w:tc>
        <w:tc>
          <w:tcPr>
            <w:tcW w:w="40" w:type="dxa"/>
            <w:vAlign w:val="bottom"/>
          </w:tcPr>
          <w:p>
            <w:pPr>
              <w:spacing w:after="0"/>
              <w:rPr>
                <w:sz w:val="24"/>
                <w:szCs w:val="24"/>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12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101.DEF</w:t>
            </w:r>
          </w:p>
        </w:tc>
        <w:tc>
          <w:tcPr>
            <w:tcW w:w="40" w:type="dxa"/>
            <w:vAlign w:val="bottom"/>
          </w:tcPr>
          <w:p>
            <w:pPr>
              <w:spacing w:after="0"/>
              <w:rPr>
                <w:sz w:val="24"/>
                <w:szCs w:val="24"/>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98"/>
              </w:rPr>
              <w:t>101.LAB</w:t>
            </w:r>
          </w:p>
        </w:tc>
        <w:tc>
          <w:tcPr>
            <w:tcW w:w="40" w:type="dxa"/>
            <w:vAlign w:val="bottom"/>
          </w:tcPr>
          <w:p>
            <w:pPr>
              <w:spacing w:after="0"/>
              <w:rPr>
                <w:sz w:val="24"/>
                <w:szCs w:val="24"/>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12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101.PRE</w:t>
            </w:r>
          </w:p>
        </w:tc>
        <w:tc>
          <w:tcPr>
            <w:tcW w:w="40" w:type="dxa"/>
            <w:vAlign w:val="bottom"/>
          </w:tcPr>
          <w:p>
            <w:pPr>
              <w:spacing w:after="0"/>
              <w:rPr>
                <w:sz w:val="24"/>
                <w:szCs w:val="24"/>
                <w:color w:val="auto"/>
              </w:rPr>
            </w:pPr>
          </w:p>
        </w:tc>
        <w:tc>
          <w:tcPr>
            <w:tcW w:w="56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right="80" w:hanging="761"/>
        <w:spacing w:after="0" w:line="246" w:lineRule="auto"/>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6"/>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continue"/>
          </w:tcPr>
          <w:p>
            <w:pPr>
              <w:spacing w:after="0"/>
              <w:rPr>
                <w:sz w:val="10"/>
                <w:szCs w:val="10"/>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800" w:space="100"/>
            <w:col w:w="4340"/>
          </w:cols>
          <w:pgMar w:left="320" w:top="530"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L.P.</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200" w:type="dxa"/>
            <w:vAlign w:val="bottom"/>
          </w:tcPr>
          <w:p>
            <w:pPr>
              <w:spacing w:after="0"/>
              <w:rPr>
                <w:sz w:val="19"/>
                <w:szCs w:val="19"/>
                <w:color w:val="auto"/>
              </w:rPr>
            </w:pPr>
          </w:p>
        </w:tc>
      </w:tr>
      <w:tr>
        <w:trPr>
          <w:trHeight w:val="481"/>
        </w:trPr>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October 27, 2022</w:t>
            </w:r>
          </w:p>
        </w:tc>
      </w:tr>
      <w:tr>
        <w:trPr>
          <w:trHeight w:val="228"/>
        </w:trPr>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530" w:right="339" w:bottom="1440" w:gutter="0" w:footer="0" w:header="0"/>
        </w:sectPr>
      </w:pPr>
    </w:p>
    <w:bookmarkStart w:id="77" w:name="page78"/>
    <w:bookmarkEnd w:id="77"/>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ELEVENTH AMENDMENT TO LEASE</w:t>
      </w:r>
    </w:p>
    <w:p>
      <w:pPr>
        <w:spacing w:after="0" w:line="17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ELEVENTH AMENDMENT TO LEASE</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is entered into as of August 25, 2022,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Landlord</w:t>
      </w:r>
      <w:r>
        <w:rPr>
          <w:rFonts w:ascii="Arial" w:cs="Arial" w:eastAsia="Arial" w:hAnsi="Arial"/>
          <w:sz w:val="21"/>
          <w:szCs w:val="21"/>
          <w:color w:val="auto"/>
        </w:rPr>
        <w:t xml:space="preserve">”),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hereto (collectively, and together with their respective successors and assigns, “</w:t>
      </w:r>
      <w:r>
        <w:rPr>
          <w:rFonts w:ascii="Arial" w:cs="Arial" w:eastAsia="Arial" w:hAnsi="Arial"/>
          <w:sz w:val="21"/>
          <w:szCs w:val="21"/>
          <w:u w:val="single" w:color="auto"/>
          <w:color w:val="auto"/>
        </w:rPr>
        <w:t>Tenant</w:t>
      </w:r>
      <w:r>
        <w:rPr>
          <w:rFonts w:ascii="Arial" w:cs="Arial" w:eastAsia="Arial" w:hAnsi="Arial"/>
          <w:sz w:val="21"/>
          <w:szCs w:val="21"/>
          <w:color w:val="auto"/>
        </w:rPr>
        <w:t xml:space="preserve">”) and, solely for the purposes of the penultimate paragraph of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Lease (as defined below), Propco TRS LLC, a Delaware limited liability company (“</w:t>
      </w:r>
      <w:r>
        <w:rPr>
          <w:rFonts w:ascii="Arial" w:cs="Arial" w:eastAsia="Arial" w:hAnsi="Arial"/>
          <w:sz w:val="21"/>
          <w:szCs w:val="21"/>
          <w:u w:val="single" w:color="auto"/>
          <w:color w:val="auto"/>
        </w:rPr>
        <w:t>Propco TRS</w:t>
      </w:r>
      <w:r>
        <w:rPr>
          <w:rFonts w:ascii="Arial" w:cs="Arial" w:eastAsia="Arial" w:hAnsi="Arial"/>
          <w:sz w:val="21"/>
          <w:szCs w:val="21"/>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as amended by that certain Ninth Amendment to Lease, dated as of November 1, 2021, and as amended by that certain Tenth Amendment to Lease, dated as of December 30,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2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Miscellaneous Land LLC, as seller, and Ruben D. Villarreal and Nancy T. Villareal,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buyer, are closing a purchase and sale transaction under that certain Unimproved Property Contract, dated as of July 11, 2022, with respect to certain real property located in Splendora, Texas, which is described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Splendora Property</w:t>
      </w:r>
      <w:r>
        <w:rPr>
          <w:rFonts w:ascii="Arial" w:cs="Arial" w:eastAsia="Arial" w:hAnsi="Arial"/>
          <w:sz w:val="19"/>
          <w:szCs w:val="19"/>
          <w:color w:val="auto"/>
        </w:rPr>
        <w:t>”) (the purchase and sale of the Splendora Property is referred to herein as the “</w:t>
      </w:r>
      <w:r>
        <w:rPr>
          <w:rFonts w:ascii="Arial" w:cs="Arial" w:eastAsia="Arial" w:hAnsi="Arial"/>
          <w:sz w:val="19"/>
          <w:szCs w:val="19"/>
          <w:u w:val="single" w:color="auto"/>
          <w:color w:val="auto"/>
        </w:rPr>
        <w:t>Splendora Transaction</w:t>
      </w:r>
      <w:r>
        <w:rPr>
          <w:rFonts w:ascii="Arial" w:cs="Arial" w:eastAsia="Arial" w:hAnsi="Arial"/>
          <w:sz w:val="19"/>
          <w:szCs w:val="19"/>
          <w:color w:val="auto"/>
        </w:rPr>
        <w:t>”); and</w:t>
      </w:r>
    </w:p>
    <w:p>
      <w:pPr>
        <w:spacing w:after="0" w:line="9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Splendora Transaction is being consummated by Landlord pursuant to Section 18.3 of the Lease; and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therewith, the parties hereto desire to amend the Lease as set forth herein.</w:t>
      </w:r>
    </w:p>
    <w:p>
      <w:pPr>
        <w:spacing w:after="0" w:line="12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12" w:lineRule="exact"/>
        <w:rPr>
          <w:sz w:val="20"/>
          <w:szCs w:val="20"/>
          <w:color w:val="auto"/>
        </w:rPr>
      </w:pPr>
    </w:p>
    <w:p>
      <w:pPr>
        <w:ind w:firstLine="656"/>
        <w:spacing w:after="0" w:line="235" w:lineRule="auto"/>
        <w:tabs>
          <w:tab w:leader="none" w:pos="1296"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98" w:right="339" w:bottom="1440" w:gutter="0" w:footer="0" w:header="0"/>
        </w:sectPr>
      </w:pPr>
    </w:p>
    <w:bookmarkStart w:id="78" w:name="page79"/>
    <w:bookmarkEnd w:id="78"/>
    <w:p>
      <w:pPr>
        <w:ind w:left="644" w:hanging="644"/>
        <w:spacing w:after="0"/>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 Effective as of the date hereof:</w:t>
      </w:r>
    </w:p>
    <w:p>
      <w:pPr>
        <w:spacing w:after="0" w:line="185" w:lineRule="exact"/>
        <w:rPr>
          <w:rFonts w:ascii="Arial" w:cs="Arial" w:eastAsia="Arial" w:hAnsi="Arial"/>
          <w:sz w:val="22"/>
          <w:szCs w:val="22"/>
          <w:color w:val="auto"/>
        </w:rPr>
      </w:pPr>
    </w:p>
    <w:p>
      <w:pPr>
        <w:ind w:left="1284" w:hanging="636"/>
        <w:spacing w:after="0"/>
        <w:tabs>
          <w:tab w:leader="none" w:pos="1284"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Splendora Property</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44" w:firstLine="652"/>
        <w:spacing w:after="0" w:line="226" w:lineRule="auto"/>
        <w:tabs>
          <w:tab w:leader="none" w:pos="1932" w:val="left"/>
        </w:tabs>
        <w:numPr>
          <w:ilvl w:val="2"/>
          <w:numId w:val="48"/>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Splendora Property, the Splendora Property no longer constitutes Leased Property under the Lease, and neither Landlord nor Tenant has any further liabilities or obligations under the Lease, from and after the date hereof, in respect of the Splendora Property and the Splendora Facility (provided that any such liabilities or obligations arising prior to such date shall not be terminated, limited or affected by or upon entry into this Amendment); and</w:t>
      </w:r>
    </w:p>
    <w:p>
      <w:pPr>
        <w:spacing w:after="0" w:line="159" w:lineRule="exact"/>
        <w:rPr>
          <w:rFonts w:ascii="Arial" w:cs="Arial" w:eastAsia="Arial" w:hAnsi="Arial"/>
          <w:sz w:val="21"/>
          <w:szCs w:val="21"/>
          <w:color w:val="auto"/>
        </w:rPr>
      </w:pPr>
    </w:p>
    <w:p>
      <w:pPr>
        <w:jc w:val="both"/>
        <w:ind w:left="644" w:firstLine="652"/>
        <w:spacing w:after="0" w:line="212" w:lineRule="auto"/>
        <w:tabs>
          <w:tab w:leader="none" w:pos="1939"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the Guaranty hereby automatically, and without further action by any party, ceases to apply with respect to any Obligations (as defined in the Guaranty) with respect to the Splendora Property or the Splendora Facility to the extent arising from and after the date hereof (provided that any such Obligations arising prior to such date shall not be terminated, limited or affected by or upon entry into this Amendment). The term “</w:t>
      </w:r>
      <w:r>
        <w:rPr>
          <w:rFonts w:ascii="Arial" w:cs="Arial" w:eastAsia="Arial" w:hAnsi="Arial"/>
          <w:sz w:val="22"/>
          <w:szCs w:val="22"/>
          <w:u w:val="single" w:color="auto"/>
          <w:color w:val="auto"/>
        </w:rPr>
        <w:t>Splendora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Facility</w:t>
      </w:r>
      <w:r>
        <w:rPr>
          <w:rFonts w:ascii="Arial" w:cs="Arial" w:eastAsia="Arial" w:hAnsi="Arial"/>
          <w:sz w:val="22"/>
          <w:szCs w:val="22"/>
          <w:color w:val="auto"/>
        </w:rPr>
        <w:t xml:space="preserve">” refers to the applicable Facility identified as Facility 17 on the list of the Facilities annexed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the Lease (prior to giving effect to the replacement of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2.E.i</w:t>
      </w:r>
      <w:r>
        <w:rPr>
          <w:rFonts w:ascii="Arial" w:cs="Arial" w:eastAsia="Arial" w:hAnsi="Arial"/>
          <w:sz w:val="22"/>
          <w:szCs w:val="22"/>
          <w:color w:val="auto"/>
        </w:rPr>
        <w:t xml:space="preserve"> of this Amendment).</w:t>
      </w:r>
    </w:p>
    <w:p>
      <w:pPr>
        <w:spacing w:after="0" w:line="163" w:lineRule="exact"/>
        <w:rPr>
          <w:rFonts w:ascii="Arial" w:cs="Arial" w:eastAsia="Arial" w:hAnsi="Arial"/>
          <w:sz w:val="22"/>
          <w:szCs w:val="22"/>
          <w:color w:val="auto"/>
        </w:rPr>
      </w:pPr>
    </w:p>
    <w:p>
      <w:pPr>
        <w:jc w:val="both"/>
        <w:ind w:left="4" w:firstLine="644"/>
        <w:spacing w:after="0" w:line="223" w:lineRule="auto"/>
        <w:tabs>
          <w:tab w:leader="none" w:pos="1296"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Splendora Property from the Lease or otherwise as a result of the Splendora Transaction.</w:t>
      </w:r>
    </w:p>
    <w:p>
      <w:pPr>
        <w:spacing w:after="0" w:line="158" w:lineRule="exact"/>
        <w:rPr>
          <w:rFonts w:ascii="Arial" w:cs="Arial" w:eastAsia="Arial" w:hAnsi="Arial"/>
          <w:sz w:val="22"/>
          <w:szCs w:val="22"/>
          <w:color w:val="auto"/>
        </w:rPr>
      </w:pPr>
    </w:p>
    <w:p>
      <w:pPr>
        <w:jc w:val="both"/>
        <w:ind w:left="4" w:firstLine="644"/>
        <w:spacing w:after="0" w:line="234" w:lineRule="auto"/>
        <w:tabs>
          <w:tab w:leader="none" w:pos="1296"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Variable Rent</w:t>
      </w:r>
      <w:r>
        <w:rPr>
          <w:rFonts w:ascii="Arial" w:cs="Arial" w:eastAsia="Arial" w:hAnsi="Arial"/>
          <w:sz w:val="21"/>
          <w:szCs w:val="21"/>
          <w:color w:val="auto"/>
        </w:rPr>
        <w:t>. From and after the date hereof, for purposes of any calculation of Variable Rent under the Lease, including any adjustments in Variable Rent based on increases or decreases in Net Revenue, such calculations of Net Revenue shall exclude Net Revenue attributable to the Splendora Property.</w:t>
      </w:r>
    </w:p>
    <w:p>
      <w:pPr>
        <w:spacing w:after="0" w:line="157" w:lineRule="exact"/>
        <w:rPr>
          <w:rFonts w:ascii="Arial" w:cs="Arial" w:eastAsia="Arial" w:hAnsi="Arial"/>
          <w:sz w:val="21"/>
          <w:szCs w:val="21"/>
          <w:color w:val="auto"/>
        </w:rPr>
      </w:pPr>
    </w:p>
    <w:p>
      <w:pPr>
        <w:ind w:left="1284" w:hanging="636"/>
        <w:spacing w:after="0"/>
        <w:tabs>
          <w:tab w:leader="none" w:pos="1284"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Splendora Transaction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44" w:firstLine="733"/>
        <w:spacing w:after="0" w:line="216" w:lineRule="auto"/>
        <w:tabs>
          <w:tab w:leader="none" w:pos="1932" w:val="left"/>
        </w:tabs>
        <w:numPr>
          <w:ilvl w:val="3"/>
          <w:numId w:val="48"/>
        </w:numPr>
        <w:rPr>
          <w:rFonts w:ascii="Arial" w:cs="Arial" w:eastAsia="Arial" w:hAnsi="Arial"/>
          <w:sz w:val="22"/>
          <w:szCs w:val="22"/>
          <w:color w:val="auto"/>
        </w:rPr>
      </w:pPr>
      <w:r>
        <w:rPr>
          <w:rFonts w:ascii="Arial" w:cs="Arial" w:eastAsia="Arial" w:hAnsi="Arial"/>
          <w:sz w:val="22"/>
          <w:szCs w:val="22"/>
          <w:color w:val="auto"/>
        </w:rPr>
        <w:t>Each of Landlord and Tenant hereby acknowledges and agrees that the removal of the Splendora Property from the Lease was made in connection with Landlord’s conveyance of the Splendora Property pursuant to Section 18.3 of the Lease. The treatment of the Splendora Transaction hereunder is not intended to serve as a precedent for the treatment of future dispositions (if any) which may be effectuated under any applicable provision of the Lease or otherwise.</w:t>
      </w:r>
    </w:p>
    <w:p>
      <w:pPr>
        <w:spacing w:after="0" w:line="157" w:lineRule="exact"/>
        <w:rPr>
          <w:rFonts w:ascii="Arial" w:cs="Arial" w:eastAsia="Arial" w:hAnsi="Arial"/>
          <w:sz w:val="22"/>
          <w:szCs w:val="22"/>
          <w:color w:val="auto"/>
        </w:rPr>
      </w:pPr>
    </w:p>
    <w:p>
      <w:pPr>
        <w:ind w:left="4" w:firstLine="644"/>
        <w:spacing w:after="0" w:line="232" w:lineRule="auto"/>
        <w:tabs>
          <w:tab w:leader="none" w:pos="1297"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58" w:lineRule="exact"/>
        <w:rPr>
          <w:rFonts w:ascii="Arial" w:cs="Arial" w:eastAsia="Arial" w:hAnsi="Arial"/>
          <w:sz w:val="22"/>
          <w:szCs w:val="22"/>
          <w:color w:val="auto"/>
        </w:rPr>
      </w:pPr>
    </w:p>
    <w:p>
      <w:pPr>
        <w:jc w:val="both"/>
        <w:ind w:left="644" w:firstLine="814"/>
        <w:spacing w:after="0" w:line="223" w:lineRule="auto"/>
        <w:tabs>
          <w:tab w:leader="none" w:pos="1932" w:val="left"/>
        </w:tabs>
        <w:numPr>
          <w:ilvl w:val="4"/>
          <w:numId w:val="48"/>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amended such that the Splendora Property is hereby deleted from said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44" w:firstLine="814"/>
        <w:spacing w:after="0" w:line="218" w:lineRule="auto"/>
        <w:tabs>
          <w:tab w:leader="none" w:pos="1939" w:val="left"/>
        </w:tabs>
        <w:numPr>
          <w:ilvl w:val="4"/>
          <w:numId w:val="48"/>
        </w:numPr>
        <w:rPr>
          <w:rFonts w:ascii="Arial" w:cs="Arial" w:eastAsia="Arial" w:hAnsi="Arial"/>
          <w:sz w:val="22"/>
          <w:szCs w:val="22"/>
          <w:color w:val="auto"/>
        </w:rPr>
      </w:pPr>
      <w:r>
        <w:rPr>
          <w:rFonts w:ascii="Arial" w:cs="Arial" w:eastAsia="Arial" w:hAnsi="Arial"/>
          <w:sz w:val="22"/>
          <w:szCs w:val="22"/>
          <w:u w:val="single" w:color="auto"/>
          <w:color w:val="auto"/>
        </w:rPr>
        <w:t>Legal Description (Splendora Property)</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is hereby amended such that the legal description with respect to the Leased Property pertaining to the Splendora Property, as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395" w:right="339" w:bottom="1440" w:gutter="0" w:footer="0" w:header="0"/>
        </w:sectPr>
      </w:pPr>
    </w:p>
    <w:bookmarkStart w:id="79" w:name="page80"/>
    <w:bookmarkEnd w:id="79"/>
    <w:p>
      <w:pPr>
        <w:jc w:val="both"/>
        <w:ind w:left="1300" w:firstLine="814"/>
        <w:spacing w:after="0" w:line="223" w:lineRule="auto"/>
        <w:tabs>
          <w:tab w:leader="none" w:pos="2587"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 Title Policy relating solely to the Splendora Property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1300" w:firstLine="814"/>
        <w:spacing w:after="0" w:line="247" w:lineRule="auto"/>
        <w:tabs>
          <w:tab w:leader="none" w:pos="2574" w:val="left"/>
        </w:tabs>
        <w:numPr>
          <w:ilvl w:val="1"/>
          <w:numId w:val="49"/>
        </w:numPr>
        <w:rPr>
          <w:rFonts w:ascii="Arial" w:cs="Arial" w:eastAsia="Arial" w:hAnsi="Arial"/>
          <w:sz w:val="21"/>
          <w:szCs w:val="21"/>
          <w:color w:val="auto"/>
        </w:rPr>
      </w:pPr>
      <w:r>
        <w:rPr>
          <w:rFonts w:ascii="Arial" w:cs="Arial" w:eastAsia="Arial" w:hAnsi="Arial"/>
          <w:sz w:val="21"/>
          <w:szCs w:val="21"/>
          <w:u w:val="single" w:color="auto"/>
          <w:color w:val="auto"/>
        </w:rPr>
        <w:t>Permitted Property Sales</w:t>
      </w:r>
      <w:r>
        <w:rPr>
          <w:rFonts w:ascii="Arial" w:cs="Arial" w:eastAsia="Arial" w:hAnsi="Arial"/>
          <w:sz w:val="21"/>
          <w:szCs w:val="21"/>
          <w:color w:val="auto"/>
        </w:rPr>
        <w:t xml:space="preserve">. The list of properties set forth on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annexed to the Lease is hereby amended such that the following property listed thereon is hereby deleted from said </w:t>
      </w:r>
      <w:r>
        <w:rPr>
          <w:rFonts w:ascii="Arial" w:cs="Arial" w:eastAsia="Arial" w:hAnsi="Arial"/>
          <w:sz w:val="21"/>
          <w:szCs w:val="21"/>
          <w:u w:val="single" w:color="auto"/>
          <w:color w:val="auto"/>
        </w:rPr>
        <w:t>Schedule 7</w:t>
      </w:r>
      <w:r>
        <w:rPr>
          <w:rFonts w:ascii="Arial" w:cs="Arial" w:eastAsia="Arial" w:hAnsi="Arial"/>
          <w:sz w:val="21"/>
          <w:szCs w:val="21"/>
          <w:color w:val="auto"/>
        </w:rPr>
        <w: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92" w:lineRule="exact"/>
        <w:rPr>
          <w:rFonts w:ascii="Arial" w:cs="Arial" w:eastAsia="Arial" w:hAnsi="Arial"/>
          <w:sz w:val="21"/>
          <w:szCs w:val="21"/>
          <w:color w:val="auto"/>
        </w:rPr>
      </w:pPr>
    </w:p>
    <w:p>
      <w:pPr>
        <w:jc w:val="both"/>
        <w:ind w:firstLine="656"/>
        <w:spacing w:after="0" w:line="227" w:lineRule="auto"/>
        <w:tabs>
          <w:tab w:leader="none" w:pos="1296"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Splendora Property as of the date hereof in accordance with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of this Amendment).</w:t>
      </w:r>
    </w:p>
    <w:p>
      <w:pPr>
        <w:spacing w:after="0" w:line="153" w:lineRule="exact"/>
        <w:rPr>
          <w:rFonts w:ascii="Arial" w:cs="Arial" w:eastAsia="Arial" w:hAnsi="Arial"/>
          <w:sz w:val="21"/>
          <w:szCs w:val="21"/>
          <w:color w:val="auto"/>
        </w:rPr>
      </w:pPr>
    </w:p>
    <w:p>
      <w:pPr>
        <w:jc w:val="both"/>
        <w:ind w:firstLine="656"/>
        <w:spacing w:after="0" w:line="220"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-4305935</wp:posOffset>
            </wp:positionV>
            <wp:extent cx="5349240" cy="531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349240" cy="53149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80" w:name="page81"/>
    <w:bookmarkEnd w:id="80"/>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04" w:lineRule="auto"/>
        <w:rPr>
          <w:sz w:val="20"/>
          <w:szCs w:val="20"/>
          <w:color w:val="auto"/>
        </w:rPr>
      </w:pPr>
      <w:r>
        <w:rPr>
          <w:rFonts w:ascii="Arial" w:cs="Arial" w:eastAsia="Arial" w:hAnsi="Arial"/>
          <w:sz w:val="22"/>
          <w:szCs w:val="22"/>
          <w:b w:val="1"/>
          <w:bCs w:val="1"/>
          <w:color w:val="auto"/>
        </w:rPr>
        <w:t>HARRAH’S COUNCIL BLUFFS LLC</w:t>
      </w:r>
    </w:p>
    <w:p>
      <w:pPr>
        <w:spacing w:after="0" w:line="205" w:lineRule="auto"/>
        <w:rPr>
          <w:sz w:val="20"/>
          <w:szCs w:val="20"/>
          <w:color w:val="auto"/>
        </w:rPr>
      </w:pPr>
      <w:r>
        <w:rPr>
          <w:rFonts w:ascii="Arial" w:cs="Arial" w:eastAsia="Arial" w:hAnsi="Arial"/>
          <w:sz w:val="22"/>
          <w:szCs w:val="22"/>
          <w:b w:val="1"/>
          <w:bCs w:val="1"/>
          <w:color w:val="auto"/>
        </w:rPr>
        <w:t>HARRAH’S METROPOLIS LLC</w:t>
      </w:r>
    </w:p>
    <w:p>
      <w:pPr>
        <w:spacing w:after="0" w:line="205" w:lineRule="auto"/>
        <w:rPr>
          <w:sz w:val="20"/>
          <w:szCs w:val="20"/>
          <w:color w:val="auto"/>
        </w:rPr>
      </w:pPr>
      <w:r>
        <w:rPr>
          <w:rFonts w:ascii="Arial" w:cs="Arial" w:eastAsia="Arial" w:hAnsi="Arial"/>
          <w:sz w:val="22"/>
          <w:szCs w:val="22"/>
          <w:b w:val="1"/>
          <w:bCs w:val="1"/>
          <w:color w:val="auto"/>
        </w:rPr>
        <w:t>NEW HORSESHOE HAMMOND LLC</w:t>
      </w:r>
    </w:p>
    <w:p>
      <w:pPr>
        <w:spacing w:after="0" w:line="205" w:lineRule="auto"/>
        <w:rPr>
          <w:sz w:val="20"/>
          <w:szCs w:val="20"/>
          <w:color w:val="auto"/>
        </w:rPr>
      </w:pPr>
      <w:r>
        <w:rPr>
          <w:rFonts w:ascii="Arial" w:cs="Arial" w:eastAsia="Arial" w:hAnsi="Arial"/>
          <w:sz w:val="22"/>
          <w:szCs w:val="22"/>
          <w:b w:val="1"/>
          <w:bCs w:val="1"/>
          <w:color w:val="auto"/>
        </w:rPr>
        <w:t>NEW HARRAH’S NORTH KANSAS CITY LLC</w:t>
      </w:r>
    </w:p>
    <w:p>
      <w:pPr>
        <w:spacing w:after="0" w:line="205" w:lineRule="auto"/>
        <w:rPr>
          <w:sz w:val="20"/>
          <w:szCs w:val="20"/>
          <w:color w:val="auto"/>
        </w:rPr>
      </w:pPr>
      <w:r>
        <w:rPr>
          <w:rFonts w:ascii="Arial" w:cs="Arial" w:eastAsia="Arial" w:hAnsi="Arial"/>
          <w:sz w:val="22"/>
          <w:szCs w:val="22"/>
          <w:b w:val="1"/>
          <w:bCs w:val="1"/>
          <w:color w:val="auto"/>
        </w:rPr>
        <w:t>GRAND BILOXI LLC</w:t>
      </w:r>
    </w:p>
    <w:p>
      <w:pPr>
        <w:spacing w:after="0" w:line="205" w:lineRule="auto"/>
        <w:rPr>
          <w:sz w:val="20"/>
          <w:szCs w:val="20"/>
          <w:color w:val="auto"/>
        </w:rPr>
      </w:pPr>
      <w:r>
        <w:rPr>
          <w:rFonts w:ascii="Arial" w:cs="Arial" w:eastAsia="Arial" w:hAnsi="Arial"/>
          <w:sz w:val="22"/>
          <w:szCs w:val="22"/>
          <w:b w:val="1"/>
          <w:bCs w:val="1"/>
          <w:color w:val="auto"/>
        </w:rPr>
        <w:t>HORSESHOE TUNICA LLC</w:t>
      </w:r>
    </w:p>
    <w:p>
      <w:pPr>
        <w:spacing w:after="0" w:line="205" w:lineRule="auto"/>
        <w:rPr>
          <w:sz w:val="20"/>
          <w:szCs w:val="20"/>
          <w:color w:val="auto"/>
        </w:rPr>
      </w:pPr>
      <w:r>
        <w:rPr>
          <w:rFonts w:ascii="Arial" w:cs="Arial" w:eastAsia="Arial" w:hAnsi="Arial"/>
          <w:sz w:val="22"/>
          <w:szCs w:val="22"/>
          <w:b w:val="1"/>
          <w:bCs w:val="1"/>
          <w:color w:val="auto"/>
        </w:rPr>
        <w:t>NEW TUNICA ROADHOUSE LLC</w:t>
      </w:r>
    </w:p>
    <w:p>
      <w:pPr>
        <w:spacing w:after="0" w:line="205" w:lineRule="auto"/>
        <w:rPr>
          <w:sz w:val="20"/>
          <w:szCs w:val="20"/>
          <w:color w:val="auto"/>
        </w:rPr>
      </w:pPr>
      <w:r>
        <w:rPr>
          <w:rFonts w:ascii="Arial" w:cs="Arial" w:eastAsia="Arial" w:hAnsi="Arial"/>
          <w:sz w:val="22"/>
          <w:szCs w:val="22"/>
          <w:b w:val="1"/>
          <w:bCs w:val="1"/>
          <w:color w:val="auto"/>
        </w:rPr>
        <w:t>CAESARS ATLANTIC CITY LLC</w:t>
      </w:r>
    </w:p>
    <w:p>
      <w:pPr>
        <w:ind w:right="7400" w:firstLine="8"/>
        <w:spacing w:after="0" w:line="207" w:lineRule="auto"/>
        <w:tabs>
          <w:tab w:leader="none" w:pos="70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PROPCO LLC HARRAH’S LAKE TAHOE LLC HARVEY’S LAKE TAHOE LLC HARRAH’S RENO LLC VEGAS DEVELOPMENT LLC VEGAS OPERATING PROPERTY LLC MISCELLANEOUS LAND LLC PROPCO GULFPORT LLC PHILADELPHIA PROPCO LLC HARRAH’S ATLANTIC CITY LLC NEW LAUGHLIN OWNER LLC HARRAH’S NEW ORLEANS LLC </w:t>
      </w:r>
      <w:r>
        <w:rPr>
          <w:rFonts w:ascii="Arial" w:cs="Arial" w:eastAsia="Arial" w:hAnsi="Arial"/>
          <w:sz w:val="22"/>
          <w:szCs w:val="22"/>
          <w:color w:val="auto"/>
        </w:rPr>
        <w:t>each, a Delaware limited liability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1734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a Louisiana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1186180</wp:posOffset>
            </wp:positionH>
            <wp:positionV relativeFrom="paragraph">
              <wp:posOffset>-5715</wp:posOffset>
            </wp:positionV>
            <wp:extent cx="274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Eleventh Amendment to Regional Lease]</w:t>
      </w:r>
    </w:p>
    <w:p>
      <w:pPr>
        <w:sectPr>
          <w:pgSz w:w="11900" w:h="16838" w:orient="portrait"/>
          <w:cols w:equalWidth="0" w:num="1">
            <w:col w:w="11240"/>
          </w:cols>
          <w:pgMar w:left="320" w:top="1401" w:right="339" w:bottom="1440" w:gutter="0" w:footer="0" w:header="0"/>
        </w:sectPr>
      </w:pPr>
    </w:p>
    <w:bookmarkStart w:id="81" w:name="page82"/>
    <w:bookmarkEnd w:id="81"/>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4" w:lineRule="auto"/>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15" w:lineRule="auto"/>
        <w:rPr>
          <w:sz w:val="20"/>
          <w:szCs w:val="20"/>
          <w:color w:val="auto"/>
        </w:rPr>
      </w:pPr>
      <w:r>
        <w:rPr>
          <w:rFonts w:ascii="Arial" w:cs="Arial" w:eastAsia="Arial" w:hAnsi="Arial"/>
          <w:sz w:val="21"/>
          <w:szCs w:val="21"/>
          <w:b w:val="1"/>
          <w:bCs w:val="1"/>
          <w:color w:val="auto"/>
        </w:rPr>
        <w:t>SOUTHERN ILLINOIS RIVERBOAT/CASINO CRUISES LLC</w:t>
      </w:r>
      <w:r>
        <w:rPr>
          <w:rFonts w:ascii="Arial" w:cs="Arial" w:eastAsia="Arial" w:hAnsi="Arial"/>
          <w:sz w:val="21"/>
          <w:szCs w:val="21"/>
          <w:color w:val="auto"/>
        </w:rPr>
        <w:t>, an Illinois limited liability company,</w:t>
      </w:r>
    </w:p>
    <w:p>
      <w:pPr>
        <w:spacing w:after="0" w:line="205" w:lineRule="auto"/>
        <w:rPr>
          <w:sz w:val="20"/>
          <w:szCs w:val="20"/>
          <w:color w:val="auto"/>
        </w:rPr>
      </w:pPr>
      <w:r>
        <w:rPr>
          <w:rFonts w:ascii="Arial" w:cs="Arial" w:eastAsia="Arial" w:hAnsi="Arial"/>
          <w:sz w:val="22"/>
          <w:szCs w:val="22"/>
          <w:b w:val="1"/>
          <w:bCs w:val="1"/>
          <w:color w:val="auto"/>
        </w:rPr>
        <w:t>HORSESHOE HAMMOND, LLC</w:t>
      </w:r>
      <w:r>
        <w:rPr>
          <w:rFonts w:ascii="Arial" w:cs="Arial" w:eastAsia="Arial" w:hAnsi="Arial"/>
          <w:sz w:val="22"/>
          <w:szCs w:val="22"/>
          <w:color w:val="auto"/>
        </w:rPr>
        <w:t>, an Indiana limited liability company,</w:t>
      </w:r>
    </w:p>
    <w:p>
      <w:pPr>
        <w:spacing w:after="0" w:line="205"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05"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05"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05"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05"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205" w:lineRule="auto"/>
        <w:rPr>
          <w:sz w:val="20"/>
          <w:szCs w:val="20"/>
          <w:color w:val="auto"/>
        </w:rPr>
      </w:pPr>
      <w:r>
        <w:rPr>
          <w:rFonts w:ascii="Arial" w:cs="Arial" w:eastAsia="Arial" w:hAnsi="Arial"/>
          <w:sz w:val="22"/>
          <w:szCs w:val="22"/>
          <w:b w:val="1"/>
          <w:bCs w:val="1"/>
          <w:color w:val="auto"/>
        </w:rPr>
        <w:t>HARVEYS TAHOE MANAGEMENT COMPANY LLC</w:t>
      </w:r>
      <w:r>
        <w:rPr>
          <w:rFonts w:ascii="Arial" w:cs="Arial" w:eastAsia="Arial" w:hAnsi="Arial"/>
          <w:sz w:val="22"/>
          <w:szCs w:val="22"/>
          <w:color w:val="auto"/>
        </w:rPr>
        <w:t>, a Nevada limited liability company,</w:t>
      </w:r>
    </w:p>
    <w:p>
      <w:pPr>
        <w:spacing w:after="0" w:line="204"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05"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05"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81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[Signature Page to Eleventh Amendment to Regional Lease]</w:t>
      </w:r>
    </w:p>
    <w:p>
      <w:pPr>
        <w:sectPr>
          <w:pgSz w:w="11900" w:h="16838" w:orient="portrait"/>
          <w:cols w:equalWidth="0" w:num="1">
            <w:col w:w="10139"/>
          </w:cols>
          <w:pgMar w:left="320" w:top="1440" w:right="1440"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HORSESHOE ENTERTAINMENT,</w:t>
      </w:r>
    </w:p>
    <w:p>
      <w:pPr>
        <w:spacing w:after="0"/>
        <w:rPr>
          <w:sz w:val="20"/>
          <w:szCs w:val="20"/>
          <w:color w:val="auto"/>
        </w:rPr>
      </w:pPr>
      <w:r>
        <w:rPr>
          <w:rFonts w:ascii="Arial" w:cs="Arial" w:eastAsia="Arial" w:hAnsi="Arial"/>
          <w:sz w:val="22"/>
          <w:szCs w:val="22"/>
          <w:color w:val="auto"/>
        </w:rPr>
        <w:t>a Louisiana limited partnership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04" w:lineRule="auto"/>
        <w:rPr>
          <w:sz w:val="20"/>
          <w:szCs w:val="20"/>
          <w:color w:val="auto"/>
        </w:rPr>
      </w:pPr>
      <w:r>
        <w:rPr>
          <w:rFonts w:ascii="Arial" w:cs="Arial" w:eastAsia="Arial" w:hAnsi="Arial"/>
          <w:sz w:val="22"/>
          <w:szCs w:val="22"/>
          <w:color w:val="auto"/>
        </w:rPr>
        <w:t>a Nevada limited partnership,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16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1281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rPr>
          <w:sz w:val="20"/>
          <w:szCs w:val="20"/>
          <w:color w:val="auto"/>
        </w:rPr>
      </w:pPr>
      <w:r>
        <w:rPr>
          <w:rFonts w:ascii="Arial" w:cs="Arial" w:eastAsia="Arial" w:hAnsi="Arial"/>
          <w:sz w:val="22"/>
          <w:szCs w:val="22"/>
          <w:color w:val="auto"/>
        </w:rPr>
        <w:t>a New Jersey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04" w:lineRule="auto"/>
        <w:rPr>
          <w:sz w:val="20"/>
          <w:szCs w:val="20"/>
          <w:color w:val="auto"/>
        </w:rPr>
      </w:pPr>
      <w:r>
        <w:rPr>
          <w:rFonts w:ascii="Arial" w:cs="Arial" w:eastAsia="Arial" w:hAnsi="Arial"/>
          <w:sz w:val="22"/>
          <w:szCs w:val="22"/>
          <w:color w:val="auto"/>
        </w:rPr>
        <w:t>a New Jersey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814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rPr>
          <w:sz w:val="20"/>
          <w:szCs w:val="20"/>
          <w:color w:val="auto"/>
        </w:rPr>
      </w:pPr>
      <w:r>
        <w:rPr>
          <w:rFonts w:ascii="Arial" w:cs="Arial" w:eastAsia="Arial" w:hAnsi="Arial"/>
          <w:sz w:val="22"/>
          <w:szCs w:val="22"/>
          <w:color w:val="auto"/>
        </w:rPr>
        <w:t>a Nevada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81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[Signature Page to Eleventh Amendment to Regional Lease]</w:t>
      </w:r>
    </w:p>
    <w:p>
      <w:pPr>
        <w:sectPr>
          <w:pgSz w:w="11900" w:h="16838" w:orient="portrait"/>
          <w:cols w:equalWidth="0" w:num="1">
            <w:col w:w="10139"/>
          </w:cols>
          <w:pgMar w:left="320" w:top="1382" w:right="1440" w:bottom="1440" w:gutter="0" w:footer="0" w:header="0"/>
        </w:sectPr>
      </w:pPr>
    </w:p>
    <w:bookmarkStart w:id="83" w:name="page84"/>
    <w:bookmarkEnd w:id="83"/>
    <w:p>
      <w:pPr>
        <w:spacing w:after="0"/>
        <w:rPr>
          <w:sz w:val="20"/>
          <w:szCs w:val="20"/>
          <w:color w:val="auto"/>
        </w:rPr>
      </w:pPr>
      <w:r>
        <w:rPr>
          <w:rFonts w:ascii="Arial" w:cs="Arial" w:eastAsia="Arial" w:hAnsi="Arial"/>
          <w:sz w:val="22"/>
          <w:szCs w:val="22"/>
          <w:b w:val="1"/>
          <w:bCs w:val="1"/>
          <w:color w:val="auto"/>
        </w:rPr>
        <w:t>CHESTER DOWNS AND MARINA, LLC,</w:t>
      </w:r>
    </w:p>
    <w:p>
      <w:pPr>
        <w:spacing w:after="0"/>
        <w:rPr>
          <w:sz w:val="20"/>
          <w:szCs w:val="20"/>
          <w:color w:val="auto"/>
        </w:rPr>
      </w:pPr>
      <w:r>
        <w:rPr>
          <w:rFonts w:ascii="Arial" w:cs="Arial" w:eastAsia="Arial" w:hAnsi="Arial"/>
          <w:sz w:val="22"/>
          <w:szCs w:val="22"/>
          <w:color w:val="auto"/>
        </w:rPr>
        <w:t>a Pennsylvania limited liability company</w:t>
      </w:r>
    </w:p>
    <w:p>
      <w:pPr>
        <w:spacing w:after="0" w:line="188" w:lineRule="exact"/>
        <w:rPr>
          <w:sz w:val="20"/>
          <w:szCs w:val="20"/>
          <w:color w:val="auto"/>
        </w:rPr>
      </w:pPr>
    </w:p>
    <w:p>
      <w:pPr>
        <w:ind w:left="220" w:right="5019" w:hanging="215"/>
        <w:spacing w:after="0" w:line="23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81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71" w:lineRule="exact"/>
        <w:rPr>
          <w:sz w:val="20"/>
          <w:szCs w:val="20"/>
          <w:color w:val="auto"/>
        </w:rPr>
      </w:pPr>
    </w:p>
    <w:p>
      <w:pPr>
        <w:ind w:right="4099"/>
        <w:spacing w:after="0" w:line="235"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814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899"/>
        <w:spacing w:after="0"/>
        <w:rPr>
          <w:sz w:val="20"/>
          <w:szCs w:val="20"/>
          <w:color w:val="auto"/>
        </w:rPr>
      </w:pPr>
      <w:r>
        <w:rPr>
          <w:rFonts w:ascii="Arial" w:cs="Arial" w:eastAsia="Arial" w:hAnsi="Arial"/>
          <w:sz w:val="22"/>
          <w:szCs w:val="22"/>
          <w:color w:val="auto"/>
        </w:rPr>
        <w:t>[Signature Page to Eleventh Amendment to Regional Lease]</w:t>
      </w:r>
    </w:p>
    <w:p>
      <w:pPr>
        <w:sectPr>
          <w:pgSz w:w="11900" w:h="16838" w:orient="portrait"/>
          <w:cols w:equalWidth="0" w:num="1">
            <w:col w:w="10139"/>
          </w:cols>
          <w:pgMar w:left="320" w:top="1382" w:right="1440"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i w:val="1"/>
          <w:iCs w:val="1"/>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1734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[Signature Page to Eleventh Amendment to Regional Lease]</w:t>
      </w:r>
    </w:p>
    <w:p>
      <w:pPr>
        <w:sectPr>
          <w:pgSz w:w="11900" w:h="16838" w:orient="portrait"/>
          <w:cols w:equalWidth="0" w:num="1">
            <w:col w:w="10139"/>
          </w:cols>
          <w:pgMar w:left="320" w:top="1401"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Eleventh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August 25, 2022,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August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[Acknowledgment and Agreement of Guarantor]</w:t>
      </w:r>
    </w:p>
    <w:p>
      <w:pPr>
        <w:sectPr>
          <w:pgSz w:w="11900" w:h="16838" w:orient="portrait"/>
          <w:cols w:equalWidth="0" w:num="1">
            <w:col w:w="11240"/>
          </w:cols>
          <w:pgMar w:left="320" w:top="1395" w:right="339" w:bottom="1440" w:gutter="0" w:footer="0" w:header="0"/>
        </w:sectPr>
      </w:pPr>
    </w:p>
    <w:bookmarkStart w:id="86" w:name="page87"/>
    <w:bookmarkEnd w:id="86"/>
    <w:p>
      <w:pPr>
        <w:spacing w:after="0"/>
        <w:rPr>
          <w:sz w:val="20"/>
          <w:szCs w:val="20"/>
          <w:color w:val="auto"/>
        </w:rPr>
      </w:pPr>
      <w:r>
        <w:rPr>
          <w:rFonts w:ascii="Arial" w:cs="Arial" w:eastAsia="Arial" w:hAnsi="Arial"/>
          <w:sz w:val="21"/>
          <w:szCs w:val="21"/>
          <w:b w:val="1"/>
          <w:bCs w:val="1"/>
          <w:color w:val="auto"/>
        </w:rPr>
        <w:t>CAESARS ENTERTAINMENT,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814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395" w:right="1440" w:bottom="1440" w:gutter="0" w:footer="0" w:header="0"/>
        </w:sectPr>
      </w:pPr>
    </w:p>
    <w:bookmarkStart w:id="87" w:name="page88"/>
    <w:bookmarkEnd w:id="87"/>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71" w:lineRule="exact"/>
        <w:rPr>
          <w:sz w:val="20"/>
          <w:szCs w:val="20"/>
          <w:color w:val="auto"/>
        </w:rPr>
      </w:pPr>
    </w:p>
    <w:p>
      <w:pPr>
        <w:ind w:right="7439" w:firstLine="8"/>
        <w:spacing w:after="0" w:line="309" w:lineRule="auto"/>
        <w:tabs>
          <w:tab w:leader="none" w:pos="666" w:val="left"/>
        </w:tabs>
        <w:numPr>
          <w:ilvl w:val="0"/>
          <w:numId w:val="52"/>
        </w:numPr>
        <w:rPr>
          <w:rFonts w:ascii="Arial" w:cs="Arial" w:eastAsia="Arial" w:hAnsi="Arial"/>
          <w:sz w:val="22"/>
          <w:szCs w:val="22"/>
          <w:color w:val="auto"/>
        </w:rPr>
      </w:pPr>
      <w:r>
        <w:rPr>
          <w:rFonts w:ascii="Arial" w:cs="Arial" w:eastAsia="Arial" w:hAnsi="Arial"/>
          <w:sz w:val="22"/>
          <w:szCs w:val="22"/>
          <w:color w:val="auto"/>
        </w:rPr>
        <w:t>Propco LLC Harrah’s Lake Tahoe LLC Harvey’s Lake Tahoe LLC Harrah’s Reno LLC Vegas Development LLC Vegas Operating Property LLC Miscellaneous Land LLC Propco Gulfport LLC Philadelphia Propco LLC Harrah’s Atlantic City LLC New Laughlin Owner LLC Harrah’s New Orleans LLC</w:t>
      </w:r>
    </w:p>
    <w:p>
      <w:pPr>
        <w:spacing w:after="0" w:line="200" w:lineRule="exact"/>
        <w:rPr>
          <w:sz w:val="20"/>
          <w:szCs w:val="20"/>
          <w:color w:val="auto"/>
        </w:rPr>
      </w:pPr>
    </w:p>
    <w:p>
      <w:pPr>
        <w:spacing w:after="0" w:line="37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01" w:right="1440" w:bottom="1440" w:gutter="0" w:footer="0" w:header="0"/>
        </w:sectPr>
      </w:pPr>
    </w:p>
    <w:bookmarkStart w:id="88" w:name="page89"/>
    <w:bookmarkEnd w:id="88"/>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179" w:lineRule="exact"/>
        <w:rPr>
          <w:sz w:val="20"/>
          <w:szCs w:val="20"/>
          <w:color w:val="auto"/>
        </w:rPr>
      </w:pPr>
    </w:p>
    <w:p>
      <w:pPr>
        <w:ind w:right="1799"/>
        <w:spacing w:after="0" w:line="307"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01" w:right="1440"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22"/>
          <w:szCs w:val="22"/>
          <w:u w:val="single" w:color="auto"/>
          <w:color w:val="auto"/>
        </w:rPr>
        <w:t>Annex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FACILITIES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Property</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State</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 Owner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Operating Entity</w:t>
            </w:r>
          </w:p>
        </w:tc>
      </w:tr>
      <w:tr>
        <w:trPr>
          <w:trHeight w:val="22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Horseshoe Council Bluffs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Horseshoe Council Bluffs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HBR Realty Company LLC</w:t>
            </w:r>
          </w:p>
        </w:tc>
      </w:tr>
      <w:tr>
        <w:trPr>
          <w:trHeight w:val="349"/>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Harveys BR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2.</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Harrah’s Council Bluffs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Iowa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Harrah's Council Bluffs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Harveys Iowa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3.</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Metropolis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Harrah's Metropolis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Southern Illinois Riverboat/Casino</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Cruises LLC</w:t>
            </w:r>
          </w:p>
        </w:tc>
      </w:tr>
      <w:tr>
        <w:trPr>
          <w:trHeight w:val="22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Hammond</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Indiana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Horseshoe Hammond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Hammond, LLC</w:t>
            </w: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Horseshoe Bossier City</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Horseshoe Bossier City Prop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Horseshoe Entertainment</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6.</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North Kansas City</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Missouri</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New Harrah's North Kansas City</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North Kansas City LLC</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LLC</w:t>
            </w:r>
          </w:p>
        </w:tc>
        <w:tc>
          <w:tcPr>
            <w:tcW w:w="2600" w:type="dxa"/>
            <w:vAlign w:val="bottom"/>
            <w:tcBorders>
              <w:bottom w:val="single" w:sz="8" w:color="auto"/>
              <w:right w:val="single" w:sz="8" w:color="auto"/>
            </w:tcBorders>
          </w:tcPr>
          <w:p>
            <w:pPr>
              <w:spacing w:after="0"/>
              <w:rPr>
                <w:sz w:val="20"/>
                <w:szCs w:val="20"/>
                <w:color w:val="auto"/>
              </w:rPr>
            </w:pPr>
          </w:p>
        </w:tc>
      </w:tr>
      <w:tr>
        <w:trPr>
          <w:trHeight w:val="175"/>
        </w:trPr>
        <w:tc>
          <w:tcPr>
            <w:tcW w:w="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7.</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Harrah’s Gulf Coast (formerly</w:t>
            </w:r>
          </w:p>
        </w:tc>
        <w:tc>
          <w:tcPr>
            <w:tcW w:w="2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Mississippi</w:t>
            </w:r>
          </w:p>
        </w:tc>
        <w:tc>
          <w:tcPr>
            <w:tcW w:w="2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6"/>
              </w:rPr>
              <w:t>Grand Biloxi LLC</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Grand Casinos of Biloxi, LLC</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known as Grand Biloxi Casino</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Hotel) and Biloxi Land</w:t>
            </w:r>
          </w:p>
        </w:tc>
        <w:tc>
          <w:tcPr>
            <w:tcW w:w="25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Casino Computer Programming,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Horseshoe Tunica</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Mississippi and Arkansas</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Horseshoe Tunica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Robinson Property Group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A-1</w:t>
      </w:r>
    </w:p>
    <w:p>
      <w:pPr>
        <w:sectPr>
          <w:pgSz w:w="11900" w:h="16838" w:orient="portrait"/>
          <w:cols w:equalWidth="0" w:num="1">
            <w:col w:w="11260"/>
          </w:cols>
          <w:pgMar w:left="320" w:top="1401" w:right="319" w:bottom="1440" w:gutter="0" w:footer="0" w:header="0"/>
        </w:sectPr>
      </w:pPr>
    </w:p>
    <w:bookmarkStart w:id="90" w:name="page91"/>
    <w:bookmarkEnd w:id="9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Tunica Roadhouse</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Mississippi</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New Tunica Roadhouse LLC</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Tunica Roadhouse LLC</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10.</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Caesars Atlantic City (includes</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Caesars Atlantic City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Boardwalk Regency LLC</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Wild Wild West and Block 488</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r>
      <w:tr>
        <w:trPr>
          <w:trHeight w:val="257"/>
        </w:trPr>
        <w:tc>
          <w:tcPr>
            <w:tcW w:w="86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Parcel)</w:t>
            </w:r>
          </w:p>
        </w:tc>
        <w:tc>
          <w:tcPr>
            <w:tcW w:w="258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Bally's Atlantic City LLC</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Caesars New Jersey LLC</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11.</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Harrah’s Lake Tahoe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Lake Tahoe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Harveys Tahoe Management</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12.</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Harvey’s Lake Tahoe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Nevada and California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Harvey's Lake Tahoe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Harveys Tahoe Management</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175"/>
        </w:trPr>
        <w:tc>
          <w:tcPr>
            <w:tcW w:w="8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13.</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Reno Billboard Parcel</w:t>
            </w:r>
          </w:p>
        </w:tc>
        <w:tc>
          <w:tcPr>
            <w:tcW w:w="25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Harrah's Reno LLC</w:t>
            </w: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14.</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Las Vegas Land Assemblage</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Vegas Development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Hole in the Wall, LLC</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Properties</w:t>
            </w: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r>
      <w:tr>
        <w:trPr>
          <w:trHeight w:val="350"/>
        </w:trPr>
        <w:tc>
          <w:tcPr>
            <w:tcW w:w="86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CEOC, LLC, successor in interest</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by merger to Caesars</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16"/>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r>
      <w:tr>
        <w:trPr>
          <w:trHeight w:val="169"/>
        </w:trPr>
        <w:tc>
          <w:tcPr>
            <w:tcW w:w="8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15.</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Harrah’s Airplane Hangar</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Nevada</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Vegas Operating Property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A-2</w:t>
      </w:r>
    </w:p>
    <w:p>
      <w:pPr>
        <w:sectPr>
          <w:pgSz w:w="11900" w:h="16838" w:orient="portrait"/>
          <w:cols w:equalWidth="0" w:num="1">
            <w:col w:w="11260"/>
          </w:cols>
          <w:pgMar w:left="320" w:top="1440" w:right="319" w:bottom="1440" w:gutter="0" w:footer="0" w:header="0"/>
        </w:sectPr>
      </w:pPr>
    </w:p>
    <w:bookmarkStart w:id="91" w:name="page92"/>
    <w:bookmarkEnd w:id="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right w:val="single" w:sz="8" w:color="auto"/>
            </w:tcBorders>
          </w:tcPr>
          <w:p>
            <w:pPr>
              <w:jc w:val="right"/>
              <w:ind w:right="230"/>
              <w:spacing w:after="0" w:line="189" w:lineRule="exact"/>
              <w:rPr>
                <w:sz w:val="20"/>
                <w:szCs w:val="20"/>
                <w:color w:val="auto"/>
              </w:rPr>
            </w:pPr>
            <w:r>
              <w:rPr>
                <w:rFonts w:ascii="Arial" w:cs="Arial" w:eastAsia="Arial" w:hAnsi="Arial"/>
                <w:sz w:val="18"/>
                <w:szCs w:val="18"/>
                <w:color w:val="auto"/>
              </w:rPr>
              <w:t>16.</w:t>
            </w:r>
          </w:p>
        </w:tc>
        <w:tc>
          <w:tcPr>
            <w:tcW w:w="26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Land Leftover from Harrah’s</w:t>
            </w:r>
          </w:p>
        </w:tc>
        <w:tc>
          <w:tcPr>
            <w:tcW w:w="258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Mississippi</w:t>
            </w:r>
          </w:p>
        </w:tc>
        <w:tc>
          <w:tcPr>
            <w:tcW w:w="26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Propco Gulfport LLC</w:t>
            </w:r>
          </w:p>
        </w:tc>
        <w:tc>
          <w:tcPr>
            <w:tcW w:w="26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6"/>
              </w:rPr>
              <w:t>Gulfport</w:t>
            </w: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169"/>
        </w:trPr>
        <w:tc>
          <w:tcPr>
            <w:tcW w:w="860" w:type="dxa"/>
            <w:vAlign w:val="bottom"/>
            <w:tcBorders>
              <w:left w:val="single" w:sz="8" w:color="auto"/>
              <w:right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17.</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Vacant Land at Turfway Park</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Kentucky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Miscellaneous Land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CEOC, LLC, successor in interest</w:t>
            </w:r>
          </w:p>
        </w:tc>
      </w:tr>
      <w:tr>
        <w:trPr>
          <w:trHeight w:val="188"/>
        </w:trPr>
        <w:tc>
          <w:tcPr>
            <w:tcW w:w="860" w:type="dxa"/>
            <w:vAlign w:val="bottom"/>
            <w:tcBorders>
              <w:left w:val="single" w:sz="8" w:color="auto"/>
              <w:right w:val="single" w:sz="8" w:color="auto"/>
            </w:tcBorders>
          </w:tcPr>
          <w:p>
            <w:pPr>
              <w:spacing w:after="0"/>
              <w:rPr>
                <w:sz w:val="16"/>
                <w:szCs w:val="16"/>
                <w:color w:val="auto"/>
              </w:rPr>
            </w:pPr>
          </w:p>
        </w:tc>
        <w:tc>
          <w:tcPr>
            <w:tcW w:w="260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rPr>
                <w:sz w:val="16"/>
                <w:szCs w:val="16"/>
                <w:color w:val="auto"/>
              </w:rPr>
            </w:pPr>
          </w:p>
        </w:tc>
        <w:tc>
          <w:tcPr>
            <w:tcW w:w="26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by merger to Caesars</w:t>
            </w: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Entertainment Operating</w:t>
            </w: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Company, Inc.</w:t>
            </w:r>
          </w:p>
        </w:tc>
      </w:tr>
      <w:tr>
        <w:trPr>
          <w:trHeight w:val="223"/>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18.</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Philadelphia</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Philadelphia Propco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Chester Downs and Marina, LLC</w:t>
            </w:r>
          </w:p>
        </w:tc>
      </w:tr>
      <w:tr>
        <w:trPr>
          <w:trHeight w:val="169"/>
        </w:trPr>
        <w:tc>
          <w:tcPr>
            <w:tcW w:w="860" w:type="dxa"/>
            <w:vAlign w:val="bottom"/>
            <w:tcBorders>
              <w:left w:val="single" w:sz="8" w:color="auto"/>
              <w:right w:val="single" w:sz="8" w:color="auto"/>
            </w:tcBorders>
          </w:tcPr>
          <w:p>
            <w:pPr>
              <w:jc w:val="right"/>
              <w:ind w:right="230"/>
              <w:spacing w:after="0" w:line="169" w:lineRule="exact"/>
              <w:rPr>
                <w:sz w:val="20"/>
                <w:szCs w:val="20"/>
                <w:color w:val="auto"/>
              </w:rPr>
            </w:pPr>
            <w:r>
              <w:rPr>
                <w:rFonts w:ascii="Arial" w:cs="Arial" w:eastAsia="Arial" w:hAnsi="Arial"/>
                <w:sz w:val="18"/>
                <w:szCs w:val="18"/>
                <w:color w:val="auto"/>
              </w:rPr>
              <w:t>19.</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Harrah’s Atlantic City</w:t>
            </w:r>
          </w:p>
        </w:tc>
        <w:tc>
          <w:tcPr>
            <w:tcW w:w="25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New Jersey</w:t>
            </w:r>
          </w:p>
        </w:tc>
        <w:tc>
          <w:tcPr>
            <w:tcW w:w="2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7"/>
              </w:rPr>
              <w:t>Harrah’s Atlantic City LLC</w:t>
            </w:r>
          </w:p>
        </w:tc>
        <w:tc>
          <w:tcPr>
            <w:tcW w:w="26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Harrah’s Atlantic City Operating</w:t>
            </w: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Company, LLC</w:t>
            </w:r>
          </w:p>
        </w:tc>
      </w:tr>
      <w:tr>
        <w:trPr>
          <w:trHeight w:val="229"/>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Laughlin</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New Laughlin Owner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Harrah’s Laughlin, LLC</w:t>
            </w:r>
          </w:p>
        </w:tc>
      </w:tr>
      <w:tr>
        <w:trPr>
          <w:trHeight w:val="223"/>
        </w:trPr>
        <w:tc>
          <w:tcPr>
            <w:tcW w:w="860" w:type="dxa"/>
            <w:vAlign w:val="bottom"/>
            <w:tcBorders>
              <w:left w:val="single" w:sz="8" w:color="auto"/>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21.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Harrah’s New Orleans</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Louisiana</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Harrah’s New Orleans LLC</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Jazz Casino Company,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A-3</w:t>
      </w:r>
    </w:p>
    <w:p>
      <w:pPr>
        <w:sectPr>
          <w:pgSz w:w="11900" w:h="16838" w:orient="portrait"/>
          <w:cols w:equalWidth="0" w:num="1">
            <w:col w:w="11260"/>
          </w:cols>
          <w:pgMar w:left="320" w:top="1440" w:right="31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2"/>
          <w:szCs w:val="22"/>
          <w:u w:val="single" w:color="auto"/>
          <w:color w:val="auto"/>
        </w:rPr>
        <w:t>Annex B</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Splendora Property</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Lot 2, Block 2, White Oak Plantation Subdivision, Section 2, a subdivision in Montgomery County, Texas, according to the map or plat thereof recorded in Cabinet C, Sheet 198A, Map Records of Montgomery County,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B-1</w:t>
      </w:r>
    </w:p>
    <w:p>
      <w:pPr>
        <w:sectPr>
          <w:pgSz w:w="11900" w:h="16838" w:orient="portrait"/>
          <w:cols w:equalWidth="0" w:num="1">
            <w:col w:w="11240"/>
          </w:cols>
          <w:pgMar w:left="320" w:top="140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L.P.;</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29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6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308" w:lineRule="auto"/>
        <w:tabs>
          <w:tab w:leader="none" w:pos="64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413"/>
        <w:spacing w:after="0" w:line="308" w:lineRule="auto"/>
        <w:tabs>
          <w:tab w:leader="none" w:pos="64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Company.</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16" w:lineRule="exact"/>
        <w:rPr>
          <w:sz w:val="20"/>
          <w:szCs w:val="20"/>
          <w:color w:val="auto"/>
        </w:rPr>
      </w:pPr>
    </w:p>
    <w:p>
      <w:pPr>
        <w:ind w:right="20" w:firstLine="413"/>
        <w:spacing w:after="0" w:line="308" w:lineRule="auto"/>
        <w:tabs>
          <w:tab w:leader="none" w:pos="64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Partnership for the quarterly period ended March 31, 2022 (the “Report”) fully complies with the requirements of Section 13(a) or Section 15(d), as applicable, of the Securities Exchange Act of 1934, as amended; and</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(ii)the information contained in the Report fairly presents, in all material respects, the financial condition and results of operations of the Partnership.</w:t>
      </w:r>
    </w:p>
    <w:p>
      <w:pPr>
        <w:spacing w:after="0" w:line="23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27, 2022</w:t>
      </w:r>
    </w:p>
    <w:p>
      <w:pPr>
        <w:spacing w:after="0" w:line="23" w:lineRule="exact"/>
        <w:rPr>
          <w:sz w:val="20"/>
          <w:szCs w:val="20"/>
          <w:color w:val="auto"/>
        </w:rPr>
      </w:pPr>
    </w:p>
    <w:p>
      <w:pPr>
        <w:ind w:left="4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3"/>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8"/>
    </w:lvl>
  </w:abstractNum>
  <w:abstractNum w:abstractNumId="16">
    <w:nsid w:val="2463B9EA"/>
    <w:multiLevelType w:val="hybridMultilevel"/>
    <w:lvl w:ilvl="0">
      <w:lvlJc w:val="left"/>
      <w:lvlText w:val="(%1)"/>
      <w:numFmt w:val="decimal"/>
      <w:start w:val="1"/>
    </w:lvl>
  </w:abstractNum>
  <w:abstractNum w:abstractNumId="17">
    <w:nsid w:val="5E884ADC"/>
    <w:multiLevelType w:val="hybridMultilevel"/>
    <w:lvl w:ilvl="0">
      <w:lvlJc w:val="left"/>
      <w:lvlText w:val="%1"/>
      <w:numFmt w:val="decimal"/>
      <w:start w:val="15"/>
    </w:lvl>
  </w:abstractNum>
  <w:abstractNum w:abstractNumId="18">
    <w:nsid w:val="51EAD36B"/>
    <w:multiLevelType w:val="hybridMultilevel"/>
    <w:lvl w:ilvl="0">
      <w:lvlJc w:val="left"/>
      <w:lvlText w:val="&gt;"/>
      <w:numFmt w:val="bullet"/>
      <w:start w:val="1"/>
    </w:lvl>
  </w:abstractNum>
  <w:abstractNum w:abstractNumId="19">
    <w:nsid w:val="2D517796"/>
    <w:multiLevelType w:val="hybridMultilevel"/>
    <w:lvl w:ilvl="0">
      <w:lvlJc w:val="left"/>
      <w:lvlText w:val="%1:"/>
      <w:numFmt w:val="decimal"/>
      <w:start w:val="1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lowerRoman"/>
      <w:start w:val="3"/>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lvl w:ilvl="1">
      <w:lvlJc w:val="left"/>
      <w:lvlText w:val="%2"/>
      <w:numFmt w:val="decimal"/>
      <w:start w:val="104"/>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48">
    <w:nsid w:val="4F4EF005"/>
    <w:multiLevelType w:val="hybridMultilevel"/>
    <w:lvl w:ilvl="0">
      <w:lvlJc w:val="left"/>
      <w:lvlText w:val="%1"/>
      <w:numFmt w:val="decimal"/>
      <w:start w:val="1"/>
    </w:lvl>
    <w:lvl w:ilvl="1">
      <w:lvlJc w:val="left"/>
      <w:lvlText w:val="%2."/>
      <w:numFmt w:val="lowerRoman"/>
      <w:start w:val="3"/>
    </w:lvl>
  </w:abstractNum>
  <w:abstractNum w:abstractNumId="49">
    <w:nsid w:val="23F9C13C"/>
    <w:multiLevelType w:val="hybridMultilevel"/>
    <w:lvl w:ilvl="0">
      <w:lvlJc w:val="left"/>
      <w:lvlText w:val="%1."/>
      <w:numFmt w:val="decimal"/>
      <w:start w:val="3"/>
    </w:lvl>
    <w:lvl w:ilvl="1">
      <w:lvlJc w:val="left"/>
      <w:lvlText w:val="%2"/>
      <w:numFmt w:val="lowerRoman"/>
      <w:start w:val="1"/>
    </w:lvl>
  </w:abstractNum>
  <w:abstractNum w:abstractNumId="50">
    <w:nsid w:val="649BB77C"/>
    <w:multiLevelType w:val="hybridMultilevel"/>
    <w:lvl w:ilvl="0">
      <w:lvlJc w:val="left"/>
      <w:lvlText w:val="%1"/>
      <w:numFmt w:val="upperLetter"/>
      <w:start w:val="75"/>
    </w:lvl>
  </w:abstractNum>
  <w:abstractNum w:abstractNumId="51">
    <w:nsid w:val="275AC794"/>
    <w:multiLevelType w:val="hybridMultilevel"/>
    <w:lvl w:ilvl="0">
      <w:lvlJc w:val="left"/>
      <w:lvlText w:val="%1"/>
      <w:numFmt w:val="upperLetter"/>
      <w:start w:val="75"/>
    </w:lvl>
  </w:abstractNum>
  <w:abstractNum w:abstractNumId="52">
    <w:nsid w:val="39386575"/>
    <w:multiLevelType w:val="hybridMultilevel"/>
    <w:lvl w:ilvl="0">
      <w:lvlJc w:val="left"/>
      <w:lvlText w:val="%1."/>
      <w:numFmt w:val="decimal"/>
      <w:start w:val="1"/>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lowerRoman"/>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lowerRoman"/>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31" Type="http://schemas.openxmlformats.org/officeDocument/2006/relationships/hyperlink" Target="http://www.sec.gov/Archives/edgar/data/0001705696/000119312522107429/d271785dex993.htm" TargetMode="External"/><Relationship Id="rId81" Type="http://schemas.openxmlformats.org/officeDocument/2006/relationships/hyperlink" Target="https://www.sec.gov/ix?doc=/Archives/edgar/data/1705696/000170569622000046/vic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2022-10-27T15:39:31Z</dcterms:created>
  <dcterms:modified xsi:type="dcterms:W3CDTF">2022-10-27T15:39:31Z</dcterms:modified>
</cp:coreProperties>
</file>