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2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55" w:lineRule="exact"/>
        <w:rPr>
          <w:sz w:val="24"/>
          <w:szCs w:val="24"/>
          <w:color w:val="auto"/>
        </w:rPr>
      </w:pPr>
    </w:p>
    <w:p>
      <w:pPr>
        <w:ind w:left="1040"/>
        <w:spacing w:after="0"/>
        <w:rPr>
          <w:sz w:val="20"/>
          <w:szCs w:val="20"/>
          <w:color w:val="auto"/>
        </w:rPr>
      </w:pPr>
      <w:r>
        <w:rPr>
          <w:rFonts w:ascii="Arial" w:cs="Arial" w:eastAsia="Arial" w:hAnsi="Arial"/>
          <w:sz w:val="13"/>
          <w:szCs w:val="13"/>
          <w:b w:val="1"/>
          <w:bCs w:val="1"/>
          <w:color w:val="auto"/>
        </w:rPr>
        <w:t>(Mark One)</w:t>
      </w:r>
    </w:p>
    <w:p>
      <w:pPr>
        <w:spacing w:after="0" w:line="30" w:lineRule="exact"/>
        <w:rPr>
          <w:sz w:val="24"/>
          <w:szCs w:val="24"/>
          <w:color w:val="auto"/>
        </w:rPr>
      </w:pPr>
    </w:p>
    <w:p>
      <w:pPr>
        <w:ind w:left="1620" w:hanging="426"/>
        <w:spacing w:after="0"/>
        <w:tabs>
          <w:tab w:leader="none" w:pos="16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Fiscal Year Ended December 31, 2021</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122" w:lineRule="exact"/>
        <w:rPr>
          <w:sz w:val="24"/>
          <w:szCs w:val="24"/>
          <w:color w:val="auto"/>
        </w:rPr>
      </w:pPr>
    </w:p>
    <w:p>
      <w:pPr>
        <w:ind w:left="3720" w:right="1360" w:hanging="2470"/>
        <w:spacing w:after="0" w:line="366" w:lineRule="auto"/>
        <w:tabs>
          <w:tab w:leader="none" w:pos="1647"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 to _________</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000-55791</w:t>
      </w:r>
    </w:p>
    <w:p>
      <w:pPr>
        <w:spacing w:after="0" w:line="18" w:lineRule="exact"/>
        <w:rPr>
          <w:sz w:val="24"/>
          <w:szCs w:val="24"/>
          <w:color w:val="auto"/>
        </w:rPr>
      </w:pPr>
    </w:p>
    <w:p>
      <w:pPr>
        <w:ind w:left="3680"/>
        <w:spacing w:after="0"/>
        <w:rPr>
          <w:sz w:val="20"/>
          <w:szCs w:val="20"/>
          <w:color w:val="auto"/>
        </w:rPr>
      </w:pPr>
      <w:r>
        <w:rPr>
          <w:rFonts w:ascii="Arial" w:cs="Arial" w:eastAsia="Arial" w:hAnsi="Arial"/>
          <w:sz w:val="16"/>
          <w:szCs w:val="16"/>
          <w:b w:val="1"/>
          <w:bCs w:val="1"/>
          <w:color w:val="auto"/>
        </w:rPr>
        <w:t>________________________________________________</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VICI PROPERTIES INC.</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ind w:left="3680"/>
        <w:spacing w:after="0"/>
        <w:rPr>
          <w:sz w:val="20"/>
          <w:szCs w:val="20"/>
          <w:color w:val="auto"/>
        </w:rPr>
      </w:pPr>
      <w:r>
        <w:rPr>
          <w:rFonts w:ascii="Arial" w:cs="Arial" w:eastAsia="Arial" w:hAnsi="Arial"/>
          <w:sz w:val="16"/>
          <w:szCs w:val="16"/>
          <w:b w:val="1"/>
          <w:bCs w:val="1"/>
          <w:color w:val="auto"/>
        </w:rPr>
        <w:t>________________________________________________</w:t>
      </w:r>
    </w:p>
    <w:p>
      <w:pPr>
        <w:sectPr>
          <w:pgSz w:w="11900" w:h="16838" w:orient="portrait"/>
          <w:cols w:equalWidth="0" w:num="1">
            <w:col w:w="11240"/>
          </w:cols>
          <w:pgMar w:left="320" w:top="1053" w:right="339" w:bottom="1440" w:gutter="0" w:footer="0" w:header="0"/>
        </w:sectPr>
      </w:pPr>
    </w:p>
    <w:p>
      <w:pPr>
        <w:spacing w:after="0" w:line="95" w:lineRule="exact"/>
        <w:rPr>
          <w:sz w:val="24"/>
          <w:szCs w:val="24"/>
          <w:color w:val="auto"/>
        </w:rPr>
      </w:pPr>
    </w:p>
    <w:p>
      <w:pPr>
        <w:ind w:left="2920"/>
        <w:spacing w:after="0"/>
        <w:rPr>
          <w:sz w:val="20"/>
          <w:szCs w:val="20"/>
          <w:color w:val="auto"/>
        </w:rPr>
      </w:pPr>
      <w:r>
        <w:rPr>
          <w:rFonts w:ascii="Arial" w:cs="Arial" w:eastAsia="Arial" w:hAnsi="Arial"/>
          <w:sz w:val="15"/>
          <w:szCs w:val="15"/>
          <w:b w:val="1"/>
          <w:bCs w:val="1"/>
          <w:color w:val="auto"/>
        </w:rPr>
        <w:t>Maryland</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81-4177147</w:t>
      </w:r>
    </w:p>
    <w:p>
      <w:pPr>
        <w:spacing w:after="0" w:line="49" w:lineRule="exact"/>
        <w:rPr>
          <w:sz w:val="24"/>
          <w:szCs w:val="24"/>
          <w:color w:val="auto"/>
        </w:rPr>
      </w:pPr>
    </w:p>
    <w:p>
      <w:pPr>
        <w:sectPr>
          <w:pgSz w:w="11900" w:h="16838" w:orient="portrait"/>
          <w:cols w:equalWidth="0" w:num="2">
            <w:col w:w="6860" w:space="720"/>
            <w:col w:w="3660"/>
          </w:cols>
          <w:pgMar w:left="320" w:top="1053" w:right="339" w:bottom="1440" w:gutter="0" w:footer="0" w:header="0"/>
          <w:type w:val="continuous"/>
        </w:sectPr>
      </w:pPr>
    </w:p>
    <w:p>
      <w:pPr>
        <w:ind w:left="1400"/>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2">
            <w:col w:w="6160" w:space="720"/>
            <w:col w:w="4360"/>
          </w:cols>
          <w:pgMar w:left="320" w:top="1053"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535 Madison Avenue, 20th Floor New York, New York 10022</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(646) 949-4631</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67" w:lineRule="exact"/>
        <w:rPr>
          <w:sz w:val="24"/>
          <w:szCs w:val="24"/>
          <w:color w:val="auto"/>
        </w:rPr>
      </w:pPr>
    </w:p>
    <w:tbl>
      <w:tblPr>
        <w:tblLayout w:type="fixed"/>
        <w:tblInd w:w="1040" w:type="dxa"/>
        <w:tblCellMar>
          <w:top w:w="0" w:type="dxa"/>
          <w:left w:w="0" w:type="dxa"/>
          <w:bottom w:w="0" w:type="dxa"/>
          <w:right w:w="0" w:type="dxa"/>
        </w:tblCellMar>
      </w:tblPr>
      <w:tr>
        <w:trPr>
          <w:trHeight w:val="184"/>
        </w:trPr>
        <w:tc>
          <w:tcPr>
            <w:tcW w:w="318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8"/>
              </w:rPr>
              <w:t>Title of each class</w:t>
            </w:r>
          </w:p>
        </w:tc>
        <w:tc>
          <w:tcPr>
            <w:tcW w:w="306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2"/>
              </w:rPr>
              <w:t>Trading Symbol</w:t>
            </w:r>
          </w:p>
        </w:tc>
        <w:tc>
          <w:tcPr>
            <w:tcW w:w="294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w:t>
            </w:r>
          </w:p>
        </w:tc>
        <w:tc>
          <w:tcPr>
            <w:tcW w:w="0" w:type="dxa"/>
            <w:vAlign w:val="bottom"/>
          </w:tcPr>
          <w:p>
            <w:pPr>
              <w:spacing w:after="0"/>
              <w:rPr>
                <w:sz w:val="1"/>
                <w:szCs w:val="1"/>
                <w:color w:val="auto"/>
              </w:rPr>
            </w:pPr>
          </w:p>
        </w:tc>
      </w:tr>
      <w:tr>
        <w:trPr>
          <w:trHeight w:val="213"/>
        </w:trPr>
        <w:tc>
          <w:tcPr>
            <w:tcW w:w="3180" w:type="dxa"/>
            <w:vAlign w:val="bottom"/>
            <w:gridSpan w:val="2"/>
            <w:vMerge w:val="continue"/>
          </w:tcPr>
          <w:p>
            <w:pPr>
              <w:spacing w:after="0"/>
              <w:rPr>
                <w:sz w:val="18"/>
                <w:szCs w:val="18"/>
                <w:color w:val="auto"/>
              </w:rPr>
            </w:pPr>
          </w:p>
        </w:tc>
        <w:tc>
          <w:tcPr>
            <w:tcW w:w="3060" w:type="dxa"/>
            <w:vAlign w:val="bottom"/>
            <w:gridSpan w:val="2"/>
            <w:vMerge w:val="continue"/>
          </w:tcPr>
          <w:p>
            <w:pPr>
              <w:spacing w:after="0"/>
              <w:rPr>
                <w:sz w:val="18"/>
                <w:szCs w:val="18"/>
                <w:color w:val="auto"/>
              </w:rPr>
            </w:pPr>
          </w:p>
        </w:tc>
        <w:tc>
          <w:tcPr>
            <w:tcW w:w="2940" w:type="dxa"/>
            <w:vAlign w:val="bottom"/>
          </w:tcPr>
          <w:p>
            <w:pPr>
              <w:jc w:val="center"/>
              <w:spacing w:after="0"/>
              <w:rPr>
                <w:sz w:val="20"/>
                <w:szCs w:val="20"/>
                <w:color w:val="auto"/>
              </w:rPr>
            </w:pPr>
            <w:r>
              <w:rPr>
                <w:rFonts w:ascii="Arial" w:cs="Arial" w:eastAsia="Arial" w:hAnsi="Arial"/>
                <w:sz w:val="16"/>
                <w:szCs w:val="16"/>
                <w:b w:val="1"/>
                <w:bCs w:val="1"/>
                <w:color w:val="auto"/>
                <w:w w:val="90"/>
              </w:rPr>
              <w:t>registered</w:t>
            </w:r>
          </w:p>
        </w:tc>
        <w:tc>
          <w:tcPr>
            <w:tcW w:w="0" w:type="dxa"/>
            <w:vAlign w:val="bottom"/>
          </w:tcPr>
          <w:p>
            <w:pPr>
              <w:spacing w:after="0"/>
              <w:rPr>
                <w:sz w:val="1"/>
                <w:szCs w:val="1"/>
                <w:color w:val="auto"/>
              </w:rPr>
            </w:pPr>
          </w:p>
        </w:tc>
      </w:tr>
      <w:tr>
        <w:trPr>
          <w:trHeight w:val="207"/>
        </w:trPr>
        <w:tc>
          <w:tcPr>
            <w:tcW w:w="29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Common stock, $0.01 par value</w:t>
            </w:r>
          </w:p>
        </w:tc>
        <w:tc>
          <w:tcPr>
            <w:tcW w:w="280" w:type="dxa"/>
            <w:vAlign w:val="bottom"/>
          </w:tcPr>
          <w:p>
            <w:pPr>
              <w:spacing w:after="0"/>
              <w:rPr>
                <w:sz w:val="17"/>
                <w:szCs w:val="17"/>
                <w:color w:val="auto"/>
              </w:rPr>
            </w:pPr>
          </w:p>
        </w:tc>
        <w:tc>
          <w:tcPr>
            <w:tcW w:w="29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VICI</w:t>
            </w:r>
          </w:p>
        </w:tc>
        <w:tc>
          <w:tcPr>
            <w:tcW w:w="140" w:type="dxa"/>
            <w:vAlign w:val="bottom"/>
          </w:tcPr>
          <w:p>
            <w:pPr>
              <w:spacing w:after="0"/>
              <w:rPr>
                <w:sz w:val="17"/>
                <w:szCs w:val="17"/>
                <w:color w:val="auto"/>
              </w:rPr>
            </w:pPr>
          </w:p>
        </w:tc>
        <w:tc>
          <w:tcPr>
            <w:tcW w:w="29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New York Stock Exchange</w:t>
            </w:r>
          </w:p>
        </w:tc>
        <w:tc>
          <w:tcPr>
            <w:tcW w:w="0" w:type="dxa"/>
            <w:vAlign w:val="bottom"/>
          </w:tcPr>
          <w:p>
            <w:pPr>
              <w:spacing w:after="0"/>
              <w:rPr>
                <w:sz w:val="1"/>
                <w:szCs w:val="1"/>
                <w:color w:val="auto"/>
              </w:rPr>
            </w:pPr>
          </w:p>
        </w:tc>
      </w:tr>
    </w:tbl>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None</w:t>
      </w:r>
    </w:p>
    <w:p>
      <w:pPr>
        <w:sectPr>
          <w:pgSz w:w="11900" w:h="16838" w:orient="portrait"/>
          <w:cols w:equalWidth="0" w:num="1">
            <w:col w:w="11240"/>
          </w:cols>
          <w:pgMar w:left="320" w:top="1053" w:right="339" w:bottom="1440" w:gutter="0" w:footer="0" w:header="0"/>
          <w:type w:val="continuous"/>
        </w:sectPr>
      </w:pPr>
    </w:p>
    <w:p>
      <w:pPr>
        <w:spacing w:after="0" w:line="108"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 Yes</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Arial" w:cs="Arial" w:eastAsia="Arial" w:hAnsi="Arial"/>
          <w:sz w:val="12"/>
          <w:szCs w:val="12"/>
          <w:color w:val="auto"/>
        </w:rPr>
        <w:t>No</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9" w:lineRule="exact"/>
        <w:rPr>
          <w:sz w:val="24"/>
          <w:szCs w:val="24"/>
          <w:color w:val="auto"/>
        </w:rPr>
      </w:pPr>
    </w:p>
    <w:p>
      <w:pPr>
        <w:sectPr>
          <w:pgSz w:w="11900" w:h="16838" w:orient="portrait"/>
          <w:cols w:equalWidth="0" w:num="4">
            <w:col w:w="7360" w:space="80"/>
            <w:col w:w="120" w:space="160"/>
            <w:col w:w="160" w:space="80"/>
            <w:col w:w="3280"/>
          </w:cols>
          <w:pgMar w:left="320" w:top="1053" w:right="339" w:bottom="1440" w:gutter="0" w:footer="0" w:header="0"/>
          <w:type w:val="continuous"/>
        </w:sectPr>
      </w:pPr>
    </w:p>
    <w:p>
      <w:pPr>
        <w:spacing w:after="0" w:line="27"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 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03" w:lineRule="exact"/>
        <w:rPr>
          <w:sz w:val="24"/>
          <w:szCs w:val="24"/>
          <w:color w:val="auto"/>
        </w:rPr>
      </w:pPr>
    </w:p>
    <w:p>
      <w:pPr>
        <w:sectPr>
          <w:pgSz w:w="11900" w:h="16838" w:orient="portrait"/>
          <w:cols w:equalWidth="0" w:num="4">
            <w:col w:w="7500" w:space="60"/>
            <w:col w:w="140" w:space="140"/>
            <w:col w:w="180" w:space="60"/>
            <w:col w:w="3160"/>
          </w:cols>
          <w:pgMar w:left="320" w:top="1053" w:right="339" w:bottom="1440" w:gutter="0" w:footer="0" w:header="0"/>
          <w:type w:val="continuous"/>
        </w:sectPr>
      </w:pPr>
    </w:p>
    <w:p>
      <w:pPr>
        <w:ind w:right="20" w:firstLine="324"/>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firstLine="324"/>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20" w:firstLine="324"/>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180" w:type="dxa"/>
        <w:tblCellMar>
          <w:top w:w="0" w:type="dxa"/>
          <w:left w:w="0" w:type="dxa"/>
          <w:bottom w:w="0" w:type="dxa"/>
          <w:right w:w="0" w:type="dxa"/>
        </w:tblCellMar>
      </w:tblPr>
      <w:tr>
        <w:trPr>
          <w:trHeight w:val="189"/>
        </w:trPr>
        <w:tc>
          <w:tcPr>
            <w:tcW w:w="16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7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020" w:type="dxa"/>
            <w:vAlign w:val="bottom"/>
          </w:tcPr>
          <w:p>
            <w:pPr>
              <w:ind w:left="2300"/>
              <w:spacing w:after="0"/>
              <w:rPr>
                <w:sz w:val="20"/>
                <w:szCs w:val="20"/>
                <w:color w:val="auto"/>
              </w:rPr>
            </w:pPr>
            <w:r>
              <w:rPr>
                <w:rFonts w:ascii="Arial" w:cs="Arial" w:eastAsia="Arial" w:hAnsi="Arial"/>
                <w:sz w:val="14"/>
                <w:szCs w:val="14"/>
                <w:color w:val="auto"/>
              </w:rPr>
              <w:t>Accelerated filer</w:t>
            </w:r>
          </w:p>
        </w:tc>
        <w:tc>
          <w:tcPr>
            <w:tcW w:w="1260" w:type="dxa"/>
            <w:vAlign w:val="bottom"/>
          </w:tcPr>
          <w:p>
            <w:pPr>
              <w:ind w:left="1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1640" w:type="dxa"/>
            <w:vAlign w:val="bottom"/>
          </w:tcPr>
          <w:p>
            <w:pPr>
              <w:spacing w:after="0"/>
              <w:rPr>
                <w:sz w:val="20"/>
                <w:szCs w:val="20"/>
                <w:color w:val="auto"/>
              </w:rPr>
            </w:pPr>
            <w:r>
              <w:rPr>
                <w:rFonts w:ascii="Arial" w:cs="Arial" w:eastAsia="Arial" w:hAnsi="Arial"/>
                <w:sz w:val="14"/>
                <w:szCs w:val="14"/>
                <w:color w:val="auto"/>
              </w:rPr>
              <w:t>Non-accelerated filer</w:t>
            </w:r>
          </w:p>
        </w:tc>
        <w:tc>
          <w:tcPr>
            <w:tcW w:w="27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020" w:type="dxa"/>
            <w:vAlign w:val="bottom"/>
          </w:tcPr>
          <w:p>
            <w:pPr>
              <w:ind w:left="2300"/>
              <w:spacing w:after="0"/>
              <w:rPr>
                <w:sz w:val="20"/>
                <w:szCs w:val="20"/>
                <w:color w:val="auto"/>
              </w:rPr>
            </w:pPr>
            <w:r>
              <w:rPr>
                <w:rFonts w:ascii="Arial" w:cs="Arial" w:eastAsia="Arial" w:hAnsi="Arial"/>
                <w:sz w:val="14"/>
                <w:szCs w:val="14"/>
                <w:color w:val="auto"/>
              </w:rPr>
              <w:t>Smaller reporting company</w:t>
            </w:r>
          </w:p>
        </w:tc>
        <w:tc>
          <w:tcPr>
            <w:tcW w:w="1260" w:type="dxa"/>
            <w:vAlign w:val="bottom"/>
          </w:tcPr>
          <w:p>
            <w:pPr>
              <w:ind w:left="1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6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5020" w:type="dxa"/>
            <w:vAlign w:val="bottom"/>
          </w:tcPr>
          <w:p>
            <w:pPr>
              <w:ind w:left="2300"/>
              <w:spacing w:after="0"/>
              <w:rPr>
                <w:sz w:val="20"/>
                <w:szCs w:val="20"/>
                <w:color w:val="auto"/>
              </w:rPr>
            </w:pPr>
            <w:r>
              <w:rPr>
                <w:rFonts w:ascii="Arial" w:cs="Arial" w:eastAsia="Arial" w:hAnsi="Arial"/>
                <w:sz w:val="14"/>
                <w:szCs w:val="14"/>
                <w:color w:val="auto"/>
              </w:rPr>
              <w:t>Emerging growth company</w:t>
            </w:r>
          </w:p>
        </w:tc>
        <w:tc>
          <w:tcPr>
            <w:tcW w:w="1260" w:type="dxa"/>
            <w:vAlign w:val="bottom"/>
          </w:tcPr>
          <w:p>
            <w:pPr>
              <w:ind w:left="11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58" w:lineRule="exact"/>
        <w:rPr>
          <w:sz w:val="24"/>
          <w:szCs w:val="24"/>
          <w:color w:val="auto"/>
        </w:rPr>
      </w:pPr>
    </w:p>
    <w:p>
      <w:pPr>
        <w:ind w:firstLine="324"/>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9" w:lineRule="exact"/>
        <w:rPr>
          <w:sz w:val="24"/>
          <w:szCs w:val="24"/>
          <w:color w:val="auto"/>
        </w:rPr>
      </w:pPr>
    </w:p>
    <w:p>
      <w:pPr>
        <w:ind w:firstLine="324"/>
        <w:spacing w:after="0" w:line="18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4"/>
          <w:szCs w:val="14"/>
          <w:color w:val="auto"/>
        </w:rPr>
        <w:t>☒</w:t>
      </w:r>
    </w:p>
    <w:p>
      <w:pPr>
        <w:spacing w:after="0" w:line="5" w:lineRule="exact"/>
        <w:rPr>
          <w:sz w:val="24"/>
          <w:szCs w:val="24"/>
          <w:color w:val="auto"/>
        </w:rPr>
      </w:pPr>
    </w:p>
    <w:p>
      <w:pPr>
        <w:ind w:left="340"/>
        <w:spacing w:after="0" w:line="161" w:lineRule="exact"/>
        <w:tabs>
          <w:tab w:leader="none" w:pos="688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82" w:lineRule="exact"/>
        <w:rPr>
          <w:sz w:val="24"/>
          <w:szCs w:val="24"/>
          <w:color w:val="auto"/>
        </w:rPr>
      </w:pPr>
    </w:p>
    <w:p>
      <w:pPr>
        <w:ind w:firstLine="324"/>
        <w:spacing w:after="0" w:line="273" w:lineRule="auto"/>
        <w:rPr>
          <w:sz w:val="20"/>
          <w:szCs w:val="20"/>
          <w:color w:val="auto"/>
        </w:rPr>
      </w:pPr>
      <w:r>
        <w:rPr>
          <w:rFonts w:ascii="Arial" w:cs="Arial" w:eastAsia="Arial" w:hAnsi="Arial"/>
          <w:sz w:val="14"/>
          <w:szCs w:val="14"/>
          <w:color w:val="auto"/>
        </w:rPr>
        <w:t>As of June 30, 2021 (the last business day of the registrant's most recently completed second fiscal quarter), the aggregate market value of the common stock held by non-affiliates of the registrant was approximately $16.6 billion, based on the closing price of the common stock as reported on the NYSE on that date.</w:t>
      </w:r>
    </w:p>
    <w:p>
      <w:pPr>
        <w:spacing w:after="0" w:line="12"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February 22, 2022, the registrant had 748,390,629 shares of common stock outstanding.</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08"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Portions of the Company’s definitive proxy statement relating to the 2022 Annual Meeting of Stockholders, to be filed with the Securities and Exchange Commission within 120 days after the end of the calendar year to which this report relates, are incorporated by reference into Part III, Items 10-14 of this Annual Report on Form 10-K as indicated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529590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0" w:type="dxa"/>
            <w:vAlign w:val="bottom"/>
            <w:gridSpan w:val="12"/>
          </w:tcPr>
          <w:p>
            <w:pPr>
              <w:ind w:left="40"/>
              <w:spacing w:after="0"/>
              <w:rPr>
                <w:sz w:val="20"/>
                <w:szCs w:val="20"/>
                <w:color w:val="auto"/>
              </w:rPr>
            </w:pPr>
            <w:r>
              <w:rPr>
                <w:rFonts w:ascii="Arial" w:cs="Arial" w:eastAsia="Arial" w:hAnsi="Arial"/>
                <w:sz w:val="20"/>
                <w:szCs w:val="20"/>
                <w:b w:val="1"/>
                <w:bCs w:val="1"/>
                <w:color w:val="auto"/>
              </w:rPr>
              <w:t>TABLE OF CONTENTS</w:t>
            </w:r>
          </w:p>
        </w:tc>
        <w:tc>
          <w:tcPr>
            <w:tcW w:w="920" w:type="dxa"/>
            <w:vAlign w:val="bottom"/>
            <w:gridSpan w:val="6"/>
          </w:tcPr>
          <w:p>
            <w:pPr>
              <w:jc w:val="center"/>
              <w:ind w:right="4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0300" w:type="dxa"/>
            <w:vAlign w:val="bottom"/>
            <w:gridSpan w:val="28"/>
            <w:shd w:val="clear" w:color="auto" w:fill="CCEEFF"/>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Part I</w:t>
              </w:r>
            </w:hyperlink>
          </w:p>
        </w:tc>
        <w:tc>
          <w:tcPr>
            <w:tcW w:w="2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40" w:type="dxa"/>
            <w:vAlign w:val="bottom"/>
            <w:gridSpan w:val="26"/>
          </w:tcPr>
          <w:p>
            <w:pPr>
              <w:ind w:left="20"/>
              <w:spacing w:after="0" w:line="189" w:lineRule="exact"/>
              <w:rPr>
                <w:rFonts w:ascii="Arial" w:cs="Arial" w:eastAsia="Arial" w:hAnsi="Arial"/>
                <w:sz w:val="18"/>
                <w:szCs w:val="18"/>
                <w:color w:val="0000FF"/>
              </w:rPr>
            </w:pPr>
            <w:hyperlink w:anchor="page8">
              <w:r>
                <w:rPr>
                  <w:rFonts w:ascii="Arial" w:cs="Arial" w:eastAsia="Arial" w:hAnsi="Arial"/>
                  <w:sz w:val="18"/>
                  <w:szCs w:val="18"/>
                  <w:color w:val="0000FF"/>
                </w:rPr>
                <w:t>Item 1 – Business</w:t>
              </w:r>
            </w:hyperlink>
          </w:p>
        </w:tc>
        <w:tc>
          <w:tcPr>
            <w:tcW w:w="540" w:type="dxa"/>
            <w:vAlign w:val="bottom"/>
            <w:gridSpan w:val="3"/>
          </w:tcPr>
          <w:p>
            <w:pPr>
              <w:jc w:val="center"/>
              <w:ind w:left="250"/>
              <w:spacing w:after="0" w:line="189" w:lineRule="exact"/>
              <w:rPr>
                <w:rFonts w:ascii="Arial" w:cs="Arial" w:eastAsia="Arial" w:hAnsi="Arial"/>
                <w:sz w:val="18"/>
                <w:szCs w:val="18"/>
                <w:color w:val="0000FF"/>
                <w:w w:val="79"/>
              </w:rPr>
            </w:pPr>
            <w:hyperlink w:anchor="page8">
              <w:r>
                <w:rPr>
                  <w:rFonts w:ascii="Arial" w:cs="Arial" w:eastAsia="Arial" w:hAnsi="Arial"/>
                  <w:sz w:val="18"/>
                  <w:szCs w:val="18"/>
                  <w:color w:val="0000FF"/>
                  <w:w w:val="79"/>
                </w:rPr>
                <w:t>7</w:t>
              </w:r>
            </w:hyperlink>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40" w:type="dxa"/>
            <w:vAlign w:val="bottom"/>
            <w:gridSpan w:val="26"/>
            <w:shd w:val="clear" w:color="auto" w:fill="CCEEFF"/>
          </w:tcPr>
          <w:p>
            <w:pPr>
              <w:ind w:left="20"/>
              <w:spacing w:after="0" w:line="189" w:lineRule="exact"/>
              <w:rPr>
                <w:rFonts w:ascii="Arial" w:cs="Arial" w:eastAsia="Arial" w:hAnsi="Arial"/>
                <w:sz w:val="18"/>
                <w:szCs w:val="18"/>
                <w:color w:val="0000FF"/>
              </w:rPr>
            </w:pPr>
            <w:hyperlink w:anchor="page25">
              <w:r>
                <w:rPr>
                  <w:rFonts w:ascii="Arial" w:cs="Arial" w:eastAsia="Arial" w:hAnsi="Arial"/>
                  <w:sz w:val="18"/>
                  <w:szCs w:val="18"/>
                  <w:color w:val="0000FF"/>
                </w:rPr>
                <w:t>Item 1A – Risk Factors</w:t>
              </w:r>
            </w:hyperlink>
          </w:p>
        </w:tc>
        <w:tc>
          <w:tcPr>
            <w:tcW w:w="540" w:type="dxa"/>
            <w:vAlign w:val="bottom"/>
            <w:tcBorders>
              <w:right w:val="single" w:sz="8" w:color="CCEEFF"/>
            </w:tcBorders>
            <w:gridSpan w:val="3"/>
            <w:shd w:val="clear" w:color="auto" w:fill="CCEEFF"/>
          </w:tcPr>
          <w:p>
            <w:pPr>
              <w:jc w:val="center"/>
              <w:ind w:left="270"/>
              <w:spacing w:after="0" w:line="189" w:lineRule="exact"/>
              <w:rPr>
                <w:rFonts w:ascii="Arial" w:cs="Arial" w:eastAsia="Arial" w:hAnsi="Arial"/>
                <w:sz w:val="18"/>
                <w:szCs w:val="18"/>
                <w:color w:val="0000FF"/>
                <w:w w:val="89"/>
              </w:rPr>
            </w:pPr>
            <w:hyperlink w:anchor="page25">
              <w:r>
                <w:rPr>
                  <w:rFonts w:ascii="Arial" w:cs="Arial" w:eastAsia="Arial" w:hAnsi="Arial"/>
                  <w:sz w:val="18"/>
                  <w:szCs w:val="18"/>
                  <w:color w:val="0000FF"/>
                  <w:w w:val="89"/>
                </w:rPr>
                <w:t>23</w:t>
              </w:r>
            </w:hyperlink>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40" w:type="dxa"/>
            <w:vAlign w:val="bottom"/>
            <w:gridSpan w:val="26"/>
          </w:tcPr>
          <w:p>
            <w:pPr>
              <w:ind w:left="20"/>
              <w:spacing w:after="0" w:line="189" w:lineRule="exact"/>
              <w:rPr>
                <w:rFonts w:ascii="Arial" w:cs="Arial" w:eastAsia="Arial" w:hAnsi="Arial"/>
                <w:sz w:val="18"/>
                <w:szCs w:val="18"/>
                <w:color w:val="0000FF"/>
              </w:rPr>
            </w:pPr>
            <w:hyperlink w:anchor="page53">
              <w:r>
                <w:rPr>
                  <w:rFonts w:ascii="Arial" w:cs="Arial" w:eastAsia="Arial" w:hAnsi="Arial"/>
                  <w:sz w:val="18"/>
                  <w:szCs w:val="18"/>
                  <w:color w:val="0000FF"/>
                </w:rPr>
                <w:t>Item 1B – Unresolved Staff Comments</w:t>
              </w:r>
            </w:hyperlink>
          </w:p>
        </w:tc>
        <w:tc>
          <w:tcPr>
            <w:tcW w:w="540" w:type="dxa"/>
            <w:vAlign w:val="bottom"/>
            <w:gridSpan w:val="3"/>
          </w:tcPr>
          <w:p>
            <w:pPr>
              <w:jc w:val="center"/>
              <w:ind w:left="270"/>
              <w:spacing w:after="0" w:line="189" w:lineRule="exact"/>
              <w:rPr>
                <w:rFonts w:ascii="Arial" w:cs="Arial" w:eastAsia="Arial" w:hAnsi="Arial"/>
                <w:sz w:val="18"/>
                <w:szCs w:val="18"/>
                <w:color w:val="0000FF"/>
                <w:w w:val="89"/>
              </w:rPr>
            </w:pPr>
            <w:hyperlink w:anchor="page53">
              <w:r>
                <w:rPr>
                  <w:rFonts w:ascii="Arial" w:cs="Arial" w:eastAsia="Arial" w:hAnsi="Arial"/>
                  <w:sz w:val="18"/>
                  <w:szCs w:val="18"/>
                  <w:color w:val="0000FF"/>
                  <w:w w:val="89"/>
                </w:rPr>
                <w:t>52</w:t>
              </w:r>
            </w:hyperlink>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40" w:type="dxa"/>
            <w:vAlign w:val="bottom"/>
            <w:gridSpan w:val="26"/>
            <w:shd w:val="clear" w:color="auto" w:fill="CCEEFF"/>
          </w:tcPr>
          <w:p>
            <w:pPr>
              <w:ind w:left="20"/>
              <w:spacing w:after="0" w:line="189" w:lineRule="exact"/>
              <w:rPr>
                <w:rFonts w:ascii="Arial" w:cs="Arial" w:eastAsia="Arial" w:hAnsi="Arial"/>
                <w:sz w:val="18"/>
                <w:szCs w:val="18"/>
                <w:color w:val="0000FF"/>
              </w:rPr>
            </w:pPr>
            <w:hyperlink w:anchor="page54">
              <w:r>
                <w:rPr>
                  <w:rFonts w:ascii="Arial" w:cs="Arial" w:eastAsia="Arial" w:hAnsi="Arial"/>
                  <w:sz w:val="18"/>
                  <w:szCs w:val="18"/>
                  <w:color w:val="0000FF"/>
                </w:rPr>
                <w:t>Item 2 – Properties</w:t>
              </w:r>
            </w:hyperlink>
          </w:p>
        </w:tc>
        <w:tc>
          <w:tcPr>
            <w:tcW w:w="540" w:type="dxa"/>
            <w:vAlign w:val="bottom"/>
            <w:tcBorders>
              <w:right w:val="single" w:sz="8" w:color="CCEEFF"/>
            </w:tcBorders>
            <w:gridSpan w:val="3"/>
            <w:shd w:val="clear" w:color="auto" w:fill="CCEEFF"/>
          </w:tcPr>
          <w:p>
            <w:pPr>
              <w:jc w:val="center"/>
              <w:ind w:left="270"/>
              <w:spacing w:after="0" w:line="189" w:lineRule="exact"/>
              <w:rPr>
                <w:rFonts w:ascii="Arial" w:cs="Arial" w:eastAsia="Arial" w:hAnsi="Arial"/>
                <w:sz w:val="18"/>
                <w:szCs w:val="18"/>
                <w:color w:val="0000FF"/>
                <w:w w:val="89"/>
              </w:rPr>
            </w:pPr>
            <w:hyperlink w:anchor="page54">
              <w:r>
                <w:rPr>
                  <w:rFonts w:ascii="Arial" w:cs="Arial" w:eastAsia="Arial" w:hAnsi="Arial"/>
                  <w:sz w:val="18"/>
                  <w:szCs w:val="18"/>
                  <w:color w:val="0000FF"/>
                  <w:w w:val="89"/>
                </w:rPr>
                <w:t>52</w:t>
              </w:r>
            </w:hyperlink>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40" w:type="dxa"/>
            <w:vAlign w:val="bottom"/>
            <w:gridSpan w:val="26"/>
          </w:tcPr>
          <w:p>
            <w:pPr>
              <w:ind w:left="20"/>
              <w:spacing w:after="0" w:line="189" w:lineRule="exact"/>
              <w:rPr>
                <w:rFonts w:ascii="Arial" w:cs="Arial" w:eastAsia="Arial" w:hAnsi="Arial"/>
                <w:sz w:val="18"/>
                <w:szCs w:val="18"/>
                <w:color w:val="0000FF"/>
              </w:rPr>
            </w:pPr>
            <w:hyperlink w:anchor="page54">
              <w:r>
                <w:rPr>
                  <w:rFonts w:ascii="Arial" w:cs="Arial" w:eastAsia="Arial" w:hAnsi="Arial"/>
                  <w:sz w:val="18"/>
                  <w:szCs w:val="18"/>
                  <w:color w:val="0000FF"/>
                </w:rPr>
                <w:t>Item 3 – Legal Proceedings</w:t>
              </w:r>
            </w:hyperlink>
          </w:p>
        </w:tc>
        <w:tc>
          <w:tcPr>
            <w:tcW w:w="540" w:type="dxa"/>
            <w:vAlign w:val="bottom"/>
            <w:gridSpan w:val="3"/>
          </w:tcPr>
          <w:p>
            <w:pPr>
              <w:jc w:val="center"/>
              <w:ind w:left="270"/>
              <w:spacing w:after="0" w:line="189" w:lineRule="exact"/>
              <w:rPr>
                <w:rFonts w:ascii="Arial" w:cs="Arial" w:eastAsia="Arial" w:hAnsi="Arial"/>
                <w:sz w:val="18"/>
                <w:szCs w:val="18"/>
                <w:color w:val="0000FF"/>
                <w:w w:val="89"/>
              </w:rPr>
            </w:pPr>
            <w:hyperlink w:anchor="page54">
              <w:r>
                <w:rPr>
                  <w:rFonts w:ascii="Arial" w:cs="Arial" w:eastAsia="Arial" w:hAnsi="Arial"/>
                  <w:sz w:val="18"/>
                  <w:szCs w:val="18"/>
                  <w:color w:val="0000FF"/>
                  <w:w w:val="89"/>
                </w:rPr>
                <w:t>52</w:t>
              </w:r>
            </w:hyperlink>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40" w:type="dxa"/>
            <w:vAlign w:val="bottom"/>
            <w:gridSpan w:val="26"/>
            <w:shd w:val="clear" w:color="auto" w:fill="CCEEFF"/>
          </w:tcPr>
          <w:p>
            <w:pPr>
              <w:ind w:left="20"/>
              <w:spacing w:after="0" w:line="189" w:lineRule="exact"/>
              <w:rPr>
                <w:rFonts w:ascii="Arial" w:cs="Arial" w:eastAsia="Arial" w:hAnsi="Arial"/>
                <w:sz w:val="18"/>
                <w:szCs w:val="18"/>
                <w:color w:val="0000FF"/>
              </w:rPr>
            </w:pPr>
            <w:hyperlink w:anchor="page54">
              <w:r>
                <w:rPr>
                  <w:rFonts w:ascii="Arial" w:cs="Arial" w:eastAsia="Arial" w:hAnsi="Arial"/>
                  <w:sz w:val="18"/>
                  <w:szCs w:val="18"/>
                  <w:color w:val="0000FF"/>
                </w:rPr>
                <w:t>Item 4 – Mine Safety Disclosures</w:t>
              </w:r>
            </w:hyperlink>
          </w:p>
        </w:tc>
        <w:tc>
          <w:tcPr>
            <w:tcW w:w="540" w:type="dxa"/>
            <w:vAlign w:val="bottom"/>
            <w:tcBorders>
              <w:right w:val="single" w:sz="8" w:color="CCEEFF"/>
            </w:tcBorders>
            <w:gridSpan w:val="3"/>
            <w:shd w:val="clear" w:color="auto" w:fill="CCEEFF"/>
          </w:tcPr>
          <w:p>
            <w:pPr>
              <w:jc w:val="center"/>
              <w:ind w:left="270"/>
              <w:spacing w:after="0" w:line="189" w:lineRule="exact"/>
              <w:rPr>
                <w:rFonts w:ascii="Arial" w:cs="Arial" w:eastAsia="Arial" w:hAnsi="Arial"/>
                <w:sz w:val="18"/>
                <w:szCs w:val="18"/>
                <w:color w:val="0000FF"/>
                <w:w w:val="89"/>
              </w:rPr>
            </w:pPr>
            <w:hyperlink w:anchor="page54">
              <w:r>
                <w:rPr>
                  <w:rFonts w:ascii="Arial" w:cs="Arial" w:eastAsia="Arial" w:hAnsi="Arial"/>
                  <w:sz w:val="18"/>
                  <w:szCs w:val="18"/>
                  <w:color w:val="0000FF"/>
                  <w:w w:val="89"/>
                </w:rPr>
                <w:t>52</w:t>
              </w:r>
            </w:hyperlink>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gridSpan w:val="2"/>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Part II</w:t>
              </w:r>
            </w:hyperlink>
          </w:p>
        </w:tc>
        <w:tc>
          <w:tcPr>
            <w:tcW w:w="2420" w:type="dxa"/>
            <w:vAlign w:val="bottom"/>
            <w:tcBorders>
              <w:top w:val="single" w:sz="8" w:color="0000FF"/>
            </w:tcBorders>
            <w:gridSpan w:val="8"/>
          </w:tcPr>
          <w:p>
            <w:pPr>
              <w:spacing w:after="0"/>
              <w:rPr>
                <w:sz w:val="19"/>
                <w:szCs w:val="19"/>
                <w:color w:val="auto"/>
              </w:rPr>
            </w:pPr>
          </w:p>
        </w:tc>
        <w:tc>
          <w:tcPr>
            <w:tcW w:w="7020" w:type="dxa"/>
            <w:vAlign w:val="bottom"/>
            <w:tcBorders>
              <w:top w:val="single" w:sz="8" w:color="CCEEFF"/>
            </w:tcBorders>
            <w:gridSpan w:val="18"/>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0" w:type="dxa"/>
            <w:vAlign w:val="bottom"/>
            <w:gridSpan w:val="25"/>
            <w:shd w:val="clear" w:color="auto" w:fill="CCEEFF"/>
          </w:tcPr>
          <w:p>
            <w:pPr>
              <w:ind w:left="20"/>
              <w:spacing w:after="0" w:line="189" w:lineRule="exact"/>
              <w:rPr>
                <w:rFonts w:ascii="Arial" w:cs="Arial" w:eastAsia="Arial" w:hAnsi="Arial"/>
                <w:sz w:val="18"/>
                <w:szCs w:val="18"/>
                <w:color w:val="0000FF"/>
                <w:w w:val="90"/>
              </w:rPr>
            </w:pPr>
            <w:hyperlink w:anchor="page55">
              <w:r>
                <w:rPr>
                  <w:rFonts w:ascii="Arial" w:cs="Arial" w:eastAsia="Arial" w:hAnsi="Arial"/>
                  <w:sz w:val="18"/>
                  <w:szCs w:val="18"/>
                  <w:color w:val="0000FF"/>
                  <w:w w:val="90"/>
                </w:rPr>
                <w:t>Item 5 – Market for the Registrant’s Common Equity, Related Stockholder Matters and Issuer Purchases of Equity Securities</w:t>
              </w:r>
            </w:hyperlink>
          </w:p>
        </w:tc>
        <w:tc>
          <w:tcPr>
            <w:tcW w:w="440" w:type="dxa"/>
            <w:vAlign w:val="bottom"/>
            <w:shd w:val="clear" w:color="auto" w:fill="CCEEFF"/>
          </w:tcPr>
          <w:p>
            <w:pPr>
              <w:spacing w:after="0"/>
              <w:rPr>
                <w:sz w:val="16"/>
                <w:szCs w:val="16"/>
                <w:color w:val="auto"/>
              </w:rPr>
            </w:pPr>
          </w:p>
        </w:tc>
        <w:tc>
          <w:tcPr>
            <w:tcW w:w="540" w:type="dxa"/>
            <w:vAlign w:val="bottom"/>
            <w:tcBorders>
              <w:right w:val="single" w:sz="8" w:color="CCEEFF"/>
            </w:tcBorders>
            <w:gridSpan w:val="3"/>
            <w:shd w:val="clear" w:color="auto" w:fill="CCEEFF"/>
          </w:tcPr>
          <w:p>
            <w:pPr>
              <w:jc w:val="center"/>
              <w:ind w:left="270"/>
              <w:spacing w:after="0" w:line="189" w:lineRule="exact"/>
              <w:rPr>
                <w:rFonts w:ascii="Arial" w:cs="Arial" w:eastAsia="Arial" w:hAnsi="Arial"/>
                <w:sz w:val="18"/>
                <w:szCs w:val="18"/>
                <w:color w:val="0000FF"/>
                <w:w w:val="89"/>
              </w:rPr>
            </w:pPr>
            <w:hyperlink w:anchor="page55">
              <w:r>
                <w:rPr>
                  <w:rFonts w:ascii="Arial" w:cs="Arial" w:eastAsia="Arial" w:hAnsi="Arial"/>
                  <w:sz w:val="18"/>
                  <w:szCs w:val="18"/>
                  <w:color w:val="0000FF"/>
                  <w:w w:val="89"/>
                </w:rPr>
                <w:t>53</w:t>
              </w:r>
            </w:hyperlink>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0" w:type="dxa"/>
            <w:vAlign w:val="bottom"/>
            <w:gridSpan w:val="25"/>
          </w:tcPr>
          <w:p>
            <w:pPr>
              <w:ind w:left="20"/>
              <w:spacing w:after="0" w:line="189" w:lineRule="exact"/>
              <w:rPr>
                <w:rFonts w:ascii="Arial" w:cs="Arial" w:eastAsia="Arial" w:hAnsi="Arial"/>
                <w:sz w:val="18"/>
                <w:szCs w:val="18"/>
                <w:color w:val="0000FF"/>
              </w:rPr>
            </w:pPr>
            <w:hyperlink w:anchor="page57">
              <w:r>
                <w:rPr>
                  <w:rFonts w:ascii="Arial" w:cs="Arial" w:eastAsia="Arial" w:hAnsi="Arial"/>
                  <w:sz w:val="18"/>
                  <w:szCs w:val="18"/>
                  <w:color w:val="0000FF"/>
                </w:rPr>
                <w:t>Item 6 – [Reserved]</w:t>
              </w:r>
            </w:hyperlink>
          </w:p>
        </w:tc>
        <w:tc>
          <w:tcPr>
            <w:tcW w:w="440" w:type="dxa"/>
            <w:vAlign w:val="bottom"/>
          </w:tcPr>
          <w:p>
            <w:pPr>
              <w:spacing w:after="0"/>
              <w:rPr>
                <w:sz w:val="16"/>
                <w:szCs w:val="16"/>
                <w:color w:val="auto"/>
              </w:rPr>
            </w:pPr>
          </w:p>
        </w:tc>
        <w:tc>
          <w:tcPr>
            <w:tcW w:w="540" w:type="dxa"/>
            <w:vAlign w:val="bottom"/>
            <w:gridSpan w:val="3"/>
          </w:tcPr>
          <w:p>
            <w:pPr>
              <w:jc w:val="center"/>
              <w:ind w:left="270"/>
              <w:spacing w:after="0" w:line="189" w:lineRule="exact"/>
              <w:rPr>
                <w:rFonts w:ascii="Arial" w:cs="Arial" w:eastAsia="Arial" w:hAnsi="Arial"/>
                <w:sz w:val="18"/>
                <w:szCs w:val="18"/>
                <w:color w:val="0000FF"/>
                <w:w w:val="89"/>
              </w:rPr>
            </w:pPr>
            <w:hyperlink w:anchor="page57">
              <w:r>
                <w:rPr>
                  <w:rFonts w:ascii="Arial" w:cs="Arial" w:eastAsia="Arial" w:hAnsi="Arial"/>
                  <w:sz w:val="18"/>
                  <w:szCs w:val="18"/>
                  <w:color w:val="0000FF"/>
                  <w:w w:val="89"/>
                </w:rPr>
                <w:t>55</w:t>
              </w:r>
            </w:hyperlink>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120" w:type="dxa"/>
            <w:vAlign w:val="bottom"/>
            <w:gridSpan w:val="22"/>
            <w:shd w:val="clear" w:color="auto" w:fill="CCEEFF"/>
          </w:tcPr>
          <w:p>
            <w:pPr>
              <w:ind w:left="20"/>
              <w:spacing w:after="0" w:line="189" w:lineRule="exact"/>
              <w:rPr>
                <w:rFonts w:ascii="Arial" w:cs="Arial" w:eastAsia="Arial" w:hAnsi="Arial"/>
                <w:sz w:val="18"/>
                <w:szCs w:val="18"/>
                <w:color w:val="0000FF"/>
                <w:w w:val="90"/>
              </w:rPr>
            </w:pPr>
            <w:hyperlink w:anchor="page57">
              <w:r>
                <w:rPr>
                  <w:rFonts w:ascii="Arial" w:cs="Arial" w:eastAsia="Arial" w:hAnsi="Arial"/>
                  <w:sz w:val="18"/>
                  <w:szCs w:val="18"/>
                  <w:color w:val="0000FF"/>
                  <w:w w:val="90"/>
                </w:rPr>
                <w:t>Item 7 – Management’s Discussion and Analysis of Financial Condition and Results of Operations</w:t>
              </w:r>
            </w:hyperlink>
          </w:p>
        </w:tc>
        <w:tc>
          <w:tcPr>
            <w:tcW w:w="2320" w:type="dxa"/>
            <w:vAlign w:val="bottom"/>
            <w:gridSpan w:val="4"/>
            <w:shd w:val="clear" w:color="auto" w:fill="CCEEFF"/>
          </w:tcPr>
          <w:p>
            <w:pPr>
              <w:spacing w:after="0"/>
              <w:rPr>
                <w:sz w:val="16"/>
                <w:szCs w:val="16"/>
                <w:color w:val="auto"/>
              </w:rPr>
            </w:pPr>
          </w:p>
        </w:tc>
        <w:tc>
          <w:tcPr>
            <w:tcW w:w="540" w:type="dxa"/>
            <w:vAlign w:val="bottom"/>
            <w:tcBorders>
              <w:right w:val="single" w:sz="8" w:color="CCEEFF"/>
            </w:tcBorders>
            <w:gridSpan w:val="3"/>
            <w:shd w:val="clear" w:color="auto" w:fill="CCEEFF"/>
          </w:tcPr>
          <w:p>
            <w:pPr>
              <w:jc w:val="center"/>
              <w:ind w:left="270"/>
              <w:spacing w:after="0" w:line="189" w:lineRule="exact"/>
              <w:rPr>
                <w:rFonts w:ascii="Arial" w:cs="Arial" w:eastAsia="Arial" w:hAnsi="Arial"/>
                <w:sz w:val="18"/>
                <w:szCs w:val="18"/>
                <w:color w:val="0000FF"/>
                <w:w w:val="89"/>
              </w:rPr>
            </w:pPr>
            <w:hyperlink w:anchor="page57">
              <w:r>
                <w:rPr>
                  <w:rFonts w:ascii="Arial" w:cs="Arial" w:eastAsia="Arial" w:hAnsi="Arial"/>
                  <w:sz w:val="18"/>
                  <w:szCs w:val="18"/>
                  <w:color w:val="0000FF"/>
                  <w:w w:val="89"/>
                </w:rPr>
                <w:t>56</w:t>
              </w:r>
            </w:hyperlink>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120" w:type="dxa"/>
            <w:vAlign w:val="bottom"/>
            <w:gridSpan w:val="22"/>
          </w:tcPr>
          <w:p>
            <w:pPr>
              <w:ind w:left="20"/>
              <w:spacing w:after="0" w:line="189" w:lineRule="exact"/>
              <w:rPr>
                <w:rFonts w:ascii="Arial" w:cs="Arial" w:eastAsia="Arial" w:hAnsi="Arial"/>
                <w:sz w:val="18"/>
                <w:szCs w:val="18"/>
                <w:color w:val="0000FF"/>
              </w:rPr>
            </w:pPr>
            <w:hyperlink w:anchor="page75">
              <w:r>
                <w:rPr>
                  <w:rFonts w:ascii="Arial" w:cs="Arial" w:eastAsia="Arial" w:hAnsi="Arial"/>
                  <w:sz w:val="18"/>
                  <w:szCs w:val="18"/>
                  <w:color w:val="0000FF"/>
                </w:rPr>
                <w:t>Item 7A – Quantitative and Qualitative Disclosures About Market Risk</w:t>
              </w:r>
            </w:hyperlink>
          </w:p>
        </w:tc>
        <w:tc>
          <w:tcPr>
            <w:tcW w:w="2320" w:type="dxa"/>
            <w:vAlign w:val="bottom"/>
            <w:gridSpan w:val="4"/>
          </w:tcPr>
          <w:p>
            <w:pPr>
              <w:spacing w:after="0"/>
              <w:rPr>
                <w:sz w:val="16"/>
                <w:szCs w:val="16"/>
                <w:color w:val="auto"/>
              </w:rPr>
            </w:pPr>
          </w:p>
        </w:tc>
        <w:tc>
          <w:tcPr>
            <w:tcW w:w="540" w:type="dxa"/>
            <w:vAlign w:val="bottom"/>
            <w:gridSpan w:val="3"/>
          </w:tcPr>
          <w:p>
            <w:pPr>
              <w:jc w:val="center"/>
              <w:ind w:left="270"/>
              <w:spacing w:after="0" w:line="189" w:lineRule="exact"/>
              <w:rPr>
                <w:rFonts w:ascii="Arial" w:cs="Arial" w:eastAsia="Arial" w:hAnsi="Arial"/>
                <w:sz w:val="18"/>
                <w:szCs w:val="18"/>
                <w:color w:val="0000FF"/>
                <w:w w:val="89"/>
              </w:rPr>
            </w:pPr>
            <w:hyperlink w:anchor="page75">
              <w:r>
                <w:rPr>
                  <w:rFonts w:ascii="Arial" w:cs="Arial" w:eastAsia="Arial" w:hAnsi="Arial"/>
                  <w:sz w:val="18"/>
                  <w:szCs w:val="18"/>
                  <w:color w:val="0000FF"/>
                  <w:w w:val="89"/>
                </w:rPr>
                <w:t>73</w:t>
              </w:r>
            </w:hyperlink>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40" w:type="dxa"/>
            <w:vAlign w:val="bottom"/>
            <w:gridSpan w:val="26"/>
            <w:shd w:val="clear" w:color="auto" w:fill="CCEEFF"/>
          </w:tcPr>
          <w:p>
            <w:pPr>
              <w:ind w:left="20"/>
              <w:spacing w:after="0" w:line="189" w:lineRule="exact"/>
              <w:rPr>
                <w:rFonts w:ascii="Arial" w:cs="Arial" w:eastAsia="Arial" w:hAnsi="Arial"/>
                <w:sz w:val="18"/>
                <w:szCs w:val="18"/>
                <w:color w:val="0000FF"/>
              </w:rPr>
            </w:pPr>
            <w:hyperlink w:anchor="page75">
              <w:r>
                <w:rPr>
                  <w:rFonts w:ascii="Arial" w:cs="Arial" w:eastAsia="Arial" w:hAnsi="Arial"/>
                  <w:sz w:val="18"/>
                  <w:szCs w:val="18"/>
                  <w:color w:val="0000FF"/>
                </w:rPr>
                <w:t>Item 8 – Financial Statements and Supplementary Data</w:t>
              </w:r>
            </w:hyperlink>
          </w:p>
        </w:tc>
        <w:tc>
          <w:tcPr>
            <w:tcW w:w="540" w:type="dxa"/>
            <w:vAlign w:val="bottom"/>
            <w:tcBorders>
              <w:right w:val="single" w:sz="8" w:color="CCEEFF"/>
            </w:tcBorders>
            <w:gridSpan w:val="3"/>
            <w:shd w:val="clear" w:color="auto" w:fill="CCEEFF"/>
          </w:tcPr>
          <w:p>
            <w:pPr>
              <w:jc w:val="center"/>
              <w:ind w:left="270"/>
              <w:spacing w:after="0" w:line="189" w:lineRule="exact"/>
              <w:rPr>
                <w:rFonts w:ascii="Arial" w:cs="Arial" w:eastAsia="Arial" w:hAnsi="Arial"/>
                <w:sz w:val="18"/>
                <w:szCs w:val="18"/>
                <w:color w:val="0000FF"/>
                <w:w w:val="89"/>
              </w:rPr>
            </w:pPr>
            <w:hyperlink w:anchor="page75">
              <w:r>
                <w:rPr>
                  <w:rFonts w:ascii="Arial" w:cs="Arial" w:eastAsia="Arial" w:hAnsi="Arial"/>
                  <w:sz w:val="18"/>
                  <w:szCs w:val="18"/>
                  <w:color w:val="0000FF"/>
                  <w:w w:val="89"/>
                </w:rPr>
                <w:t>73</w:t>
              </w:r>
            </w:hyperlink>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40" w:type="dxa"/>
            <w:vAlign w:val="bottom"/>
            <w:gridSpan w:val="26"/>
          </w:tcPr>
          <w:p>
            <w:pPr>
              <w:ind w:left="20"/>
              <w:spacing w:after="0" w:line="189" w:lineRule="exact"/>
              <w:rPr>
                <w:rFonts w:ascii="Arial" w:cs="Arial" w:eastAsia="Arial" w:hAnsi="Arial"/>
                <w:sz w:val="18"/>
                <w:szCs w:val="18"/>
                <w:color w:val="0000FF"/>
              </w:rPr>
            </w:pPr>
            <w:hyperlink w:anchor="page75">
              <w:r>
                <w:rPr>
                  <w:rFonts w:ascii="Arial" w:cs="Arial" w:eastAsia="Arial" w:hAnsi="Arial"/>
                  <w:sz w:val="18"/>
                  <w:szCs w:val="18"/>
                  <w:color w:val="0000FF"/>
                </w:rPr>
                <w:t>Item 9 – Changes in and Disagreements with Accountants on Accounting and Financial Disclosure</w:t>
              </w:r>
            </w:hyperlink>
          </w:p>
        </w:tc>
        <w:tc>
          <w:tcPr>
            <w:tcW w:w="540" w:type="dxa"/>
            <w:vAlign w:val="bottom"/>
            <w:gridSpan w:val="3"/>
          </w:tcPr>
          <w:p>
            <w:pPr>
              <w:jc w:val="center"/>
              <w:ind w:left="270"/>
              <w:spacing w:after="0" w:line="189" w:lineRule="exact"/>
              <w:rPr>
                <w:rFonts w:ascii="Arial" w:cs="Arial" w:eastAsia="Arial" w:hAnsi="Arial"/>
                <w:sz w:val="18"/>
                <w:szCs w:val="18"/>
                <w:color w:val="0000FF"/>
                <w:w w:val="89"/>
              </w:rPr>
            </w:pPr>
            <w:hyperlink w:anchor="page75">
              <w:r>
                <w:rPr>
                  <w:rFonts w:ascii="Arial" w:cs="Arial" w:eastAsia="Arial" w:hAnsi="Arial"/>
                  <w:sz w:val="18"/>
                  <w:szCs w:val="18"/>
                  <w:color w:val="0000FF"/>
                  <w:w w:val="89"/>
                </w:rPr>
                <w:t>73</w:t>
              </w:r>
            </w:hyperlink>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560" w:type="dxa"/>
            <w:vAlign w:val="bottom"/>
            <w:gridSpan w:val="10"/>
            <w:shd w:val="clear" w:color="auto" w:fill="CCEEFF"/>
          </w:tcPr>
          <w:p>
            <w:pPr>
              <w:ind w:left="20"/>
              <w:spacing w:after="0" w:line="189" w:lineRule="exact"/>
              <w:rPr>
                <w:rFonts w:ascii="Arial" w:cs="Arial" w:eastAsia="Arial" w:hAnsi="Arial"/>
                <w:sz w:val="18"/>
                <w:szCs w:val="18"/>
                <w:color w:val="0000FF"/>
                <w:w w:val="89"/>
              </w:rPr>
            </w:pPr>
            <w:hyperlink w:anchor="page75">
              <w:r>
                <w:rPr>
                  <w:rFonts w:ascii="Arial" w:cs="Arial" w:eastAsia="Arial" w:hAnsi="Arial"/>
                  <w:sz w:val="18"/>
                  <w:szCs w:val="18"/>
                  <w:color w:val="0000FF"/>
                  <w:w w:val="89"/>
                </w:rPr>
                <w:t>Item 9A – Controls and Procedures</w:t>
              </w:r>
            </w:hyperlink>
          </w:p>
        </w:tc>
        <w:tc>
          <w:tcPr>
            <w:tcW w:w="6880" w:type="dxa"/>
            <w:vAlign w:val="bottom"/>
            <w:gridSpan w:val="16"/>
            <w:shd w:val="clear" w:color="auto" w:fill="CCEEFF"/>
          </w:tcPr>
          <w:p>
            <w:pPr>
              <w:spacing w:after="0"/>
              <w:rPr>
                <w:sz w:val="16"/>
                <w:szCs w:val="16"/>
                <w:color w:val="auto"/>
              </w:rPr>
            </w:pPr>
          </w:p>
        </w:tc>
        <w:tc>
          <w:tcPr>
            <w:tcW w:w="540" w:type="dxa"/>
            <w:vAlign w:val="bottom"/>
            <w:tcBorders>
              <w:right w:val="single" w:sz="8" w:color="CCEEFF"/>
            </w:tcBorders>
            <w:gridSpan w:val="3"/>
            <w:shd w:val="clear" w:color="auto" w:fill="CCEEFF"/>
          </w:tcPr>
          <w:p>
            <w:pPr>
              <w:jc w:val="center"/>
              <w:ind w:left="270"/>
              <w:spacing w:after="0" w:line="189" w:lineRule="exact"/>
              <w:rPr>
                <w:rFonts w:ascii="Arial" w:cs="Arial" w:eastAsia="Arial" w:hAnsi="Arial"/>
                <w:sz w:val="18"/>
                <w:szCs w:val="18"/>
                <w:color w:val="0000FF"/>
                <w:w w:val="89"/>
              </w:rPr>
            </w:pPr>
            <w:hyperlink w:anchor="page75">
              <w:r>
                <w:rPr>
                  <w:rFonts w:ascii="Arial" w:cs="Arial" w:eastAsia="Arial" w:hAnsi="Arial"/>
                  <w:sz w:val="18"/>
                  <w:szCs w:val="18"/>
                  <w:color w:val="0000FF"/>
                  <w:w w:val="89"/>
                </w:rPr>
                <w:t>74</w:t>
              </w:r>
            </w:hyperlink>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10"/>
          </w:tcPr>
          <w:p>
            <w:pPr>
              <w:ind w:left="20"/>
              <w:spacing w:after="0" w:line="189" w:lineRule="exact"/>
              <w:rPr>
                <w:rFonts w:ascii="Arial" w:cs="Arial" w:eastAsia="Arial" w:hAnsi="Arial"/>
                <w:sz w:val="18"/>
                <w:szCs w:val="18"/>
                <w:color w:val="0000FF"/>
              </w:rPr>
            </w:pPr>
            <w:hyperlink w:anchor="page76">
              <w:r>
                <w:rPr>
                  <w:rFonts w:ascii="Arial" w:cs="Arial" w:eastAsia="Arial" w:hAnsi="Arial"/>
                  <w:sz w:val="18"/>
                  <w:szCs w:val="18"/>
                  <w:color w:val="0000FF"/>
                </w:rPr>
                <w:t>Item 9B – Other Information</w:t>
              </w:r>
            </w:hyperlink>
          </w:p>
        </w:tc>
        <w:tc>
          <w:tcPr>
            <w:tcW w:w="6880" w:type="dxa"/>
            <w:vAlign w:val="bottom"/>
            <w:gridSpan w:val="16"/>
          </w:tcPr>
          <w:p>
            <w:pPr>
              <w:spacing w:after="0"/>
              <w:rPr>
                <w:sz w:val="16"/>
                <w:szCs w:val="16"/>
                <w:color w:val="auto"/>
              </w:rPr>
            </w:pPr>
          </w:p>
        </w:tc>
        <w:tc>
          <w:tcPr>
            <w:tcW w:w="540" w:type="dxa"/>
            <w:vAlign w:val="bottom"/>
            <w:gridSpan w:val="3"/>
          </w:tcPr>
          <w:p>
            <w:pPr>
              <w:jc w:val="center"/>
              <w:ind w:left="270"/>
              <w:spacing w:after="0" w:line="189" w:lineRule="exact"/>
              <w:rPr>
                <w:rFonts w:ascii="Arial" w:cs="Arial" w:eastAsia="Arial" w:hAnsi="Arial"/>
                <w:sz w:val="18"/>
                <w:szCs w:val="18"/>
                <w:color w:val="0000FF"/>
                <w:w w:val="89"/>
              </w:rPr>
            </w:pPr>
            <w:hyperlink w:anchor="page76">
              <w:r>
                <w:rPr>
                  <w:rFonts w:ascii="Arial" w:cs="Arial" w:eastAsia="Arial" w:hAnsi="Arial"/>
                  <w:sz w:val="18"/>
                  <w:szCs w:val="18"/>
                  <w:color w:val="0000FF"/>
                  <w:w w:val="89"/>
                </w:rPr>
                <w:t>74</w:t>
              </w:r>
            </w:hyperlink>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40" w:type="dxa"/>
            <w:vAlign w:val="bottom"/>
            <w:gridSpan w:val="26"/>
            <w:shd w:val="clear" w:color="auto" w:fill="CCEEFF"/>
          </w:tcPr>
          <w:p>
            <w:pPr>
              <w:ind w:left="20"/>
              <w:spacing w:after="0" w:line="189" w:lineRule="exact"/>
              <w:rPr>
                <w:rFonts w:ascii="Arial" w:cs="Arial" w:eastAsia="Arial" w:hAnsi="Arial"/>
                <w:sz w:val="18"/>
                <w:szCs w:val="18"/>
                <w:color w:val="0000FF"/>
              </w:rPr>
            </w:pPr>
            <w:hyperlink w:anchor="page76">
              <w:r>
                <w:rPr>
                  <w:rFonts w:ascii="Arial" w:cs="Arial" w:eastAsia="Arial" w:hAnsi="Arial"/>
                  <w:sz w:val="18"/>
                  <w:szCs w:val="18"/>
                  <w:color w:val="0000FF"/>
                </w:rPr>
                <w:t>Item 9C - Disclosure Regarding Foreign Jurisdictions that Prevent Inspections</w:t>
              </w:r>
            </w:hyperlink>
          </w:p>
        </w:tc>
        <w:tc>
          <w:tcPr>
            <w:tcW w:w="540" w:type="dxa"/>
            <w:vAlign w:val="bottom"/>
            <w:tcBorders>
              <w:right w:val="single" w:sz="8" w:color="CCEEFF"/>
            </w:tcBorders>
            <w:gridSpan w:val="3"/>
            <w:shd w:val="clear" w:color="auto" w:fill="CCEEFF"/>
          </w:tcPr>
          <w:p>
            <w:pPr>
              <w:jc w:val="center"/>
              <w:ind w:left="270"/>
              <w:spacing w:after="0" w:line="189" w:lineRule="exact"/>
              <w:rPr>
                <w:rFonts w:ascii="Arial" w:cs="Arial" w:eastAsia="Arial" w:hAnsi="Arial"/>
                <w:sz w:val="18"/>
                <w:szCs w:val="18"/>
                <w:color w:val="0000FF"/>
                <w:w w:val="89"/>
              </w:rPr>
            </w:pPr>
            <w:hyperlink w:anchor="page76">
              <w:r>
                <w:rPr>
                  <w:rFonts w:ascii="Arial" w:cs="Arial" w:eastAsia="Arial" w:hAnsi="Arial"/>
                  <w:sz w:val="18"/>
                  <w:szCs w:val="18"/>
                  <w:color w:val="0000FF"/>
                  <w:w w:val="89"/>
                </w:rPr>
                <w:t>74</w:t>
              </w:r>
            </w:hyperlink>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gridSpan w:val="2"/>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Part III</w:t>
              </w:r>
            </w:hyperlink>
          </w:p>
        </w:tc>
        <w:tc>
          <w:tcPr>
            <w:tcW w:w="5640" w:type="dxa"/>
            <w:vAlign w:val="bottom"/>
            <w:tcBorders>
              <w:top w:val="single" w:sz="8" w:color="0000FF"/>
            </w:tcBorders>
            <w:gridSpan w:val="19"/>
          </w:tcPr>
          <w:p>
            <w:pPr>
              <w:spacing w:after="0"/>
              <w:rPr>
                <w:sz w:val="19"/>
                <w:szCs w:val="19"/>
                <w:color w:val="auto"/>
              </w:rPr>
            </w:pPr>
          </w:p>
        </w:tc>
        <w:tc>
          <w:tcPr>
            <w:tcW w:w="3800" w:type="dxa"/>
            <w:vAlign w:val="bottom"/>
            <w:tcBorders>
              <w:top w:val="single" w:sz="8" w:color="CCEEFF"/>
            </w:tcBorders>
            <w:gridSpan w:val="7"/>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40" w:type="dxa"/>
            <w:vAlign w:val="bottom"/>
            <w:gridSpan w:val="17"/>
            <w:shd w:val="clear" w:color="auto" w:fill="CCEEFF"/>
          </w:tcPr>
          <w:p>
            <w:pPr>
              <w:ind w:left="20"/>
              <w:spacing w:after="0" w:line="189" w:lineRule="exact"/>
              <w:rPr>
                <w:rFonts w:ascii="Arial" w:cs="Arial" w:eastAsia="Arial" w:hAnsi="Arial"/>
                <w:sz w:val="18"/>
                <w:szCs w:val="18"/>
                <w:color w:val="0000FF"/>
                <w:w w:val="90"/>
              </w:rPr>
            </w:pPr>
            <w:hyperlink w:anchor="page77">
              <w:r>
                <w:rPr>
                  <w:rFonts w:ascii="Arial" w:cs="Arial" w:eastAsia="Arial" w:hAnsi="Arial"/>
                  <w:sz w:val="18"/>
                  <w:szCs w:val="18"/>
                  <w:color w:val="0000FF"/>
                  <w:w w:val="90"/>
                </w:rPr>
                <w:t>Item 10 – Directors, Executive Officers and Corporate Governance</w:t>
              </w:r>
            </w:hyperlink>
          </w:p>
        </w:tc>
        <w:tc>
          <w:tcPr>
            <w:tcW w:w="4600" w:type="dxa"/>
            <w:vAlign w:val="bottom"/>
            <w:gridSpan w:val="9"/>
            <w:shd w:val="clear" w:color="auto" w:fill="CCEEFF"/>
          </w:tcPr>
          <w:p>
            <w:pPr>
              <w:spacing w:after="0"/>
              <w:rPr>
                <w:sz w:val="16"/>
                <w:szCs w:val="16"/>
                <w:color w:val="auto"/>
              </w:rPr>
            </w:pPr>
          </w:p>
        </w:tc>
        <w:tc>
          <w:tcPr>
            <w:tcW w:w="540" w:type="dxa"/>
            <w:vAlign w:val="bottom"/>
            <w:tcBorders>
              <w:right w:val="single" w:sz="8" w:color="CCEEFF"/>
            </w:tcBorders>
            <w:gridSpan w:val="3"/>
            <w:shd w:val="clear" w:color="auto" w:fill="CCEEFF"/>
          </w:tcPr>
          <w:p>
            <w:pPr>
              <w:jc w:val="center"/>
              <w:ind w:left="270"/>
              <w:spacing w:after="0" w:line="189" w:lineRule="exact"/>
              <w:rPr>
                <w:rFonts w:ascii="Arial" w:cs="Arial" w:eastAsia="Arial" w:hAnsi="Arial"/>
                <w:sz w:val="18"/>
                <w:szCs w:val="18"/>
                <w:color w:val="0000FF"/>
                <w:w w:val="89"/>
              </w:rPr>
            </w:pPr>
            <w:hyperlink w:anchor="page77">
              <w:r>
                <w:rPr>
                  <w:rFonts w:ascii="Arial" w:cs="Arial" w:eastAsia="Arial" w:hAnsi="Arial"/>
                  <w:sz w:val="18"/>
                  <w:szCs w:val="18"/>
                  <w:color w:val="0000FF"/>
                  <w:w w:val="89"/>
                </w:rPr>
                <w:t>75</w:t>
              </w:r>
            </w:hyperlink>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40" w:type="dxa"/>
            <w:vAlign w:val="bottom"/>
            <w:gridSpan w:val="17"/>
          </w:tcPr>
          <w:p>
            <w:pPr>
              <w:ind w:left="20"/>
              <w:spacing w:after="0" w:line="189" w:lineRule="exact"/>
              <w:rPr>
                <w:rFonts w:ascii="Arial" w:cs="Arial" w:eastAsia="Arial" w:hAnsi="Arial"/>
                <w:sz w:val="18"/>
                <w:szCs w:val="18"/>
                <w:color w:val="0000FF"/>
              </w:rPr>
            </w:pPr>
            <w:hyperlink w:anchor="page77">
              <w:r>
                <w:rPr>
                  <w:rFonts w:ascii="Arial" w:cs="Arial" w:eastAsia="Arial" w:hAnsi="Arial"/>
                  <w:sz w:val="18"/>
                  <w:szCs w:val="18"/>
                  <w:color w:val="0000FF"/>
                </w:rPr>
                <w:t>Item 11 – Executive Compensation</w:t>
              </w:r>
            </w:hyperlink>
          </w:p>
        </w:tc>
        <w:tc>
          <w:tcPr>
            <w:tcW w:w="4600" w:type="dxa"/>
            <w:vAlign w:val="bottom"/>
            <w:gridSpan w:val="9"/>
          </w:tcPr>
          <w:p>
            <w:pPr>
              <w:spacing w:after="0"/>
              <w:rPr>
                <w:sz w:val="16"/>
                <w:szCs w:val="16"/>
                <w:color w:val="auto"/>
              </w:rPr>
            </w:pPr>
          </w:p>
        </w:tc>
        <w:tc>
          <w:tcPr>
            <w:tcW w:w="540" w:type="dxa"/>
            <w:vAlign w:val="bottom"/>
            <w:gridSpan w:val="3"/>
          </w:tcPr>
          <w:p>
            <w:pPr>
              <w:jc w:val="center"/>
              <w:ind w:left="270"/>
              <w:spacing w:after="0" w:line="189" w:lineRule="exact"/>
              <w:rPr>
                <w:rFonts w:ascii="Arial" w:cs="Arial" w:eastAsia="Arial" w:hAnsi="Arial"/>
                <w:sz w:val="18"/>
                <w:szCs w:val="18"/>
                <w:color w:val="0000FF"/>
                <w:w w:val="89"/>
              </w:rPr>
            </w:pPr>
            <w:hyperlink w:anchor="page77">
              <w:r>
                <w:rPr>
                  <w:rFonts w:ascii="Arial" w:cs="Arial" w:eastAsia="Arial" w:hAnsi="Arial"/>
                  <w:sz w:val="18"/>
                  <w:szCs w:val="18"/>
                  <w:color w:val="0000FF"/>
                  <w:w w:val="89"/>
                </w:rPr>
                <w:t>75</w:t>
              </w:r>
            </w:hyperlink>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40" w:type="dxa"/>
            <w:vAlign w:val="bottom"/>
            <w:gridSpan w:val="24"/>
            <w:shd w:val="clear" w:color="auto" w:fill="CCEEFF"/>
          </w:tcPr>
          <w:p>
            <w:pPr>
              <w:ind w:left="20"/>
              <w:spacing w:after="0" w:line="189" w:lineRule="exact"/>
              <w:rPr>
                <w:rFonts w:ascii="Arial" w:cs="Arial" w:eastAsia="Arial" w:hAnsi="Arial"/>
                <w:sz w:val="18"/>
                <w:szCs w:val="18"/>
                <w:color w:val="0000FF"/>
                <w:w w:val="90"/>
              </w:rPr>
            </w:pPr>
            <w:hyperlink w:anchor="page77">
              <w:r>
                <w:rPr>
                  <w:rFonts w:ascii="Arial" w:cs="Arial" w:eastAsia="Arial" w:hAnsi="Arial"/>
                  <w:sz w:val="18"/>
                  <w:szCs w:val="18"/>
                  <w:color w:val="0000FF"/>
                  <w:w w:val="90"/>
                </w:rPr>
                <w:t>Item 12 – Security Ownership of Certain Beneficial Owners and Management and Related Stockholder Matters</w:t>
              </w:r>
            </w:hyperlink>
          </w:p>
        </w:tc>
        <w:tc>
          <w:tcPr>
            <w:tcW w:w="1400" w:type="dxa"/>
            <w:vAlign w:val="bottom"/>
            <w:gridSpan w:val="2"/>
            <w:shd w:val="clear" w:color="auto" w:fill="CCEEFF"/>
          </w:tcPr>
          <w:p>
            <w:pPr>
              <w:spacing w:after="0"/>
              <w:rPr>
                <w:sz w:val="16"/>
                <w:szCs w:val="16"/>
                <w:color w:val="auto"/>
              </w:rPr>
            </w:pPr>
          </w:p>
        </w:tc>
        <w:tc>
          <w:tcPr>
            <w:tcW w:w="540" w:type="dxa"/>
            <w:vAlign w:val="bottom"/>
            <w:tcBorders>
              <w:right w:val="single" w:sz="8" w:color="CCEEFF"/>
            </w:tcBorders>
            <w:gridSpan w:val="3"/>
            <w:shd w:val="clear" w:color="auto" w:fill="CCEEFF"/>
          </w:tcPr>
          <w:p>
            <w:pPr>
              <w:jc w:val="center"/>
              <w:ind w:left="270"/>
              <w:spacing w:after="0" w:line="189" w:lineRule="exact"/>
              <w:rPr>
                <w:rFonts w:ascii="Arial" w:cs="Arial" w:eastAsia="Arial" w:hAnsi="Arial"/>
                <w:sz w:val="18"/>
                <w:szCs w:val="18"/>
                <w:color w:val="0000FF"/>
                <w:w w:val="89"/>
              </w:rPr>
            </w:pPr>
            <w:hyperlink w:anchor="page77">
              <w:r>
                <w:rPr>
                  <w:rFonts w:ascii="Arial" w:cs="Arial" w:eastAsia="Arial" w:hAnsi="Arial"/>
                  <w:sz w:val="18"/>
                  <w:szCs w:val="18"/>
                  <w:color w:val="0000FF"/>
                  <w:w w:val="89"/>
                </w:rPr>
                <w:t>75</w:t>
              </w:r>
            </w:hyperlink>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40" w:type="dxa"/>
            <w:vAlign w:val="bottom"/>
            <w:gridSpan w:val="24"/>
          </w:tcPr>
          <w:p>
            <w:pPr>
              <w:ind w:left="20"/>
              <w:spacing w:after="0" w:line="189" w:lineRule="exact"/>
              <w:rPr>
                <w:rFonts w:ascii="Arial" w:cs="Arial" w:eastAsia="Arial" w:hAnsi="Arial"/>
                <w:sz w:val="18"/>
                <w:szCs w:val="18"/>
                <w:color w:val="0000FF"/>
              </w:rPr>
            </w:pPr>
            <w:hyperlink w:anchor="page77">
              <w:r>
                <w:rPr>
                  <w:rFonts w:ascii="Arial" w:cs="Arial" w:eastAsia="Arial" w:hAnsi="Arial"/>
                  <w:sz w:val="18"/>
                  <w:szCs w:val="18"/>
                  <w:color w:val="0000FF"/>
                </w:rPr>
                <w:t>Item 13 – Certain Relationships and Related Transactions, and Director Independence</w:t>
              </w:r>
            </w:hyperlink>
          </w:p>
        </w:tc>
        <w:tc>
          <w:tcPr>
            <w:tcW w:w="1400" w:type="dxa"/>
            <w:vAlign w:val="bottom"/>
            <w:gridSpan w:val="2"/>
          </w:tcPr>
          <w:p>
            <w:pPr>
              <w:spacing w:after="0"/>
              <w:rPr>
                <w:sz w:val="16"/>
                <w:szCs w:val="16"/>
                <w:color w:val="auto"/>
              </w:rPr>
            </w:pPr>
          </w:p>
        </w:tc>
        <w:tc>
          <w:tcPr>
            <w:tcW w:w="540" w:type="dxa"/>
            <w:vAlign w:val="bottom"/>
            <w:gridSpan w:val="3"/>
          </w:tcPr>
          <w:p>
            <w:pPr>
              <w:jc w:val="center"/>
              <w:ind w:left="270"/>
              <w:spacing w:after="0" w:line="189" w:lineRule="exact"/>
              <w:rPr>
                <w:rFonts w:ascii="Arial" w:cs="Arial" w:eastAsia="Arial" w:hAnsi="Arial"/>
                <w:sz w:val="18"/>
                <w:szCs w:val="18"/>
                <w:color w:val="0000FF"/>
                <w:w w:val="89"/>
              </w:rPr>
            </w:pPr>
            <w:hyperlink w:anchor="page77">
              <w:r>
                <w:rPr>
                  <w:rFonts w:ascii="Arial" w:cs="Arial" w:eastAsia="Arial" w:hAnsi="Arial"/>
                  <w:sz w:val="18"/>
                  <w:szCs w:val="18"/>
                  <w:color w:val="0000FF"/>
                  <w:w w:val="89"/>
                </w:rPr>
                <w:t>75</w:t>
              </w:r>
            </w:hyperlink>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20" w:type="dxa"/>
            <w:vAlign w:val="bottom"/>
            <w:gridSpan w:val="13"/>
            <w:shd w:val="clear" w:color="auto" w:fill="CCEEFF"/>
          </w:tcPr>
          <w:p>
            <w:pPr>
              <w:ind w:left="20"/>
              <w:spacing w:after="0" w:line="189" w:lineRule="exact"/>
              <w:rPr>
                <w:rFonts w:ascii="Arial" w:cs="Arial" w:eastAsia="Arial" w:hAnsi="Arial"/>
                <w:sz w:val="18"/>
                <w:szCs w:val="18"/>
                <w:color w:val="0000FF"/>
                <w:w w:val="90"/>
              </w:rPr>
            </w:pPr>
            <w:hyperlink w:anchor="page77">
              <w:r>
                <w:rPr>
                  <w:rFonts w:ascii="Arial" w:cs="Arial" w:eastAsia="Arial" w:hAnsi="Arial"/>
                  <w:sz w:val="18"/>
                  <w:szCs w:val="18"/>
                  <w:color w:val="0000FF"/>
                  <w:w w:val="90"/>
                </w:rPr>
                <w:t>Item 14 – Principal Accounting Fees and Services</w:t>
              </w:r>
            </w:hyperlink>
          </w:p>
        </w:tc>
        <w:tc>
          <w:tcPr>
            <w:tcW w:w="5820" w:type="dxa"/>
            <w:vAlign w:val="bottom"/>
            <w:gridSpan w:val="13"/>
            <w:shd w:val="clear" w:color="auto" w:fill="CCEEFF"/>
          </w:tcPr>
          <w:p>
            <w:pPr>
              <w:spacing w:after="0"/>
              <w:rPr>
                <w:sz w:val="18"/>
                <w:szCs w:val="18"/>
                <w:color w:val="auto"/>
              </w:rPr>
            </w:pPr>
          </w:p>
        </w:tc>
        <w:tc>
          <w:tcPr>
            <w:tcW w:w="540" w:type="dxa"/>
            <w:vAlign w:val="bottom"/>
            <w:tcBorders>
              <w:right w:val="single" w:sz="8" w:color="CCEEFF"/>
            </w:tcBorders>
            <w:gridSpan w:val="3"/>
            <w:shd w:val="clear" w:color="auto" w:fill="CCEEFF"/>
          </w:tcPr>
          <w:p>
            <w:pPr>
              <w:jc w:val="center"/>
              <w:ind w:left="270"/>
              <w:spacing w:after="0" w:line="189" w:lineRule="exact"/>
              <w:rPr>
                <w:rFonts w:ascii="Arial" w:cs="Arial" w:eastAsia="Arial" w:hAnsi="Arial"/>
                <w:sz w:val="18"/>
                <w:szCs w:val="18"/>
                <w:color w:val="0000FF"/>
                <w:w w:val="89"/>
              </w:rPr>
            </w:pPr>
            <w:hyperlink w:anchor="page77">
              <w:r>
                <w:rPr>
                  <w:rFonts w:ascii="Arial" w:cs="Arial" w:eastAsia="Arial" w:hAnsi="Arial"/>
                  <w:sz w:val="18"/>
                  <w:szCs w:val="18"/>
                  <w:color w:val="0000FF"/>
                  <w:w w:val="89"/>
                </w:rPr>
                <w:t>75</w:t>
              </w:r>
            </w:hyperlink>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gridSpan w:val="2"/>
          </w:tcPr>
          <w:p>
            <w:pPr>
              <w:spacing w:after="0"/>
              <w:rPr>
                <w:rFonts w:ascii="Arial" w:cs="Arial" w:eastAsia="Arial" w:hAnsi="Arial"/>
                <w:sz w:val="18"/>
                <w:szCs w:val="18"/>
                <w:color w:val="0000FF"/>
              </w:rPr>
            </w:pPr>
            <w:hyperlink w:anchor="page77">
              <w:r>
                <w:rPr>
                  <w:rFonts w:ascii="Arial" w:cs="Arial" w:eastAsia="Arial" w:hAnsi="Arial"/>
                  <w:sz w:val="18"/>
                  <w:szCs w:val="18"/>
                  <w:color w:val="0000FF"/>
                </w:rPr>
                <w:t>Part IV</w:t>
              </w:r>
            </w:hyperlink>
          </w:p>
        </w:tc>
        <w:tc>
          <w:tcPr>
            <w:tcW w:w="3620" w:type="dxa"/>
            <w:vAlign w:val="bottom"/>
            <w:tcBorders>
              <w:top w:val="single" w:sz="8" w:color="0000FF"/>
            </w:tcBorders>
            <w:gridSpan w:val="13"/>
          </w:tcPr>
          <w:p>
            <w:pPr>
              <w:spacing w:after="0"/>
              <w:rPr>
                <w:sz w:val="19"/>
                <w:szCs w:val="19"/>
                <w:color w:val="auto"/>
              </w:rPr>
            </w:pPr>
          </w:p>
        </w:tc>
        <w:tc>
          <w:tcPr>
            <w:tcW w:w="5820" w:type="dxa"/>
            <w:vAlign w:val="bottom"/>
            <w:tcBorders>
              <w:top w:val="single" w:sz="8" w:color="CCEEFF"/>
            </w:tcBorders>
            <w:gridSpan w:val="13"/>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40" w:type="dxa"/>
            <w:vAlign w:val="bottom"/>
            <w:tcBorders>
              <w:bottom w:val="single" w:sz="8" w:color="0000FF"/>
            </w:tcBorders>
            <w:gridSpan w:val="15"/>
            <w:shd w:val="clear" w:color="auto" w:fill="CCEEFF"/>
          </w:tcPr>
          <w:p>
            <w:pPr>
              <w:ind w:left="20"/>
              <w:spacing w:after="0"/>
              <w:rPr>
                <w:rFonts w:ascii="Arial" w:cs="Arial" w:eastAsia="Arial" w:hAnsi="Arial"/>
                <w:sz w:val="18"/>
                <w:szCs w:val="18"/>
                <w:color w:val="0000FF"/>
                <w:w w:val="89"/>
              </w:rPr>
            </w:pPr>
            <w:hyperlink w:anchor="page78">
              <w:r>
                <w:rPr>
                  <w:rFonts w:ascii="Arial" w:cs="Arial" w:eastAsia="Arial" w:hAnsi="Arial"/>
                  <w:sz w:val="18"/>
                  <w:szCs w:val="18"/>
                  <w:color w:val="0000FF"/>
                  <w:w w:val="89"/>
                </w:rPr>
                <w:t>Item 15 – Exhibits and Financial Statement Schedule</w:t>
              </w:r>
            </w:hyperlink>
          </w:p>
        </w:tc>
        <w:tc>
          <w:tcPr>
            <w:tcW w:w="5600" w:type="dxa"/>
            <w:vAlign w:val="bottom"/>
            <w:tcBorders>
              <w:bottom w:val="single" w:sz="8" w:color="CCEEFF"/>
            </w:tcBorders>
            <w:gridSpan w:val="11"/>
            <w:shd w:val="clear" w:color="auto" w:fill="CCEEFF"/>
          </w:tcPr>
          <w:p>
            <w:pPr>
              <w:spacing w:after="0"/>
              <w:rPr>
                <w:sz w:val="21"/>
                <w:szCs w:val="21"/>
                <w:color w:val="auto"/>
              </w:rPr>
            </w:pPr>
          </w:p>
        </w:tc>
        <w:tc>
          <w:tcPr>
            <w:tcW w:w="540" w:type="dxa"/>
            <w:vAlign w:val="bottom"/>
            <w:tcBorders>
              <w:bottom w:val="single" w:sz="8" w:color="CCEEFF"/>
              <w:right w:val="single" w:sz="8" w:color="CCEEFF"/>
            </w:tcBorders>
            <w:gridSpan w:val="3"/>
            <w:shd w:val="clear" w:color="auto" w:fill="CCEEFF"/>
          </w:tcPr>
          <w:p>
            <w:pPr>
              <w:jc w:val="center"/>
              <w:ind w:left="270"/>
              <w:spacing w:after="0"/>
              <w:rPr>
                <w:rFonts w:ascii="Arial" w:cs="Arial" w:eastAsia="Arial" w:hAnsi="Arial"/>
                <w:sz w:val="18"/>
                <w:szCs w:val="18"/>
                <w:color w:val="0000FF"/>
                <w:w w:val="89"/>
              </w:rPr>
            </w:pPr>
            <w:hyperlink w:anchor="page78">
              <w:r>
                <w:rPr>
                  <w:rFonts w:ascii="Arial" w:cs="Arial" w:eastAsia="Arial" w:hAnsi="Arial"/>
                  <w:sz w:val="18"/>
                  <w:szCs w:val="18"/>
                  <w:color w:val="0000FF"/>
                  <w:w w:val="89"/>
                </w:rPr>
                <w:t>76</w:t>
              </w:r>
            </w:hyperlink>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0000FF"/>
            </w:tcBorders>
            <w:shd w:val="clear" w:color="auto" w:fill="CCEEFF"/>
          </w:tcPr>
          <w:p>
            <w:pPr>
              <w:spacing w:after="0"/>
              <w:rPr>
                <w:sz w:val="2"/>
                <w:szCs w:val="2"/>
                <w:color w:val="auto"/>
              </w:rPr>
            </w:pPr>
          </w:p>
        </w:tc>
        <w:tc>
          <w:tcPr>
            <w:tcW w:w="140" w:type="dxa"/>
            <w:vAlign w:val="bottom"/>
            <w:tcBorders>
              <w:top w:val="single" w:sz="8" w:color="CCEEFF"/>
              <w:right w:val="single" w:sz="8" w:color="0000FF"/>
            </w:tcBorders>
            <w:shd w:val="clear" w:color="auto" w:fill="0000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Borders>
              <w:bottom w:val="single" w:sz="8" w:color="0000FF"/>
            </w:tcBorders>
            <w:gridSpan w:val="7"/>
          </w:tcPr>
          <w:p>
            <w:pPr>
              <w:ind w:left="20"/>
              <w:spacing w:after="0"/>
              <w:rPr>
                <w:rFonts w:ascii="Arial" w:cs="Arial" w:eastAsia="Arial" w:hAnsi="Arial"/>
                <w:sz w:val="18"/>
                <w:szCs w:val="18"/>
                <w:color w:val="0000FF"/>
                <w:w w:val="91"/>
              </w:rPr>
            </w:pPr>
            <w:hyperlink w:anchor="page81">
              <w:r>
                <w:rPr>
                  <w:rFonts w:ascii="Arial" w:cs="Arial" w:eastAsia="Arial" w:hAnsi="Arial"/>
                  <w:sz w:val="18"/>
                  <w:szCs w:val="18"/>
                  <w:color w:val="0000FF"/>
                  <w:w w:val="91"/>
                </w:rPr>
                <w:t>Item 16 – Form 10-K Summary</w:t>
              </w:r>
            </w:hyperlink>
          </w:p>
        </w:tc>
        <w:tc>
          <w:tcPr>
            <w:tcW w:w="1000" w:type="dxa"/>
            <w:vAlign w:val="bottom"/>
            <w:gridSpan w:val="5"/>
          </w:tcPr>
          <w:p>
            <w:pPr>
              <w:spacing w:after="0"/>
              <w:rPr>
                <w:sz w:val="19"/>
                <w:szCs w:val="19"/>
                <w:color w:val="auto"/>
              </w:rPr>
            </w:pPr>
          </w:p>
        </w:tc>
        <w:tc>
          <w:tcPr>
            <w:tcW w:w="6140" w:type="dxa"/>
            <w:vAlign w:val="bottom"/>
            <w:gridSpan w:val="14"/>
          </w:tcPr>
          <w:p>
            <w:pPr>
              <w:spacing w:after="0"/>
              <w:rPr>
                <w:sz w:val="19"/>
                <w:szCs w:val="19"/>
                <w:color w:val="auto"/>
              </w:rPr>
            </w:pPr>
          </w:p>
        </w:tc>
        <w:tc>
          <w:tcPr>
            <w:tcW w:w="540" w:type="dxa"/>
            <w:vAlign w:val="bottom"/>
            <w:gridSpan w:val="3"/>
          </w:tcPr>
          <w:p>
            <w:pPr>
              <w:jc w:val="center"/>
              <w:ind w:left="270"/>
              <w:spacing w:after="0"/>
              <w:rPr>
                <w:rFonts w:ascii="Arial" w:cs="Arial" w:eastAsia="Arial" w:hAnsi="Arial"/>
                <w:sz w:val="18"/>
                <w:szCs w:val="18"/>
                <w:color w:val="0000FF"/>
                <w:w w:val="89"/>
              </w:rPr>
            </w:pPr>
            <w:hyperlink w:anchor="page81">
              <w:r>
                <w:rPr>
                  <w:rFonts w:ascii="Arial" w:cs="Arial" w:eastAsia="Arial" w:hAnsi="Arial"/>
                  <w:sz w:val="18"/>
                  <w:szCs w:val="18"/>
                  <w:color w:val="0000FF"/>
                  <w:w w:val="89"/>
                </w:rPr>
                <w:t>79</w:t>
              </w:r>
            </w:hyperlink>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10300" w:type="dxa"/>
            <w:vAlign w:val="bottom"/>
            <w:gridSpan w:val="28"/>
            <w:shd w:val="clear" w:color="auto" w:fill="CCEEFF"/>
          </w:tcPr>
          <w:p>
            <w:pPr>
              <w:spacing w:after="0" w:line="193" w:lineRule="exact"/>
              <w:rPr>
                <w:rFonts w:ascii="Arial" w:cs="Arial" w:eastAsia="Arial" w:hAnsi="Arial"/>
                <w:sz w:val="18"/>
                <w:szCs w:val="18"/>
                <w:color w:val="0000FF"/>
              </w:rPr>
            </w:pPr>
            <w:hyperlink w:anchor="page81">
              <w:r>
                <w:rPr>
                  <w:rFonts w:ascii="Arial" w:cs="Arial" w:eastAsia="Arial" w:hAnsi="Arial"/>
                  <w:sz w:val="18"/>
                  <w:szCs w:val="18"/>
                  <w:color w:val="0000FF"/>
                </w:rPr>
                <w:t>Signatures</w:t>
              </w:r>
            </w:hyperlink>
          </w:p>
        </w:tc>
        <w:tc>
          <w:tcPr>
            <w:tcW w:w="540" w:type="dxa"/>
            <w:vAlign w:val="bottom"/>
            <w:tcBorders>
              <w:right w:val="single" w:sz="8" w:color="CCEEFF"/>
            </w:tcBorders>
            <w:gridSpan w:val="3"/>
            <w:shd w:val="clear" w:color="auto" w:fill="CCEEFF"/>
          </w:tcPr>
          <w:p>
            <w:pPr>
              <w:jc w:val="center"/>
              <w:ind w:left="270"/>
              <w:spacing w:after="0" w:line="193" w:lineRule="exact"/>
              <w:rPr>
                <w:rFonts w:ascii="Arial" w:cs="Arial" w:eastAsia="Arial" w:hAnsi="Arial"/>
                <w:sz w:val="18"/>
                <w:szCs w:val="18"/>
                <w:color w:val="0000FF"/>
                <w:w w:val="89"/>
              </w:rPr>
            </w:pPr>
            <w:hyperlink w:anchor="page81">
              <w:r>
                <w:rPr>
                  <w:rFonts w:ascii="Arial" w:cs="Arial" w:eastAsia="Arial" w:hAnsi="Arial"/>
                  <w:sz w:val="18"/>
                  <w:szCs w:val="18"/>
                  <w:color w:val="0000FF"/>
                  <w:w w:val="89"/>
                </w:rPr>
                <w:t>80</w:t>
              </w:r>
            </w:hyperlink>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300" w:type="dxa"/>
            <w:vAlign w:val="bottom"/>
            <w:gridSpan w:val="28"/>
          </w:tcPr>
          <w:p>
            <w:pPr>
              <w:spacing w:after="0" w:line="189" w:lineRule="exact"/>
              <w:rPr>
                <w:rFonts w:ascii="Arial" w:cs="Arial" w:eastAsia="Arial" w:hAnsi="Arial"/>
                <w:sz w:val="18"/>
                <w:szCs w:val="18"/>
                <w:color w:val="0000FF"/>
              </w:rPr>
            </w:pPr>
            <w:hyperlink w:anchor="page82">
              <w:r>
                <w:rPr>
                  <w:rFonts w:ascii="Arial" w:cs="Arial" w:eastAsia="Arial" w:hAnsi="Arial"/>
                  <w:sz w:val="18"/>
                  <w:szCs w:val="18"/>
                  <w:color w:val="0000FF"/>
                </w:rPr>
                <w:t>Index to Consolidated Financial Statements and Schedule</w:t>
              </w:r>
            </w:hyperlink>
          </w:p>
        </w:tc>
        <w:tc>
          <w:tcPr>
            <w:tcW w:w="280" w:type="dxa"/>
            <w:vAlign w:val="bottom"/>
          </w:tcPr>
          <w:p>
            <w:pPr>
              <w:spacing w:after="0"/>
              <w:rPr>
                <w:sz w:val="16"/>
                <w:szCs w:val="16"/>
                <w:color w:val="auto"/>
              </w:rPr>
            </w:pPr>
          </w:p>
        </w:tc>
        <w:tc>
          <w:tcPr>
            <w:tcW w:w="600" w:type="dxa"/>
            <w:vAlign w:val="bottom"/>
            <w:gridSpan w:val="4"/>
          </w:tcPr>
          <w:p>
            <w:pPr>
              <w:jc w:val="center"/>
              <w:ind w:right="260"/>
              <w:spacing w:after="0" w:line="189" w:lineRule="exact"/>
              <w:rPr>
                <w:rFonts w:ascii="Arial" w:cs="Arial" w:eastAsia="Arial" w:hAnsi="Arial"/>
                <w:sz w:val="18"/>
                <w:szCs w:val="18"/>
                <w:color w:val="0000FF"/>
                <w:w w:val="91"/>
              </w:rPr>
            </w:pPr>
            <w:hyperlink w:anchor="page82">
              <w:r>
                <w:rPr>
                  <w:rFonts w:ascii="Arial" w:cs="Arial" w:eastAsia="Arial" w:hAnsi="Arial"/>
                  <w:sz w:val="18"/>
                  <w:szCs w:val="18"/>
                  <w:color w:val="0000FF"/>
                  <w:w w:val="91"/>
                </w:rPr>
                <w:t>F - 1</w:t>
              </w:r>
            </w:hyperlink>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40"/>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3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480" w:type="dxa"/>
            <w:vAlign w:val="bottom"/>
            <w:tcBorders>
              <w:top w:val="single" w:sz="8" w:color="0000FF"/>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 this Annual Report on Form 10-K, the words “VICI,” the “Company,” “we,” “our,” and “us” refer to VICI Properties Inc. and its subsidiaries, on a consolidated basis, unless otherwise stated or the context requires otherwise.</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We refer to (i) our Consolidated Financial Statements as our “Financial Statements,” (ii) our Consolidated Balance Sheets as our “Balance Sheet,” (iii) our Consolidated Statements of Operations and Comprehensive Income as our “Statement of Operations,” and (iv) our Consolidated Statement of Cash Flows as our “Statement of Cash Flows.” References to numbered “Notes” refer to the Notes to our Consolidated Financial Statements.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“2025 Notes” refers to $750.0 million aggregate principal amount of 3.500% senior unsecured notes due 2025 issued by the Operating Partnership and VICI Note Co. Inc., as Co-Issuer, in February 2020.</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“2026 Notes” refers to $1.25 billion aggregate principal amount of 4.250% senior unsecured notes due 2026 issued by the Operating Partnership and VICI Note Co. Inc., as Co-Issuer, in November 2019.</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“2027 Notes” refers to $750.0 million aggregate principal amount of 3.750% senior unsecured notes due 2027 issued by the Operating Partnership and VICI Note Co. Inc., as Co-Issuer, in February 2020.</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“2029 Notes” refers to $1.0 billion aggregate principal amount of 4.625% senior unsecured notes due 2029 issued by the Operating Partnership and VICI Note Co. Inc., as Co-Issuer, in November 2019.</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“2030 Notes” refers to $1.0 billion aggregate principal amount of 4.125% senior unsecured notes due 2030 issued by the Operating Partnership and VICI Note Co. Inc., as Co-Issuer, in February 2020.</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“Apollo” refers to Apollo Global Management, Inc., a Delaware corporation, and, as the context requires, certain of its subsidiaries and affiliates.</w:t>
      </w:r>
    </w:p>
    <w:p>
      <w:pPr>
        <w:spacing w:after="0" w:line="1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“BREIT JV” refers to the joint venture between MGP and Blackstone Real Estate Income Trust, Inc. in which the Company will retain MGP’s existing 50.1% ownership stake following the closing of the MGP Transactions.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“Caesars” refers to Caesars Entertainment, Inc., a Delaware corporation, formerly Eldorado, following the consummation of the Eldorado/Caesars Merger on July 20, 2020 and Eldorado’s conversion to a Delaware corporation.</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“Caesars Forum Convention Center” refers to the Caesars Forum Convention Center in Las Vegas, Nevada, and the approximately 28 acres of land upon which the Caesars Forum Convention Center is built and/or otherwise used in connection with or necessary for the operation of the Caesars Forum Convention Center.</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“Caesars Lease Agreements” refer collectively to (i) prior to the consummation of the Eldorado Transaction, the CPLV Lease Agreement, the Non-CPLV Lease Agreement, the Joliet Lease Agreement and the HLV Lease Agreement, and (ii) from and after the consummation of the Eldorado Transaction, the Las Vegas Master Lease Agreement, the Regional Master Lease Agreement and the Joliet Lease Agreement, in each case, unless the context otherwise requires.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“Caesars Southern Indiana” refers to the real estate assets associated with the Caesars Southern Indiana Casino and Hotel, located in Elizabeth, Indiana, the operations of which were purchased by EBCI from Caesars on September 3, 2021, and which retained the Caesars brand name in accordance with the terms of a licensing agreement negotiated between EBCI and Caesars.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“Century Casinos” refers to Century Casinos, Inc., a Delaware corporation, and, as the context requires, its subsidiaries.</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“Century Portfolio” refers to the real estate assets associated with the (i) Mountaineer Casino, Racetrack &amp; Resort located in New Cumberland, West Virginia, (ii) Century Casino Caruthersville located in Caruthersville, Missouri and (iii) Century Casino Cape Girardeau located in Cape Girardeau, Missouri, which we purchased on December 6,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“Century Portfolio Lease Agreement” refers to the lease agreement for the Century Portfolio, as amended from time to time.</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“CEOC” refers to Caesars Entertainment Operating Company, Inc., a Delaware corporation, and its subsidiaries, prior to October 6, 2017 (the “Formation Date”), and following the Formation Date, CEOC, LLC, a Delaware limited liability company and, as the context requires, its subsidiaries. CEOC was a subsidiary of Pre-Merger Caesars, and following the consummation of the Eldorado/Caesars Merger, is a subsidiary of Caesars.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“Co-Issuer” refers to VICI Note Co. Inc., a Delaware corporation, and co-issuer of the Senior Unsecured Notes.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“CPLV CMBS Debt” refers to $1.55 billion of asset-level real estate mortgage financing of Caesars Palace Las Vegas, incurred by a subsidiary of the Operating Partnership on October 6, 2017 and repaid in full on November 26, 2019.</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“CPLV Lease Agreement” refers to the lease agreement for Caesars Palace Las Vegas, as amended from time to time, which was combined with the HLV Lease Agreement into the Las Vegas Master Lease Agreement upon the consummation of the Eldorado Transaction.</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“Credit Agreement” refers to the Credit Agreement, dated as of February 8, 2022, by and among the Operating Partnership, the lenders from time to time party thereto, and JPMorgan Chase Bank, N.A., as administrative agent, as amended from time to time.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 refers collectively to the Delayed Draw Term Loan and the Revolving Credit Facility.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“Delayed Draw Term Loan” refers to the three-year unsecured delayed draw term loan facility of the Operating Partnership provided under the Credit Agreement.</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“EBCI” refers to the Eastern Band of Cherokee Indians, a federally recognized Tribe located in western North Carolina, and, as the context requires, its subsidiary and affiliate entities.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“EBCI Lease Agreement” refers to the lease agreement for Caesars Southern Indiana, as amended from time to time.</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“Eldorado” refers to Eldorado Resorts, Inc., a Nevada corporation, and, as the context requires, its subsidiaries. Following the consummation of the Eldorado/Caesars Merger on July 20, 2020, Eldorado converted to a Delaware corporation and changed its name to Caesars Entertainment, Inc.</w:t>
      </w:r>
    </w:p>
    <w:p>
      <w:pPr>
        <w:spacing w:after="0" w:line="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“Eldorado Master Transaction Agreement” or “Eldorado MTA” refers to the Master Transaction Agreement dated June 24, 2019 with Eldorado relating to the Eldorado Transaction. The Eldorado MTA was previously referred to as the “Master Transaction Agreement” or “MTA”.</w:t>
      </w:r>
    </w:p>
    <w:p>
      <w:pPr>
        <w:spacing w:after="0" w:line="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“Eldorado Transaction” refers to a series of transactions between us and Eldorado in connection with the Eldorado/Caesars Merger, including the acquisition of the Harrah’s Original Call Properties, modifications to the Caesars Lease Agreements, and rights of first refusal.</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“Eldorado/Caesars Merger” refers to the merger consummated on July 20, 2020 under an Agreement and Plan of Merger pursuant to which a subsidiary of Eldorado merged with and into Pre-Merger Caesars, with Pre-Merger Caesars surviving as a wholly owned subsidiary of Caesars (which changed its name from Eldorado in connection with the closing of the Eldorado/Caesars Merger).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“February 2020 Senior Unsecured Notes” refers collectively to the 2025 Notes, the 2027 Notes and the 2030 Notes.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“Greektown” refers to the real estate assets associated with the Greektown Casino-Hotel, located in Detroit, Michigan, which we purchased on May 23,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“Greektown Lease Agreement” refers to the lease agreement for Greektown, as amended from time to 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“Hard Rock” means Seminole Hard Rock International, LLC, and, as the context requires, its subsidiary and affiliate entities.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“Hard Rock Cincinnati” refers to the casino-entitled land and real estate and related assets associated with the Hard Rock Cincinnati Casino, located in Cincinnati, Ohio, which we purchased on September 20,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“Hard Rock Cincinnati Lease Agreement” refers to the lease agreement for Hard Rock Cincinnati, as amended from time to time.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“Harrah’s Original Call Properties” refers to the land and real estate assets associated with Harrah’s New Orleans, Harrah’s Laughlin and Harrah’s Atlantic City, which we purchased on July 20, 2020 upon the consummation of the Eldorado Transaction. The Harrah’s Original Call Properties were previously referred to as the “MTA Properties”.</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“HLV Lease Agreement” refers to the lease agreement for the Harrah’s Las Vegas facilities, as amended from time to time, which was combined with the CPLV Lease Agreement into the Las Vegas Master Lease Agreement upon the consummation of the Eldorado Transaction.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“JACK Entertainment” refers to JACK Ohio LLC, and, as the context requires, its subsidiary and affiliate entities.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“JACK Cleveland/Thistledown” refers to the casino-entitled land and real estate and related assets associated with the JACK Cleveland Casino located in Cleveland, Ohio, and the video lottery gaming and pari-mutuel wagering authorized land and real estate and related assets of JACK Thistledown Racino located in North Randall, Ohio, which we purchased on January 24, 2020.</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“JACK Cleveland/Thistledown Lease Agreement” refers to the lease agreement for JACK Cleveland/Thistledown, as amended from time to time.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“Joliet Lease Agreement” refers to the lease agreement for the facility in Joliet, Illinois, as amended from time to time.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“Las Vegas Master Lease Agreement” refers to the lease agreement for Caesars Palace Las Vegas and the Harrah’s Las Vegas facilities, as amended from time to time, from and after the consummation of the Eldorado Transaction.</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“Lease Agreements” refer collectively to the Caesars Lease Agreements, the Penn National Lease Agreements, the Hard Rock Cincinnati Lease Agreement, the Century Portfolio Lease Agreement, the JACK Cleveland/Thistledown Lease Agreement, the EBCI Lease Agreement and the Venetian Lease Agreement, unless the context otherwise requires.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“Margaritaville” refers to the real estate of Margaritaville Resort Casino, located in Bossier City, Louisiana, which we purchased on January 2, 2019.</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“Margaritaville Lease Agreement” refers to the lease agreement for Margaritaville, as amended from time to time.</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“Mergers” refers to a series of transactions contemplated under the MGP Master Transaction Agreement, consisting of (i) the contribution of our interest in the Operating Partnership to New VICI Operating Company, which will serve as our new operating company, followed by (ii) the merger of MGP with and into REIT Merger Sub, with REIT Merger Sub surviving the merger, followed by (iii) the distribution by REIT Merger Sub of the interests of the general partner of MGP OP to the Operating Partnership and, (iv) the merger of REIT Merger Sub with and into MGP OP, with MGP OP surviving such merger.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“MGM” refers to MGM Resorts International, a Delaware corporation, and, as the context requires, its subsidiaries.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“MGM Master Lease Agreement” refers to the form of amended and restated triple-net master lease to be entered into by us and MGM with respect to certain MGM properties that will be owned by us upon consummation of the MGP Transactions.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“MGM Tax Protection Agreement” refers to the form of tax protection agreement that we have agreed to enter into with MGM upon consummation of the MGP Transactions.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“MGP” refers to MGM Growth Properties LLC, a Delaware limited liability company, and, as the context requires, its subsidiaries.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“MGP Master Transaction Agreement” refers to that certain Master Transaction Agreement between the Company, MGP, MGP OP, the Operating Partnership, Venus Sub LLC, a Delaware limited liability company and wholly owned subsidiary of the Operating Partnership (“REIT Merger Sub”), VICI Properties OP LLC, a Delaware limited liability company and indirect wholly owned subsidiary of the Company (“New VICI Operating Company”), and MGM entered into on August 4, 2021.</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“MGP OP” refers to MGM Growth Properties Operating Partnership LP, a Delaware limited partnership, and, as the context requires, its subsidiaries.</w:t>
      </w:r>
    </w:p>
    <w:p>
      <w:pPr>
        <w:spacing w:after="0" w:line="18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“MGP OP Notes” refers collectively to the notes issued by MGP OP and MGP Finance Co-Issuer, Inc. (“MGP Co-Issuer” and, together with MGP OP, the “MGP Issuers”), consisting of (i) the 5.625% Senior Notes due 2024 issued pursuant to the indenture, dated as of April 20, 2016, (ii) the 4.625% Senior Notes due 2025 issued pursuant to the indenture, dated as of June 5, 2020, (iii) the 4.500% Senior Notes due 2026 issued pursuant to the indenture, dated as of August 12, 2016, (iv) the 5.750% Senior Notes due 2027 issued pursuant to the indenture, dated as of January 25, 2019, (v) the 4.500% Senior Notes due 2028 issued pursuant to the indenture, dated as of September 21, 2017, and (vi) the 3.875% Senior Notes due 2029 issued pursuant to the indenture, dated as of November 19, 2020, in each case, as amended or supplemented as of the date hereof, among the MGP Issuers, the subsidiary guarantors party thereto (the “MGP Subsidiary Guarantors”) and U.S. Bank National Association, as trustee (the “MGP Trustee”).</w:t>
      </w:r>
    </w:p>
    <w:p>
      <w:pPr>
        <w:spacing w:after="0" w:line="1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“MGP Transactions” refers collectively to a series of transactions pursuant to the MGP Master Transaction Agreement between us, MGP and MGM and the other parties thereto in connection with our acquisition of MGP, as contemplated by the MGP Master Transaction Agreement, including the MGM Tax Protection Agreement and the MGM Master Lease Agreement.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“Non-CPLV Lease Agreement” refers to the lease agreement for regional properties (other than the facility in Joliet, Illinois) leased to Pre-Merger Caesars prior to the consummation of the Eldorado Transaction, as amended from time to time, which was replaced by the Regional Master Lease Agreement upon the consummation of the Eldorado Transaction.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“November 2019 Senior Unsecured Notes” refers collectively to the 2026 Notes and the 2029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Partnership” refers to VICI Properties L.P., a Delaware limited partnership and a wholly owned subsidiary of VICI.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“Penn National” refers to Penn National Gaming, Inc., a Pennsylvania corporation, and, as the context requires, its subsidiaries.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“Penn National Lease Agreements” refer collectively to the Margaritaville Lease Agreement and the Greektown Lease Agreement, unless the context otherwise requires.</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“Pre-Merger Caesars” refers to Caesars Entertainment Corporation, a Delaware corporation, and, as the context requires, its subsidiaries. Following the consummation of the Eldorado/Caesars Merger on July 20, 2020, Pre-Merger Caesars became a wholly owned subsidiary of Caesars.</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“Regional Master Lease Agreement” refers to the lease agreement for the regional properties (other than the facility in Joliet, Illinois) leased to Caesars, as amended from time to time, from and after the consummation of the Eldorado Transaction.</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“Revolving Credit Facility” refers to the four-year unsecured revolving credit facility of the Operating Partnership provided under the Credit Agreement.</w:t>
      </w:r>
    </w:p>
    <w:p>
      <w:pPr>
        <w:spacing w:after="0" w:line="194"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i w:val="1"/>
          <w:iCs w:val="1"/>
          <w:color w:val="auto"/>
        </w:rPr>
        <w:t>“Second Lien Notes” refers to $766.9 million aggregate principal amount of 8.0% second priority senior secured notes due 2023 issued by a subsidiary of the Operating Partnership in October 2017, the remaining $498.5 million aggregate principal amount outstanding as of December 31, 2019 of which was redeemed in full on February 20, 2020.</w:t>
      </w:r>
    </w:p>
    <w:p>
      <w:pPr>
        <w:spacing w:after="0" w:line="13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“Secured Revolving Credit Facility” refers to the five-year first lien revolving credit facility entered into by VICI PropCo in December 2017, as amended, which was terminated on February 8, 2022.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“Seminole Hard Rock” means Seminole Hard Rock Entertainment, Inc.</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“Term Loan B Facility” refers to the seven-year senior secured first lien term loan B facility entered into by VICI PropCo in December 2017, as amended from time to time, which was repaid in full on September 15,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“Venetian Acquisition” refers to our acquisition of the Venetian Resort, with Apollo, which closed on February 23,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“Venetian Lease Agreement” refers to the lease agreement for the Venetian Resort.</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“Venetian Resort” refers to the land and real estate assets associated with The Venetian Resort Las Vegas and Venetian Expo, located in Las Vegas, Nevada, which we purchased on February 23, 2022.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“Venetian Tenant” refers to an affiliate of certain funds managed by affiliates of Apollo.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“VICI Golf” refers to VICI Golf LLC, a Delaware limited liability company that is the owner and operator of our golf segment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“VICI Issuers” refers to VICI Properties L.P., a Delaware limited partnership and VICI Note Co. Inc., a Delaware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“VICI PropCo” refers to VICI Properties 1 LLC, a Delaware limited liability company and an indirect wholly owned subsidiary of VICI.</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of Risk Factors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231F20"/>
        </w:rPr>
        <w:t>Our business is subject to a number of risks, including risks that may prevent us from achieving our business objectives or may adversely affect our business, financial condition, liquidity, results of operations and prospects. These risks are discussed more fully in Item 1A. Risk Factors. These risks include, but are not limited to, the following:</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Risks Related to Our Business and Operations</w:t>
      </w:r>
    </w:p>
    <w:p>
      <w:pPr>
        <w:spacing w:after="0" w:line="63" w:lineRule="exact"/>
        <w:rPr>
          <w:sz w:val="20"/>
          <w:szCs w:val="20"/>
          <w:color w:val="auto"/>
        </w:rPr>
      </w:pPr>
    </w:p>
    <w:p>
      <w:pPr>
        <w:jc w:val="both"/>
        <w:ind w:left="660" w:right="2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and will always be significantly dependent on our tenants for our revenues, and an event that has a material adverse effect on any of our significant tenants’ businesses, financial condition, liquidity, results of operations or prospects could have a material adverse effect on our business, financial condition, liquidity, results of operations and prospects;</w:t>
      </w:r>
    </w:p>
    <w:p>
      <w:pPr>
        <w:spacing w:after="0" w:line="21"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COVID-19 pandemic and its immediate and long-term effects, including its effect on our tenants and the gaming industry, has adversely impacted the gaming industry and could materially and adversely impact us, including by affecting our tenants and the gaming industry, upon which we are dependent;</w:t>
      </w:r>
    </w:p>
    <w:p>
      <w:pPr>
        <w:spacing w:after="0" w:line="2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Because a concentrated portion of our revenues are generated from the Las Vegas Strip, we are subject to greater risks than a company that is more geographically diversified;</w:t>
      </w:r>
    </w:p>
    <w:p>
      <w:pPr>
        <w:spacing w:after="0" w:line="8"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significant tenants and their subsidiaries are required to pay a significant portion of their cash flow from operations to us pursuant to, and subject to the terms and conditions of, our respective Lease Agreements and loan and other agreements with them. These lease payments, as well as interest payments on their outstanding indebtedness, could adversely affect our significant tenants’ business and financial condition, as well as their ability to satisfy their contractual payment obligations to us;</w:t>
      </w:r>
    </w:p>
    <w:p>
      <w:pPr>
        <w:spacing w:after="0" w:line="24"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dependent on the gaming industry and may be susceptible to the risks associated with it, which could materially and adversely affect our business, financial condition, liquidity, results of operations and prospects;</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and our tenants face extensive regulation from gaming and other regulatory authorities, and our charter provides that any of our shares held by investors who are found to be unsuitable by state gaming regulatory authorities are subject to redemption;</w:t>
      </w:r>
    </w:p>
    <w:p>
      <w:pPr>
        <w:spacing w:after="0" w:line="8"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Required regulatory approvals can delay or prohibit transfers of our gaming properties or the consummation of other pending transactions, including consummation of the MGP Transactions, which could result in periods in which we are unable to receive rent for such properties or otherwise realize the benefits of such transactions;</w:t>
      </w:r>
    </w:p>
    <w:p>
      <w:pPr>
        <w:spacing w:after="0" w:line="2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long-term triple-net leases may not result in fair market lease rates over time, which could negatively impact our results of operations and cash flows and reduce the amount of funds available to make distributions to stockholders;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Tenants may choose not to renew the Lease Agreements;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Caesars declares bankruptcy and, as a result, a lease is re-characterized as a disguised financing transaction, we could be materially and adversely affected;</w:t>
      </w:r>
    </w:p>
    <w:p>
      <w:pPr>
        <w:spacing w:after="0" w:line="8"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purchase properties pursuant to our rights under certain agreements, including put-call and right of first refusal agreements, if we are unable to obtain additional financing. In addition, pursuant to one such agreement, we may be forced to dispose of Harrah’s Las Vegas, possibly on disadvantageous terms;</w:t>
      </w:r>
    </w:p>
    <w:p>
      <w:pPr>
        <w:spacing w:after="0" w:line="2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bankruptcy or insolvency of any tenant or guarantor could result in the termination of the Lease Agreements and the related guarantees and material losses to us;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pursuit of investments in, and acquisitions of, additional properties may be unsuccessful or fail to meet our expectations;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sell or divest different properties or assets after an evaluation of our portfolio of businesses. Such sales or divestitures would affect our costs, revenues, results of operations, financial condition and liquidity;</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properties and the properties securing our loans are subject to risks from climate change and natural disasters, such as earthquakes, hurricanes, and other extreme weather conditions, and terrorist attacks or other acts of violence;</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risks associated with security breaches through cyber-attacks, cyber-intrusions or otherwise, as well as other significant disruptions of our information technology (IT) networks and related systems;</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that our separation from CEOC fails to qualify as a tax-free spin-off, which could subject CEOC to significant tax liabilities and for which we could be required to indemnify CEOC;</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Indebtedness and Financing</w:t>
      </w:r>
    </w:p>
    <w:p>
      <w:pPr>
        <w:spacing w:after="0" w:line="63" w:lineRule="exact"/>
        <w:rPr>
          <w:sz w:val="20"/>
          <w:szCs w:val="20"/>
          <w:color w:val="auto"/>
        </w:rPr>
      </w:pPr>
    </w:p>
    <w:p>
      <w:pPr>
        <w:jc w:val="both"/>
        <w:ind w:left="660" w:right="2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 substantial amount of indebtedness, and expect to incur additional indebtedness in the future, that exposes us to the risk of default under our debt obligations, limits our operating flexibility, increases the risks associated with a downturn in our business or in the businesses of our tenants and requires us to use a substantial portion of our cash to service our debt obligations;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Future incurrences of debt and/or issuance of preferred equity securities could adversely affect the market price of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the Company Following the MGP Transactions</w:t>
      </w:r>
    </w:p>
    <w:p>
      <w:pPr>
        <w:spacing w:after="0" w:line="6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anticipated level of indebtedness will increase upon completion of the MGP Transactions;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Following the Mergers, we may be unable to realize the anticipated benefits of the MGP Transactions or do so within the anticipated timeframe;</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Following the MGP Transactions, we may not continue to pay dividends at or above the rate we currently pay;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obligated to indemnify MGM for certain tax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Status as a REIT</w:t>
      </w:r>
    </w:p>
    <w:p>
      <w:pPr>
        <w:spacing w:after="0" w:line="63" w:lineRule="exact"/>
        <w:rPr>
          <w:sz w:val="20"/>
          <w:szCs w:val="20"/>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incur adverse tax consequences if we have failed or fail (or, after consummation of the MGP Transactions, MGP has failed) to qualify as a REIT for U.S. federal income tax purposes;</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Qualification to be taxed as a REIT involves highly technical and complex provisions of the Code, and violations of these provisions could jeopardize our REIT qualification;</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cash available for distribution to stockholders may not be sufficient to pay dividends at expected levels, nor can we make assurances of our ability to make distributions in the future. We may use borrowed funds to make distributions;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Organizational Structure</w:t>
      </w:r>
    </w:p>
    <w:p>
      <w:pPr>
        <w:spacing w:after="0" w:line="6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charter and bylaws contain provisions that may delay, defer or prevent an acquisition of our common stock or a change in control;</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provisions of Maryland law may limit the ability of a third party to acquire control of us; and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Risks</w:t>
      </w:r>
    </w:p>
    <w:p>
      <w:pPr>
        <w:spacing w:after="0" w:line="6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market price and trading volume of shares of our common stock may be volatile.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tabs>
          <w:tab w:leader="none" w:pos="150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7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a Maryland corporation that is primarily engaged in the business of owning and acquiring gaming, hospitality and entertainment destinations, subject to long-term triple net leases. Our national, geographically diverse portfolio currently consists of 28 market leading properties, including Caesars Palace Las Vegas, Harrah’s Las Vegas and the Venetian Resort, three of the most iconic entertainment facilities on the Las Vegas Strip. Our entertainment facilities are leased to leading brands that seek to drive consumer loyalty and value with guests through superior services, experiences, products and continuous innovation. Across over 62 million square feet, our well-maintained properties are currently located across urban, destination and drive-to markets in twelve states, contain approximately 25,000 hotel rooms and feature over 250 restaurants, bars and nightclubs. Subsequent to the closing of the MGP Transactions, which we anticipate will occur in the first half of 2022, we will have 43 market leading properties, 10 of which will be located on the Las Vegas Strip, consisting of 117 million square feet, 57,500 hotel rooms and featuring over 400 restaurants, bars and nightclubs across our portfolio.</w:t>
      </w:r>
    </w:p>
    <w:p>
      <w:pPr>
        <w:spacing w:after="0" w:line="1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portfolio also includes three real estate loan investments that we have originated for strategic reasons in connection with transactions that may provide the potential to convert our investment into the ownership of certain of the underlying real estate in the future. In addition, we own approximately 34 acres of undeveloped or underdeveloped land on and adjacent to the Las Vegas Strip that is leased to Caesars, which we may look to monetize as appropriate. We also own and operate four championship golf courses located near certain of our properties, two of which are in close proximity to the Las Vegas Strip.</w:t>
      </w:r>
    </w:p>
    <w:p>
      <w:pPr>
        <w:spacing w:after="0" w:line="10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lease our properties to subsidiaries of, or entities managed, by Caesars, Penn National, Seminole Hard Rock, Century Casinos, JACK Entertainment, EBCI and Apollo, with Caesars being our largest tenant (and subsequent to the MGP Transactions, MGM and Caesars being our largest tenants). We believe we have a mutually beneficial relationship with each of our tenants, all of which are leading owners and operators of gaming, entertainment and leisure properties. Our long-term triple-net Lease Agreements with our tenants provide us with a highly predictable revenue stream with embedded growth potential. We believe our geographic diversification limits the effect of changes in any one market on our overall performance. We are focused on driving long-term total returns through managing experiential asset growth and allocating capital diligently, maintaining a highly productive tenant base, and optimizing our capital structure to support external growth. As a growth focused public real estate investment trust with long-term investments, we expect our relationship with our partners will position us for the acquisition of additional properties across leisure and hospitality over the long term. Despite the ongoing impact and uncertainty of the COVID-19 pandemic, we continue to evaluate and may opportunistically pursue accretive acquisitions or investments that may arise in the market.</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portfolio is competitively positioned and well-maintained. Pursuant to the terms of the Lease Agreements, which require our tenants to invest in our properties, and in line with our tenants’ commitment to build guest loyalty, we anticipate our tenants will continue to make strategic value-enhancing investments in our properties over time, helping to maintain their competitive position. In addition, given our scale and deep industry knowledge, we believe we are well-positioned to execute highly complementary single-asset and portfolio acquisitions, as well as other investments, to augment growth as market conditions allow, with a focus on disciplined capital allocation.</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 our operations as a real estate investment trust (“REIT”) for U.S. federal income tax purposes. We generally will not be subject to U.S. federal income taxes on our taxable income to the extent that we annually distribute all of our net taxable income to stockholders and maintain our qualification as a REIT. We believe our election of REIT status, combined with the income generation from the Lease Agreements, will enhance our ability to make distributions to our stockholders, providing investors with current income as well as long-term growth, subject to the current macroeconomic impact of the COVID-19 pandemic and market conditions more broadly. We conduct our real property business through our Operating Partnership and our golf course business through a taxable REIT subsidiary (a “TRS”), VICI Golf.</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 on Our Business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Since the emergence of the COVID-19 pandemic in early 2020, among the broader public health, societal and global impacts, the pandemic has resulted in governmental and/or regulatory actions imposing temporary closures or restrictions from time to time on our tenants’ operations at our properties and our golf course operations. Although all of our leased properties and our golf courses are currently open and operating, without restriction in some jurisdictions, they remain subject to any current or future operating limitations, restrictions or closures imposed by governmental and/or regulatory authorities. While our tenants’ recent performance at many of our leased properties has been at or above pre-pandemic levels, our tenants may continue to face additional challenges and uncertainty due to the impact of the COVID-19 pandemic, such as complying with operational and capacity restrictions and ensuring sufficient employee staffing and service levels, and the sustainability of maintaining improved operating margins and financial performance. The ongoing nature of the pandemic, including the impact of emerging variants, may further adversely affect our tenants’ businesses and, accordingly, our business and financial performance could be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adversely affected in the future.</w:t>
      </w:r>
    </w:p>
    <w:p>
      <w:pPr>
        <w:spacing w:after="0" w:line="171" w:lineRule="exact"/>
        <w:rPr>
          <w:sz w:val="20"/>
          <w:szCs w:val="20"/>
          <w:color w:val="auto"/>
        </w:rPr>
      </w:pPr>
    </w:p>
    <w:p>
      <w:pPr>
        <w:jc w:val="both"/>
        <w:spacing w:after="0" w:line="271" w:lineRule="auto"/>
        <w:rPr>
          <w:rFonts w:ascii="Arial" w:cs="Arial" w:eastAsia="Arial" w:hAnsi="Arial"/>
          <w:sz w:val="17"/>
          <w:szCs w:val="17"/>
          <w:color w:val="auto"/>
        </w:rPr>
      </w:pPr>
      <w:r>
        <w:rPr>
          <w:rFonts w:ascii="Arial" w:cs="Arial" w:eastAsia="Arial" w:hAnsi="Arial"/>
          <w:sz w:val="17"/>
          <w:szCs w:val="17"/>
          <w:color w:val="auto"/>
        </w:rPr>
        <w:t>All of our tenants have fulfilled their rent obligations through February 2022 and we regularly engage with our tenants in connection with their business performance, operations, liquidity and financial results. As a triple-net lessor, we believe we are generally in a strong creditor position and structurally insulated from operational and performance impacts of our tenants, both positive and negative. However, the full extent to which the COVID-19 pandemic continues to adversely affect our tenants, and ultimately impacts us, depends on future developments which cannot be predicted with confidence, including the actions taken to contain the pandemic or mitigate its impact, including the availability, distribution, public acceptance and efficacy of approved vaccines, new or mutated variants of COVID-19 (including vaccine-resistant variants) or a similar virus, the direct and indirect economic effects of the pandemic and containment measures on our tenants, our tenants’ financial performance and any future operating limitations or closures. For more information, refer to “</w:t>
      </w:r>
      <w:hyperlink w:anchor="page25">
        <w:r>
          <w:rPr>
            <w:rFonts w:ascii="Arial" w:cs="Arial" w:eastAsia="Arial" w:hAnsi="Arial"/>
            <w:sz w:val="17"/>
            <w:szCs w:val="17"/>
            <w:u w:val="single" w:color="auto"/>
            <w:color w:val="0000FF"/>
          </w:rPr>
          <w:t>Part I – Item 1A. Risk Factors</w:t>
        </w:r>
      </w:hyperlink>
      <w:r>
        <w:rPr>
          <w:rFonts w:ascii="Arial" w:cs="Arial" w:eastAsia="Arial" w:hAnsi="Arial"/>
          <w:sz w:val="17"/>
          <w:szCs w:val="17"/>
          <w:color w:val="auto"/>
        </w:rPr>
        <w:t>” included in this Annual Report on Form 10-K.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strengths effectively position us to execute our business and growth strategies:</w:t>
      </w:r>
    </w:p>
    <w:p>
      <w:pPr>
        <w:spacing w:after="0" w:line="171" w:lineRule="exact"/>
        <w:rPr>
          <w:sz w:val="20"/>
          <w:szCs w:val="20"/>
          <w:color w:val="auto"/>
        </w:rPr>
      </w:pPr>
    </w:p>
    <w:p>
      <w:pPr>
        <w:jc w:val="both"/>
        <w:ind w:left="660" w:hanging="328"/>
        <w:spacing w:after="0" w:line="271" w:lineRule="auto"/>
        <w:tabs>
          <w:tab w:leader="none" w:pos="655" w:val="left"/>
        </w:tabs>
        <w:numPr>
          <w:ilvl w:val="0"/>
          <w:numId w:val="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Leading portfolio of high-quality experiential gaming, hospitality, entertainment and leisure assets. </w:t>
      </w:r>
      <w:r>
        <w:rPr>
          <w:rFonts w:ascii="Arial" w:cs="Arial" w:eastAsia="Arial" w:hAnsi="Arial"/>
          <w:sz w:val="17"/>
          <w:szCs w:val="17"/>
          <w:color w:val="auto"/>
        </w:rPr>
        <w:t>Our portfolio features Caesars Palace Las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Vegas, Harrah’s Las Vegas and the Venetian Resort and market-leading urban, destination and regional properties with significant scale. Our properties are well-maintained and leased to leading brands such as Venetian, Caesars, Harrah’s, Harvey’s, Horseshoe, Margaritaville, Greektown, JACK, Hard Rock, Century and Mountaineer. These brands seek to drive loyalty and value with guests through superior service and products and continuous innovation. Our portfolio benefits from its strong mix of demand generators, including casinos, guest rooms, restaurants, entertainment facilities, bars and nightclubs and convention space. We believe our properties are generally well-insulated from incremental competition as a result of high replacement costs, as well as regulatory restrictions and long-lead times for new development. The high quality of our properties appeals to a broad base of customers, stimulating traffic and visitation.</w:t>
      </w:r>
    </w:p>
    <w:p>
      <w:pPr>
        <w:spacing w:after="0" w:line="124" w:lineRule="exact"/>
        <w:rPr>
          <w:rFonts w:ascii="Arial" w:cs="Arial" w:eastAsia="Arial" w:hAnsi="Arial"/>
          <w:sz w:val="17"/>
          <w:szCs w:val="17"/>
          <w:b w:val="1"/>
          <w:bCs w:val="1"/>
          <w:i w:val="1"/>
          <w:iCs w:val="1"/>
          <w:color w:val="auto"/>
        </w:rPr>
      </w:pPr>
    </w:p>
    <w:p>
      <w:pPr>
        <w:jc w:val="both"/>
        <w:ind w:left="660"/>
        <w:spacing w:after="0" w:line="296" w:lineRule="auto"/>
        <w:rPr>
          <w:rFonts w:ascii="Arial" w:cs="Arial" w:eastAsia="Arial" w:hAnsi="Arial"/>
          <w:sz w:val="17"/>
          <w:szCs w:val="17"/>
          <w:b w:val="1"/>
          <w:bCs w:val="1"/>
          <w:i w:val="1"/>
          <w:iCs w:val="1"/>
          <w:color w:val="auto"/>
        </w:rPr>
      </w:pPr>
      <w:r>
        <w:rPr>
          <w:rFonts w:ascii="Arial" w:cs="Arial" w:eastAsia="Arial" w:hAnsi="Arial"/>
          <w:sz w:val="16"/>
          <w:szCs w:val="16"/>
          <w:color w:val="auto"/>
        </w:rPr>
        <w:t>Our portfolio is anchored by our Las Vegas properties, Caesars Palace Las Vegas, Harrah’s Las Vegas and the Venetian Resort, which are located at the center of the Las Vegas Strip. We believe Las Vegas is historically a market characterized by steady economic growth and high consumer and business demand with limited new supply, although such characteristics have been negatively impacted due to the COVID-19 pandemic. Our Las Vegas properties, which are two of the most iconic entertainment facilities in Las Vegas, feature gaming entertainment, large-scale hotels, extensive food and beverage options, state-of-the-art convention facilities, retail outlets and entertainment showrooms.</w:t>
      </w:r>
    </w:p>
    <w:p>
      <w:pPr>
        <w:spacing w:after="0" w:line="107" w:lineRule="exact"/>
        <w:rPr>
          <w:rFonts w:ascii="Arial" w:cs="Arial" w:eastAsia="Arial" w:hAnsi="Arial"/>
          <w:sz w:val="17"/>
          <w:szCs w:val="17"/>
          <w:b w:val="1"/>
          <w:bCs w:val="1"/>
          <w:i w:val="1"/>
          <w:iCs w:val="1"/>
          <w:color w:val="auto"/>
        </w:rPr>
      </w:pPr>
    </w:p>
    <w:p>
      <w:pPr>
        <w:jc w:val="both"/>
        <w:ind w:left="660"/>
        <w:spacing w:after="0" w:line="263" w:lineRule="auto"/>
        <w:rPr>
          <w:rFonts w:ascii="Arial" w:cs="Arial" w:eastAsia="Arial" w:hAnsi="Arial"/>
          <w:sz w:val="17"/>
          <w:szCs w:val="17"/>
          <w:b w:val="1"/>
          <w:bCs w:val="1"/>
          <w:i w:val="1"/>
          <w:iCs w:val="1"/>
          <w:color w:val="auto"/>
        </w:rPr>
      </w:pPr>
      <w:r>
        <w:rPr>
          <w:rFonts w:ascii="Arial" w:cs="Arial" w:eastAsia="Arial" w:hAnsi="Arial"/>
          <w:sz w:val="18"/>
          <w:szCs w:val="18"/>
          <w:color w:val="auto"/>
        </w:rPr>
        <w:t>Our portfolio also includes market-leading regional resorts and destinations that we believe are benefiting from significant invested capital over recent years. The regional properties we own include award-winning casinos, hotels and entertainment facilities that are generally market leaders within their respective regions.</w:t>
      </w:r>
    </w:p>
    <w:p>
      <w:pPr>
        <w:spacing w:after="0" w:line="129" w:lineRule="exact"/>
        <w:rPr>
          <w:rFonts w:ascii="Arial" w:cs="Arial" w:eastAsia="Arial" w:hAnsi="Arial"/>
          <w:sz w:val="17"/>
          <w:szCs w:val="17"/>
          <w:b w:val="1"/>
          <w:bCs w:val="1"/>
          <w:i w:val="1"/>
          <w:iCs w:val="1"/>
          <w:color w:val="auto"/>
        </w:rPr>
      </w:pPr>
    </w:p>
    <w:p>
      <w:pPr>
        <w:ind w:left="660"/>
        <w:spacing w:after="0" w:line="277" w:lineRule="auto"/>
        <w:rPr>
          <w:rFonts w:ascii="Arial" w:cs="Arial" w:eastAsia="Arial" w:hAnsi="Arial"/>
          <w:sz w:val="17"/>
          <w:szCs w:val="17"/>
          <w:b w:val="1"/>
          <w:bCs w:val="1"/>
          <w:i w:val="1"/>
          <w:iCs w:val="1"/>
          <w:color w:val="auto"/>
        </w:rPr>
      </w:pPr>
      <w:r>
        <w:rPr>
          <w:rFonts w:ascii="Arial" w:cs="Arial" w:eastAsia="Arial" w:hAnsi="Arial"/>
          <w:sz w:val="18"/>
          <w:szCs w:val="18"/>
          <w:color w:val="auto"/>
        </w:rPr>
        <w:t>Subsequent to the closing of the MGP Transactions, which we anticipate will occur in the first half of 2022, we will add 15 high-quality properties, seven of which are located on the Las Vegas Strip and eight of which are regional gaming destinations.</w:t>
      </w:r>
    </w:p>
    <w:p>
      <w:pPr>
        <w:spacing w:after="0" w:line="116" w:lineRule="exact"/>
        <w:rPr>
          <w:rFonts w:ascii="Arial" w:cs="Arial" w:eastAsia="Arial" w:hAnsi="Arial"/>
          <w:sz w:val="17"/>
          <w:szCs w:val="17"/>
          <w:b w:val="1"/>
          <w:bCs w:val="1"/>
          <w:i w:val="1"/>
          <w:iCs w:val="1"/>
          <w:color w:val="auto"/>
        </w:rPr>
      </w:pPr>
    </w:p>
    <w:p>
      <w:pPr>
        <w:ind w:left="660"/>
        <w:spacing w:after="0" w:line="277" w:lineRule="auto"/>
        <w:rPr>
          <w:rFonts w:ascii="Arial" w:cs="Arial" w:eastAsia="Arial" w:hAnsi="Arial"/>
          <w:sz w:val="17"/>
          <w:szCs w:val="17"/>
          <w:b w:val="1"/>
          <w:bCs w:val="1"/>
          <w:i w:val="1"/>
          <w:iCs w:val="1"/>
          <w:color w:val="auto"/>
        </w:rPr>
      </w:pPr>
      <w:r>
        <w:rPr>
          <w:rFonts w:ascii="Arial" w:cs="Arial" w:eastAsia="Arial" w:hAnsi="Arial"/>
          <w:sz w:val="18"/>
          <w:szCs w:val="18"/>
          <w:color w:val="auto"/>
        </w:rPr>
        <w:t>Under the terms of the Lease Agreements, our tenants are required to continue to invest in our properties, which we believe enhances the value of our properties and maintains their competitive market position.</w:t>
      </w:r>
    </w:p>
    <w:p>
      <w:pPr>
        <w:spacing w:after="0" w:line="116" w:lineRule="exact"/>
        <w:rPr>
          <w:rFonts w:ascii="Arial" w:cs="Arial" w:eastAsia="Arial" w:hAnsi="Arial"/>
          <w:sz w:val="17"/>
          <w:szCs w:val="17"/>
          <w:b w:val="1"/>
          <w:bCs w:val="1"/>
          <w:i w:val="1"/>
          <w:iCs w:val="1"/>
          <w:color w:val="auto"/>
        </w:rPr>
      </w:pPr>
    </w:p>
    <w:p>
      <w:pPr>
        <w:jc w:val="both"/>
        <w:ind w:left="660" w:hanging="328"/>
        <w:spacing w:after="0" w:line="254" w:lineRule="auto"/>
        <w:tabs>
          <w:tab w:leader="none" w:pos="655"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Our properties feature diversified sources of revenue on both a business and geographic basis. </w:t>
      </w:r>
      <w:r>
        <w:rPr>
          <w:rFonts w:ascii="Arial" w:cs="Arial" w:eastAsia="Arial" w:hAnsi="Arial"/>
          <w:sz w:val="18"/>
          <w:szCs w:val="18"/>
          <w:color w:val="auto"/>
        </w:rPr>
        <w:t>Our portfolio includes 28 geographically diverse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casino resorts that serve numerous Metropolitan Statistical Areas (“MSAs”) nationally. This diversity reduces our exposure to adverse events that may affect any single market. This also allows our tenants to derive multiple revenue streams from an economically diverse set of customers and services to such customers. These include gaming, food and beverage, entertainment, hospitality and other sources of revenue. We believe that this geographic diversity and the diversity of revenue sources that our tenants derive from our leased properties improves the stability of rental revenue. Subsequent to the closing of the MGP Transactions, we will add 15 high-quality properties to our portfolio, serving three additional MSAs nationally.</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660" w:hanging="328"/>
        <w:spacing w:after="0" w:line="259" w:lineRule="auto"/>
        <w:tabs>
          <w:tab w:leader="none" w:pos="655"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Our long-term Lease Agreements provide a highly predictable base level of rent with embedded growth potential. </w:t>
      </w:r>
      <w:r>
        <w:rPr>
          <w:rFonts w:ascii="Arial" w:cs="Arial" w:eastAsia="Arial" w:hAnsi="Arial"/>
          <w:sz w:val="18"/>
          <w:szCs w:val="18"/>
          <w:color w:val="auto"/>
        </w:rPr>
        <w:t>Our properties are 100%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occupied pursuant to our long-term triple-net Lease Agreements with subsidiaries of, or entities managed by, Caesars, Penn National, Seminole Hard Rock, Century Casinos, JACK Entertainment, EBCI and Apollo providing us with a predictable level of rental revenue to support future cash distributions to our stockholders.</w:t>
      </w:r>
    </w:p>
    <w:p>
      <w:pPr>
        <w:spacing w:after="0" w:line="132" w:lineRule="exact"/>
        <w:rPr>
          <w:rFonts w:ascii="Arial" w:cs="Arial" w:eastAsia="Arial" w:hAnsi="Arial"/>
          <w:sz w:val="18"/>
          <w:szCs w:val="18"/>
          <w:b w:val="1"/>
          <w:bCs w:val="1"/>
          <w:i w:val="1"/>
          <w:iCs w:val="1"/>
          <w:color w:val="auto"/>
        </w:rPr>
      </w:pPr>
    </w:p>
    <w:p>
      <w:pPr>
        <w:jc w:val="both"/>
        <w:ind w:left="660"/>
        <w:spacing w:after="0" w:line="257" w:lineRule="auto"/>
        <w:rPr>
          <w:rFonts w:ascii="Arial" w:cs="Arial" w:eastAsia="Arial" w:hAnsi="Arial"/>
          <w:sz w:val="18"/>
          <w:szCs w:val="18"/>
          <w:b w:val="1"/>
          <w:bCs w:val="1"/>
          <w:i w:val="1"/>
          <w:iCs w:val="1"/>
          <w:color w:val="auto"/>
        </w:rPr>
      </w:pPr>
      <w:r>
        <w:rPr>
          <w:rFonts w:ascii="Arial" w:cs="Arial" w:eastAsia="Arial" w:hAnsi="Arial"/>
          <w:sz w:val="18"/>
          <w:szCs w:val="18"/>
          <w:color w:val="auto"/>
        </w:rPr>
        <w:t>All of our casino resort properties are established assets, in most cases with extensive operating histories. Based on historical performance of the properties, we expect that the properties will generate sufficient revenues for our tenants to pay to us all rent due under the Lease Agreements. While our tenants’ recent performance at many of our leased properties has been at or above pre-pandemic levels, some of our properties have been and continue to be adversely impacted by the COVID-19 pandemic, and the current operating results may not be indicative of long-term operating results.</w:t>
      </w:r>
    </w:p>
    <w:p>
      <w:pPr>
        <w:spacing w:after="0" w:line="133" w:lineRule="exact"/>
        <w:rPr>
          <w:rFonts w:ascii="Arial" w:cs="Arial" w:eastAsia="Arial" w:hAnsi="Arial"/>
          <w:sz w:val="18"/>
          <w:szCs w:val="18"/>
          <w:b w:val="1"/>
          <w:bCs w:val="1"/>
          <w:i w:val="1"/>
          <w:iCs w:val="1"/>
          <w:color w:val="auto"/>
        </w:rPr>
      </w:pPr>
    </w:p>
    <w:p>
      <w:pPr>
        <w:jc w:val="both"/>
        <w:ind w:left="660"/>
        <w:spacing w:after="0" w:line="263" w:lineRule="auto"/>
        <w:rPr>
          <w:rFonts w:ascii="Arial" w:cs="Arial" w:eastAsia="Arial" w:hAnsi="Arial"/>
          <w:sz w:val="18"/>
          <w:szCs w:val="18"/>
          <w:b w:val="1"/>
          <w:bCs w:val="1"/>
          <w:i w:val="1"/>
          <w:iCs w:val="1"/>
          <w:color w:val="auto"/>
        </w:rPr>
      </w:pPr>
      <w:r>
        <w:rPr>
          <w:rFonts w:ascii="Arial" w:cs="Arial" w:eastAsia="Arial" w:hAnsi="Arial"/>
          <w:sz w:val="18"/>
          <w:szCs w:val="18"/>
          <w:color w:val="auto"/>
        </w:rPr>
        <w:t>We believe our relationships with Caesars, Penn National, Seminole Hard Rock, Century Casinos, JACK Entertainment, EBCI and Apollo, including our contractual agreements with them and their applicable subsidiaries, will continue to drive significant benefits and mutual alignment of strategic interests in the future.</w:t>
      </w:r>
    </w:p>
    <w:p>
      <w:pPr>
        <w:spacing w:after="0" w:line="129" w:lineRule="exact"/>
        <w:rPr>
          <w:rFonts w:ascii="Arial" w:cs="Arial" w:eastAsia="Arial" w:hAnsi="Arial"/>
          <w:sz w:val="18"/>
          <w:szCs w:val="18"/>
          <w:b w:val="1"/>
          <w:bCs w:val="1"/>
          <w:i w:val="1"/>
          <w:iCs w:val="1"/>
          <w:color w:val="auto"/>
        </w:rPr>
      </w:pPr>
    </w:p>
    <w:p>
      <w:pPr>
        <w:jc w:val="both"/>
        <w:ind w:left="660"/>
        <w:spacing w:after="0" w:line="279" w:lineRule="auto"/>
        <w:rPr>
          <w:rFonts w:ascii="Arial" w:cs="Arial" w:eastAsia="Arial" w:hAnsi="Arial"/>
          <w:sz w:val="18"/>
          <w:szCs w:val="18"/>
          <w:b w:val="1"/>
          <w:bCs w:val="1"/>
          <w:i w:val="1"/>
          <w:iCs w:val="1"/>
          <w:color w:val="auto"/>
        </w:rPr>
      </w:pPr>
      <w:r>
        <w:rPr>
          <w:rFonts w:ascii="Arial" w:cs="Arial" w:eastAsia="Arial" w:hAnsi="Arial"/>
          <w:sz w:val="17"/>
          <w:szCs w:val="17"/>
          <w:color w:val="auto"/>
        </w:rPr>
        <w:t>Upon closing of the MGP Transactions, we will enter into a long-term triple-net lease agreement with a subsidiary of MGM and we look forward to continuing to build our relationship with MGM. In addition, in connection with the announcement of Hard Rock’s pending acquisition of the operations of the Mirage from MGM, on closing of such acquisition, we will enter into a triple-net lease agreement with Hard Rock with respect to the land and real estate assets of the Mirage, helping to further strengthen our relationship with Hard Rock.</w:t>
      </w:r>
    </w:p>
    <w:p>
      <w:pPr>
        <w:spacing w:after="0" w:line="117" w:lineRule="exact"/>
        <w:rPr>
          <w:rFonts w:ascii="Arial" w:cs="Arial" w:eastAsia="Arial" w:hAnsi="Arial"/>
          <w:sz w:val="18"/>
          <w:szCs w:val="18"/>
          <w:b w:val="1"/>
          <w:bCs w:val="1"/>
          <w:i w:val="1"/>
          <w:iCs w:val="1"/>
          <w:color w:val="auto"/>
        </w:rPr>
      </w:pPr>
    </w:p>
    <w:p>
      <w:pPr>
        <w:jc w:val="both"/>
        <w:ind w:left="660" w:hanging="328"/>
        <w:spacing w:after="0" w:line="287" w:lineRule="auto"/>
        <w:tabs>
          <w:tab w:leader="none" w:pos="655" w:val="left"/>
        </w:tabs>
        <w:numPr>
          <w:ilvl w:val="0"/>
          <w:numId w:val="1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The payment obligations of our tenants are guaranteed by Caesars, Penn National, Seminole Hard Rock, Century Casinos, Rock Ohio Ventures LLC and EBCI, as applicable. </w:t>
      </w:r>
      <w:r>
        <w:rPr>
          <w:rFonts w:ascii="Arial" w:cs="Arial" w:eastAsia="Arial" w:hAnsi="Arial"/>
          <w:sz w:val="16"/>
          <w:szCs w:val="16"/>
          <w:color w:val="auto"/>
        </w:rPr>
        <w:t>All of our existing properties are leased to subsidiaries of, or entities managed by, Caesars, Penn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National, Seminole Hard Rock, Century Casinos, JACK Entertainment, EBCI and Apollo. Caesars guarantees the payment obligations of our tenants under the Caesars Lease Agreements, Penn National guarantees the payment obligations of our tenant under the Penn National Lease Agreements, Seminole Hard Rock guarantees the payment obligations of our tenant under the Hard Rock Cincinnati Lease Agreement, Century Casinos guarantees the payment obligations of our tenant under the Century Portfolio Lease Agreement, Rock Ohio Ventures LLC guarantees the payment obligations of our tenants under the JACK Cleveland/Thistledown Lease Agreement, and EBCI guarantees the payment obligations of our tenant under the EBCI Lease Agreement. The Venetian Tenant’s obligations under the Venetian Lease Agreement are not guaranteed by Apollo or any of its affiliates. However, we are a third-party beneficiary to an agreement between the Venetian Tenant and Las Vegas Sands Corp. (“LVS”) whereby LVS provides contingent lease payment support through 2023, if certain conditions are met. Subsequent to the closing of the MGP Transactions, MGM will guarantee the payment obligations of its tenant under the MGM Master Lease Agreement.</w:t>
      </w:r>
    </w:p>
    <w:p>
      <w:pPr>
        <w:spacing w:after="0" w:line="117" w:lineRule="exact"/>
        <w:rPr>
          <w:rFonts w:ascii="Arial" w:cs="Arial" w:eastAsia="Arial" w:hAnsi="Arial"/>
          <w:sz w:val="16"/>
          <w:szCs w:val="16"/>
          <w:b w:val="1"/>
          <w:bCs w:val="1"/>
          <w:i w:val="1"/>
          <w:iCs w:val="1"/>
          <w:color w:val="auto"/>
        </w:rPr>
      </w:pPr>
    </w:p>
    <w:p>
      <w:pPr>
        <w:ind w:left="660"/>
        <w:spacing w:after="0" w:line="342" w:lineRule="auto"/>
        <w:rPr>
          <w:rFonts w:ascii="Arial" w:cs="Arial" w:eastAsia="Arial" w:hAnsi="Arial"/>
          <w:sz w:val="16"/>
          <w:szCs w:val="16"/>
          <w:b w:val="1"/>
          <w:bCs w:val="1"/>
          <w:i w:val="1"/>
          <w:iCs w:val="1"/>
          <w:color w:val="auto"/>
        </w:rPr>
      </w:pPr>
      <w:r>
        <w:rPr>
          <w:rFonts w:ascii="Arial" w:cs="Arial" w:eastAsia="Arial" w:hAnsi="Arial"/>
          <w:sz w:val="16"/>
          <w:szCs w:val="16"/>
          <w:color w:val="auto"/>
        </w:rPr>
        <w:t>In addition to the properties leased from us, our tenants operate numerous other casino resorts, collectively comprising a nationally recognized portfolio of brands. Subsequent to the closing of our pending transactions, our portfolio will include additional nationally recognized brands.</w:t>
      </w:r>
    </w:p>
    <w:p>
      <w:pPr>
        <w:spacing w:after="0" w:line="69" w:lineRule="exact"/>
        <w:rPr>
          <w:rFonts w:ascii="Arial" w:cs="Arial" w:eastAsia="Arial" w:hAnsi="Arial"/>
          <w:sz w:val="16"/>
          <w:szCs w:val="16"/>
          <w:b w:val="1"/>
          <w:bCs w:val="1"/>
          <w:i w:val="1"/>
          <w:iCs w:val="1"/>
          <w:color w:val="auto"/>
        </w:rPr>
      </w:pPr>
    </w:p>
    <w:p>
      <w:pPr>
        <w:jc w:val="both"/>
        <w:ind w:left="660" w:hanging="328"/>
        <w:spacing w:after="0" w:line="289" w:lineRule="auto"/>
        <w:tabs>
          <w:tab w:leader="none" w:pos="655" w:val="left"/>
        </w:tabs>
        <w:numPr>
          <w:ilvl w:val="0"/>
          <w:numId w:val="1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An experienced management team with deep real estate and industry experience. </w:t>
      </w:r>
      <w:r>
        <w:rPr>
          <w:rFonts w:ascii="Arial" w:cs="Arial" w:eastAsia="Arial" w:hAnsi="Arial"/>
          <w:sz w:val="16"/>
          <w:szCs w:val="16"/>
          <w:color w:val="auto"/>
        </w:rPr>
        <w:t>We have an experienced and independent management team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has been actively engaged in the leadership, acquisition and investment aspects of the hospitality, gaming, entertainment and real estate industries throughout their careers. Our Chief Executive Officer, Edward Pitoniak, and President and Chief Operating Officer, John Payne, are industry veterans with an average of over 30 years of experience in the REIT, gaming and experiential real estate industries, during which time they were able to drive controlled growth and diversification of significant real estate and gaming portfolios. Mr. Pitoniak’s prior service as an independent board member of public companies provides him with a unique and meaningful management perspective and enables him to work with our independent board of directors as a trusted steward of our extensive portfolio. Our Chief Financial Officer and General Counsel have an average of over 20 years of experience in the REIT, real estate and hospitality industries and bring significant leadership and expertise to our team across capital markets, corporate finance, acquisitions, risk management and corporate governance.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660" w:hanging="328"/>
        <w:spacing w:after="0" w:line="287"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 diverse and independent board of directors with robust business and corporate governance experience. </w:t>
      </w:r>
      <w:r>
        <w:rPr>
          <w:rFonts w:ascii="Arial" w:cs="Arial" w:eastAsia="Arial" w:hAnsi="Arial"/>
          <w:sz w:val="16"/>
          <w:szCs w:val="16"/>
          <w:color w:val="auto"/>
        </w:rPr>
        <w:t>Our diverse and independent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which is made up of highly skilled and seasoned real estate, gaming, hospitality, consumer products and corporate professionals, was originally established to ensure no overlap between our tenants and the companies with which our directors are affiliated and has continued to improve and mature since our formation in 2017. For example, since formation we have increased diversity by adding three independent, female directors to our board. As of December 31, 2021, 50% of our independent directors are women, one of whom is racially diverse. In addition, 50% of our board of director leaders (comprised of the Chairs of the board of directors and each committee) are women. Robust corporate governance in the best interests of our stockholders is of central importance to the management of our company, as we have a separate, independent Chair of the board of directors, all members of our board except for our Chief Executive Officer are independent, and all members of our audit committee qualify as an “audit committee financial expert” as defined by the SEC. Directors are elected in uncontested elections by the affirmative vote of a majority of the votes cast on an annual basis, and stockholder approval is required prior to, or in certain circumstances within twelve months following, the adoption by our board of a stockholder rights plan.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Properties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Portfolio</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tables summarize our current portfolio of properties which are diversified across a range of primary uses, including gaming, hotel, convention, dining, entertainment, retail, golf course and other resort amenities and activities.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80" w:type="dxa"/>
            <w:vAlign w:val="bottom"/>
            <w:vMerge w:val="restart"/>
          </w:tcPr>
          <w:p>
            <w:pPr>
              <w:ind w:left="1400"/>
              <w:spacing w:after="0"/>
              <w:rPr>
                <w:sz w:val="20"/>
                <w:szCs w:val="20"/>
                <w:color w:val="auto"/>
              </w:rPr>
            </w:pPr>
            <w:r>
              <w:rPr>
                <w:rFonts w:ascii="Arial" w:cs="Arial" w:eastAsia="Arial" w:hAnsi="Arial"/>
                <w:sz w:val="16"/>
                <w:szCs w:val="16"/>
                <w:b w:val="1"/>
                <w:bCs w:val="1"/>
                <w:color w:val="auto"/>
              </w:rPr>
              <w:t>MSA / Property</w:t>
            </w:r>
          </w:p>
        </w:tc>
        <w:tc>
          <w:tcPr>
            <w:tcW w:w="2620" w:type="dxa"/>
            <w:vAlign w:val="bottom"/>
            <w:vMerge w:val="restart"/>
          </w:tcPr>
          <w:p>
            <w:pPr>
              <w:jc w:val="center"/>
              <w:ind w:left="579"/>
              <w:spacing w:after="0"/>
              <w:rPr>
                <w:sz w:val="20"/>
                <w:szCs w:val="20"/>
                <w:color w:val="auto"/>
              </w:rPr>
            </w:pPr>
            <w:r>
              <w:rPr>
                <w:rFonts w:ascii="Arial" w:cs="Arial" w:eastAsia="Arial" w:hAnsi="Arial"/>
                <w:sz w:val="16"/>
                <w:szCs w:val="16"/>
                <w:b w:val="1"/>
                <w:bCs w:val="1"/>
                <w:color w:val="auto"/>
                <w:w w:val="89"/>
              </w:rPr>
              <w:t>Location</w:t>
            </w:r>
          </w:p>
        </w:tc>
        <w:tc>
          <w:tcPr>
            <w:tcW w:w="1420" w:type="dxa"/>
            <w:vAlign w:val="bottom"/>
          </w:tcPr>
          <w:p>
            <w:pPr>
              <w:jc w:val="center"/>
              <w:ind w:left="19"/>
              <w:spacing w:after="0"/>
              <w:rPr>
                <w:sz w:val="20"/>
                <w:szCs w:val="20"/>
                <w:color w:val="auto"/>
              </w:rPr>
            </w:pPr>
            <w:r>
              <w:rPr>
                <w:rFonts w:ascii="Arial" w:cs="Arial" w:eastAsia="Arial" w:hAnsi="Arial"/>
                <w:sz w:val="16"/>
                <w:szCs w:val="16"/>
                <w:b w:val="1"/>
                <w:bCs w:val="1"/>
                <w:color w:val="auto"/>
                <w:w w:val="91"/>
              </w:rPr>
              <w:t>Approx. Casino</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2"/>
              </w:rPr>
              <w:t>Approx.</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4"/>
              </w:rPr>
              <w:t>Hotel</w:t>
            </w:r>
          </w:p>
        </w:tc>
        <w:tc>
          <w:tcPr>
            <w:tcW w:w="1700" w:type="dxa"/>
            <w:vAlign w:val="bottom"/>
            <w:vMerge w:val="restart"/>
          </w:tcPr>
          <w:p>
            <w:pPr>
              <w:jc w:val="center"/>
              <w:ind w:left="59"/>
              <w:spacing w:after="0"/>
              <w:rPr>
                <w:sz w:val="20"/>
                <w:szCs w:val="20"/>
                <w:color w:val="auto"/>
              </w:rPr>
            </w:pPr>
            <w:r>
              <w:rPr>
                <w:rFonts w:ascii="Arial" w:cs="Arial" w:eastAsia="Arial" w:hAnsi="Arial"/>
                <w:sz w:val="16"/>
                <w:szCs w:val="16"/>
                <w:b w:val="1"/>
                <w:bCs w:val="1"/>
                <w:color w:val="auto"/>
                <w:w w:val="89"/>
              </w:rPr>
              <w:t>Lease Agreement</w:t>
            </w:r>
          </w:p>
        </w:tc>
        <w:tc>
          <w:tcPr>
            <w:tcW w:w="0" w:type="dxa"/>
            <w:vAlign w:val="bottom"/>
          </w:tcPr>
          <w:p>
            <w:pPr>
              <w:spacing w:after="0"/>
              <w:rPr>
                <w:sz w:val="1"/>
                <w:szCs w:val="1"/>
                <w:color w:val="auto"/>
              </w:rPr>
            </w:pPr>
          </w:p>
        </w:tc>
      </w:tr>
      <w:tr>
        <w:trPr>
          <w:trHeight w:val="213"/>
        </w:trPr>
        <w:tc>
          <w:tcPr>
            <w:tcW w:w="3380" w:type="dxa"/>
            <w:vAlign w:val="bottom"/>
            <w:tcBorders>
              <w:bottom w:val="single" w:sz="8" w:color="auto"/>
            </w:tcBorders>
            <w:vMerge w:val="continue"/>
          </w:tcPr>
          <w:p>
            <w:pPr>
              <w:spacing w:after="0"/>
              <w:rPr>
                <w:sz w:val="18"/>
                <w:szCs w:val="18"/>
                <w:color w:val="auto"/>
              </w:rPr>
            </w:pPr>
          </w:p>
        </w:tc>
        <w:tc>
          <w:tcPr>
            <w:tcW w:w="262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92"/>
              </w:rPr>
              <w:t>Sq. Ft. (000’s)</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Gaming Units</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Rooms</w:t>
            </w:r>
          </w:p>
        </w:tc>
        <w:tc>
          <w:tcPr>
            <w:tcW w:w="1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380" w:type="dxa"/>
            <w:vAlign w:val="bottom"/>
          </w:tcPr>
          <w:p>
            <w:pPr>
              <w:spacing w:after="0"/>
              <w:rPr>
                <w:sz w:val="19"/>
                <w:szCs w:val="19"/>
                <w:color w:val="auto"/>
              </w:rPr>
            </w:pPr>
          </w:p>
        </w:tc>
        <w:tc>
          <w:tcPr>
            <w:tcW w:w="4040" w:type="dxa"/>
            <w:vAlign w:val="bottom"/>
            <w:gridSpan w:val="2"/>
          </w:tcPr>
          <w:p>
            <w:pPr>
              <w:ind w:left="1200"/>
              <w:spacing w:after="0"/>
              <w:rPr>
                <w:sz w:val="20"/>
                <w:szCs w:val="20"/>
                <w:color w:val="auto"/>
              </w:rPr>
            </w:pPr>
            <w:r>
              <w:rPr>
                <w:rFonts w:ascii="Arial" w:cs="Arial" w:eastAsia="Arial" w:hAnsi="Arial"/>
                <w:sz w:val="18"/>
                <w:szCs w:val="18"/>
                <w:b w:val="1"/>
                <w:bCs w:val="1"/>
                <w:color w:val="auto"/>
              </w:rPr>
              <w:t>Current Portfolio - Casinos</w:t>
            </w:r>
          </w:p>
        </w:tc>
        <w:tc>
          <w:tcPr>
            <w:tcW w:w="1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Las Vegas—Destination Gaming</w:t>
            </w:r>
          </w:p>
        </w:tc>
        <w:tc>
          <w:tcPr>
            <w:tcW w:w="26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80" w:type="dxa"/>
            <w:vAlign w:val="bottom"/>
          </w:tcPr>
          <w:p>
            <w:pPr>
              <w:ind w:left="360"/>
              <w:spacing w:after="0"/>
              <w:rPr>
                <w:sz w:val="20"/>
                <w:szCs w:val="20"/>
                <w:color w:val="auto"/>
              </w:rPr>
            </w:pPr>
            <w:r>
              <w:rPr>
                <w:rFonts w:ascii="Arial" w:cs="Arial" w:eastAsia="Arial" w:hAnsi="Arial"/>
                <w:sz w:val="16"/>
                <w:szCs w:val="16"/>
                <w:color w:val="auto"/>
              </w:rPr>
              <w:t>Caesars Palace Las Vegas</w:t>
            </w:r>
          </w:p>
        </w:tc>
        <w:tc>
          <w:tcPr>
            <w:tcW w:w="2620" w:type="dxa"/>
            <w:vAlign w:val="bottom"/>
          </w:tcPr>
          <w:p>
            <w:pPr>
              <w:jc w:val="center"/>
              <w:ind w:left="599"/>
              <w:spacing w:after="0"/>
              <w:rPr>
                <w:sz w:val="20"/>
                <w:szCs w:val="20"/>
                <w:color w:val="auto"/>
              </w:rPr>
            </w:pPr>
            <w:r>
              <w:rPr>
                <w:rFonts w:ascii="Arial" w:cs="Arial" w:eastAsia="Arial" w:hAnsi="Arial"/>
                <w:sz w:val="16"/>
                <w:szCs w:val="16"/>
                <w:color w:val="auto"/>
                <w:w w:val="91"/>
              </w:rPr>
              <w:t>Las Vegas, NV</w:t>
            </w:r>
          </w:p>
        </w:tc>
        <w:tc>
          <w:tcPr>
            <w:tcW w:w="1420" w:type="dxa"/>
            <w:vAlign w:val="bottom"/>
          </w:tcPr>
          <w:p>
            <w:pPr>
              <w:jc w:val="center"/>
              <w:ind w:left="19"/>
              <w:spacing w:after="0"/>
              <w:rPr>
                <w:sz w:val="20"/>
                <w:szCs w:val="20"/>
                <w:color w:val="auto"/>
              </w:rPr>
            </w:pPr>
            <w:r>
              <w:rPr>
                <w:rFonts w:ascii="Arial" w:cs="Arial" w:eastAsia="Arial" w:hAnsi="Arial"/>
                <w:sz w:val="16"/>
                <w:szCs w:val="16"/>
                <w:color w:val="auto"/>
                <w:w w:val="89"/>
              </w:rPr>
              <w:t>124</w:t>
            </w: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1,660</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3,970</w:t>
            </w:r>
          </w:p>
        </w:tc>
        <w:tc>
          <w:tcPr>
            <w:tcW w:w="1700" w:type="dxa"/>
            <w:vAlign w:val="bottom"/>
          </w:tcPr>
          <w:p>
            <w:pPr>
              <w:jc w:val="center"/>
              <w:ind w:left="79"/>
              <w:spacing w:after="0"/>
              <w:rPr>
                <w:sz w:val="20"/>
                <w:szCs w:val="20"/>
                <w:color w:val="auto"/>
              </w:rPr>
            </w:pPr>
            <w:r>
              <w:rPr>
                <w:rFonts w:ascii="Arial" w:cs="Arial" w:eastAsia="Arial" w:hAnsi="Arial"/>
                <w:sz w:val="16"/>
                <w:szCs w:val="16"/>
                <w:color w:val="auto"/>
                <w:w w:val="87"/>
              </w:rPr>
              <w:t>Las Vegas</w:t>
            </w: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Harrah’s Las Vegas</w:t>
            </w:r>
          </w:p>
        </w:tc>
        <w:tc>
          <w:tcPr>
            <w:tcW w:w="2620" w:type="dxa"/>
            <w:vAlign w:val="bottom"/>
            <w:shd w:val="clear" w:color="auto" w:fill="CCEEFF"/>
          </w:tcPr>
          <w:p>
            <w:pPr>
              <w:jc w:val="center"/>
              <w:ind w:left="599"/>
              <w:spacing w:after="0"/>
              <w:rPr>
                <w:sz w:val="20"/>
                <w:szCs w:val="20"/>
                <w:color w:val="auto"/>
              </w:rPr>
            </w:pPr>
            <w:r>
              <w:rPr>
                <w:rFonts w:ascii="Arial" w:cs="Arial" w:eastAsia="Arial" w:hAnsi="Arial"/>
                <w:sz w:val="16"/>
                <w:szCs w:val="16"/>
                <w:color w:val="auto"/>
                <w:w w:val="91"/>
              </w:rPr>
              <w:t>Las Vegas, NV</w:t>
            </w:r>
          </w:p>
        </w:tc>
        <w:tc>
          <w:tcPr>
            <w:tcW w:w="142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89"/>
              </w:rPr>
              <w:t>89</w:t>
            </w: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1,340</w:t>
            </w: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2,540</w:t>
            </w:r>
          </w:p>
        </w:tc>
        <w:tc>
          <w:tcPr>
            <w:tcW w:w="1700" w:type="dxa"/>
            <w:vAlign w:val="bottom"/>
            <w:shd w:val="clear" w:color="auto" w:fill="CCEEFF"/>
          </w:tcPr>
          <w:p>
            <w:pPr>
              <w:jc w:val="center"/>
              <w:ind w:left="79"/>
              <w:spacing w:after="0"/>
              <w:rPr>
                <w:sz w:val="20"/>
                <w:szCs w:val="20"/>
                <w:color w:val="auto"/>
              </w:rPr>
            </w:pPr>
            <w:r>
              <w:rPr>
                <w:rFonts w:ascii="Arial" w:cs="Arial" w:eastAsia="Arial" w:hAnsi="Arial"/>
                <w:sz w:val="16"/>
                <w:szCs w:val="16"/>
                <w:color w:val="auto"/>
                <w:w w:val="87"/>
              </w:rPr>
              <w:t>Las Vegas</w:t>
            </w:r>
          </w:p>
        </w:tc>
        <w:tc>
          <w:tcPr>
            <w:tcW w:w="0" w:type="dxa"/>
            <w:vAlign w:val="bottom"/>
          </w:tcPr>
          <w:p>
            <w:pPr>
              <w:spacing w:after="0"/>
              <w:rPr>
                <w:sz w:val="1"/>
                <w:szCs w:val="1"/>
                <w:color w:val="auto"/>
              </w:rPr>
            </w:pPr>
          </w:p>
        </w:tc>
      </w:tr>
      <w:tr>
        <w:trPr>
          <w:trHeight w:val="213"/>
        </w:trPr>
        <w:tc>
          <w:tcPr>
            <w:tcW w:w="3380" w:type="dxa"/>
            <w:vAlign w:val="bottom"/>
          </w:tcPr>
          <w:p>
            <w:pPr>
              <w:ind w:left="360"/>
              <w:spacing w:after="0"/>
              <w:rPr>
                <w:sz w:val="20"/>
                <w:szCs w:val="20"/>
                <w:color w:val="auto"/>
              </w:rPr>
            </w:pPr>
            <w:r>
              <w:rPr>
                <w:rFonts w:ascii="Arial" w:cs="Arial" w:eastAsia="Arial" w:hAnsi="Arial"/>
                <w:sz w:val="16"/>
                <w:szCs w:val="16"/>
                <w:color w:val="auto"/>
              </w:rPr>
              <w:t>Venetian Resort</w:t>
            </w:r>
          </w:p>
        </w:tc>
        <w:tc>
          <w:tcPr>
            <w:tcW w:w="2620" w:type="dxa"/>
            <w:vAlign w:val="bottom"/>
          </w:tcPr>
          <w:p>
            <w:pPr>
              <w:jc w:val="center"/>
              <w:ind w:left="599"/>
              <w:spacing w:after="0"/>
              <w:rPr>
                <w:sz w:val="20"/>
                <w:szCs w:val="20"/>
                <w:color w:val="auto"/>
              </w:rPr>
            </w:pPr>
            <w:r>
              <w:rPr>
                <w:rFonts w:ascii="Arial" w:cs="Arial" w:eastAsia="Arial" w:hAnsi="Arial"/>
                <w:sz w:val="16"/>
                <w:szCs w:val="16"/>
                <w:color w:val="auto"/>
                <w:w w:val="91"/>
              </w:rPr>
              <w:t>Las Vegas, NV</w:t>
            </w:r>
          </w:p>
        </w:tc>
        <w:tc>
          <w:tcPr>
            <w:tcW w:w="1420" w:type="dxa"/>
            <w:vAlign w:val="bottom"/>
          </w:tcPr>
          <w:p>
            <w:pPr>
              <w:jc w:val="center"/>
              <w:ind w:left="19"/>
              <w:spacing w:after="0"/>
              <w:rPr>
                <w:sz w:val="20"/>
                <w:szCs w:val="20"/>
                <w:color w:val="auto"/>
              </w:rPr>
            </w:pPr>
            <w:r>
              <w:rPr>
                <w:rFonts w:ascii="Arial" w:cs="Arial" w:eastAsia="Arial" w:hAnsi="Arial"/>
                <w:sz w:val="16"/>
                <w:szCs w:val="16"/>
                <w:color w:val="auto"/>
                <w:w w:val="89"/>
              </w:rPr>
              <w:t>225</w:t>
            </w: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2,200</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7,100</w:t>
            </w:r>
          </w:p>
        </w:tc>
        <w:tc>
          <w:tcPr>
            <w:tcW w:w="1700" w:type="dxa"/>
            <w:vAlign w:val="bottom"/>
          </w:tcPr>
          <w:p>
            <w:pPr>
              <w:jc w:val="center"/>
              <w:ind w:left="59"/>
              <w:spacing w:after="0"/>
              <w:rPr>
                <w:sz w:val="20"/>
                <w:szCs w:val="20"/>
                <w:color w:val="auto"/>
              </w:rPr>
            </w:pPr>
            <w:r>
              <w:rPr>
                <w:rFonts w:ascii="Arial" w:cs="Arial" w:eastAsia="Arial" w:hAnsi="Arial"/>
                <w:sz w:val="16"/>
                <w:szCs w:val="16"/>
                <w:color w:val="auto"/>
                <w:w w:val="88"/>
              </w:rPr>
              <w:t>Venetian</w:t>
            </w: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San Francisco / Sacramento</w:t>
            </w:r>
          </w:p>
        </w:tc>
        <w:tc>
          <w:tcPr>
            <w:tcW w:w="26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80" w:type="dxa"/>
            <w:vAlign w:val="bottom"/>
          </w:tcPr>
          <w:p>
            <w:pPr>
              <w:ind w:left="360"/>
              <w:spacing w:after="0"/>
              <w:rPr>
                <w:sz w:val="20"/>
                <w:szCs w:val="20"/>
                <w:color w:val="auto"/>
              </w:rPr>
            </w:pPr>
            <w:r>
              <w:rPr>
                <w:rFonts w:ascii="Arial" w:cs="Arial" w:eastAsia="Arial" w:hAnsi="Arial"/>
                <w:sz w:val="16"/>
                <w:szCs w:val="16"/>
                <w:color w:val="auto"/>
              </w:rPr>
              <w:t>Harvey’s Lake Tahoe</w:t>
            </w:r>
          </w:p>
        </w:tc>
        <w:tc>
          <w:tcPr>
            <w:tcW w:w="2620" w:type="dxa"/>
            <w:vAlign w:val="bottom"/>
          </w:tcPr>
          <w:p>
            <w:pPr>
              <w:jc w:val="center"/>
              <w:ind w:left="579"/>
              <w:spacing w:after="0"/>
              <w:rPr>
                <w:sz w:val="20"/>
                <w:szCs w:val="20"/>
                <w:color w:val="auto"/>
              </w:rPr>
            </w:pPr>
            <w:r>
              <w:rPr>
                <w:rFonts w:ascii="Arial" w:cs="Arial" w:eastAsia="Arial" w:hAnsi="Arial"/>
                <w:sz w:val="16"/>
                <w:szCs w:val="16"/>
                <w:color w:val="auto"/>
                <w:w w:val="93"/>
              </w:rPr>
              <w:t>Lake Tahoe, NV</w:t>
            </w:r>
          </w:p>
        </w:tc>
        <w:tc>
          <w:tcPr>
            <w:tcW w:w="1420" w:type="dxa"/>
            <w:vAlign w:val="bottom"/>
          </w:tcPr>
          <w:p>
            <w:pPr>
              <w:jc w:val="center"/>
              <w:ind w:left="19"/>
              <w:spacing w:after="0"/>
              <w:rPr>
                <w:sz w:val="20"/>
                <w:szCs w:val="20"/>
                <w:color w:val="auto"/>
              </w:rPr>
            </w:pPr>
            <w:r>
              <w:rPr>
                <w:rFonts w:ascii="Arial" w:cs="Arial" w:eastAsia="Arial" w:hAnsi="Arial"/>
                <w:sz w:val="16"/>
                <w:szCs w:val="16"/>
                <w:color w:val="auto"/>
                <w:w w:val="89"/>
              </w:rPr>
              <w:t>51</w:t>
            </w: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660</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740</w:t>
            </w:r>
          </w:p>
        </w:tc>
        <w:tc>
          <w:tcPr>
            <w:tcW w:w="1700" w:type="dxa"/>
            <w:vAlign w:val="bottom"/>
          </w:tcPr>
          <w:p>
            <w:pPr>
              <w:jc w:val="center"/>
              <w:ind w:left="79"/>
              <w:spacing w:after="0"/>
              <w:rPr>
                <w:sz w:val="20"/>
                <w:szCs w:val="20"/>
                <w:color w:val="auto"/>
              </w:rPr>
            </w:pPr>
            <w:r>
              <w:rPr>
                <w:rFonts w:ascii="Arial" w:cs="Arial" w:eastAsia="Arial" w:hAnsi="Arial"/>
                <w:sz w:val="16"/>
                <w:szCs w:val="16"/>
                <w:color w:val="auto"/>
                <w:w w:val="91"/>
              </w:rPr>
              <w:t>Regional</w:t>
            </w: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Harrah’s Lake Tahoe</w:t>
            </w:r>
          </w:p>
        </w:tc>
        <w:tc>
          <w:tcPr>
            <w:tcW w:w="262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w w:val="94"/>
              </w:rPr>
              <w:t>Stateline, NV</w:t>
            </w:r>
          </w:p>
        </w:tc>
        <w:tc>
          <w:tcPr>
            <w:tcW w:w="142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89"/>
              </w:rPr>
              <w:t>54</w:t>
            </w: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830</w:t>
            </w: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510</w:t>
            </w:r>
          </w:p>
        </w:tc>
        <w:tc>
          <w:tcPr>
            <w:tcW w:w="1700" w:type="dxa"/>
            <w:vAlign w:val="bottom"/>
            <w:shd w:val="clear" w:color="auto" w:fill="CCEEFF"/>
          </w:tcPr>
          <w:p>
            <w:pPr>
              <w:jc w:val="center"/>
              <w:ind w:left="79"/>
              <w:spacing w:after="0"/>
              <w:rPr>
                <w:sz w:val="20"/>
                <w:szCs w:val="20"/>
                <w:color w:val="auto"/>
              </w:rPr>
            </w:pPr>
            <w:r>
              <w:rPr>
                <w:rFonts w:ascii="Arial" w:cs="Arial" w:eastAsia="Arial" w:hAnsi="Arial"/>
                <w:sz w:val="16"/>
                <w:szCs w:val="16"/>
                <w:color w:val="auto"/>
                <w:w w:val="91"/>
              </w:rPr>
              <w:t>Regional</w:t>
            </w:r>
          </w:p>
        </w:tc>
        <w:tc>
          <w:tcPr>
            <w:tcW w:w="0" w:type="dxa"/>
            <w:vAlign w:val="bottom"/>
          </w:tcPr>
          <w:p>
            <w:pPr>
              <w:spacing w:after="0"/>
              <w:rPr>
                <w:sz w:val="1"/>
                <w:szCs w:val="1"/>
                <w:color w:val="auto"/>
              </w:rPr>
            </w:pPr>
          </w:p>
        </w:tc>
      </w:tr>
      <w:tr>
        <w:trPr>
          <w:trHeight w:val="213"/>
        </w:trPr>
        <w:tc>
          <w:tcPr>
            <w:tcW w:w="3380" w:type="dxa"/>
            <w:vAlign w:val="bottom"/>
          </w:tcPr>
          <w:p>
            <w:pPr>
              <w:ind w:left="20"/>
              <w:spacing w:after="0"/>
              <w:rPr>
                <w:sz w:val="20"/>
                <w:szCs w:val="20"/>
                <w:color w:val="auto"/>
              </w:rPr>
            </w:pPr>
            <w:r>
              <w:rPr>
                <w:rFonts w:ascii="Arial" w:cs="Arial" w:eastAsia="Arial" w:hAnsi="Arial"/>
                <w:sz w:val="16"/>
                <w:szCs w:val="16"/>
                <w:b w:val="1"/>
                <w:bCs w:val="1"/>
                <w:color w:val="auto"/>
              </w:rPr>
              <w:t>Laughlin</w:t>
            </w:r>
          </w:p>
        </w:tc>
        <w:tc>
          <w:tcPr>
            <w:tcW w:w="26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Harrah’s Laughlin</w:t>
            </w:r>
          </w:p>
        </w:tc>
        <w:tc>
          <w:tcPr>
            <w:tcW w:w="2620" w:type="dxa"/>
            <w:vAlign w:val="bottom"/>
            <w:shd w:val="clear" w:color="auto" w:fill="CCEEFF"/>
          </w:tcPr>
          <w:p>
            <w:pPr>
              <w:jc w:val="center"/>
              <w:ind w:left="599"/>
              <w:spacing w:after="0"/>
              <w:rPr>
                <w:sz w:val="20"/>
                <w:szCs w:val="20"/>
                <w:color w:val="auto"/>
              </w:rPr>
            </w:pPr>
            <w:r>
              <w:rPr>
                <w:rFonts w:ascii="Arial" w:cs="Arial" w:eastAsia="Arial" w:hAnsi="Arial"/>
                <w:sz w:val="16"/>
                <w:szCs w:val="16"/>
                <w:color w:val="auto"/>
                <w:w w:val="98"/>
              </w:rPr>
              <w:t>Laughlin, NV</w:t>
            </w:r>
          </w:p>
        </w:tc>
        <w:tc>
          <w:tcPr>
            <w:tcW w:w="142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89"/>
              </w:rPr>
              <w:t>56</w:t>
            </w: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920</w:t>
            </w: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1,510</w:t>
            </w:r>
          </w:p>
        </w:tc>
        <w:tc>
          <w:tcPr>
            <w:tcW w:w="1700" w:type="dxa"/>
            <w:vAlign w:val="bottom"/>
            <w:shd w:val="clear" w:color="auto" w:fill="CCEEFF"/>
          </w:tcPr>
          <w:p>
            <w:pPr>
              <w:jc w:val="center"/>
              <w:ind w:left="79"/>
              <w:spacing w:after="0"/>
              <w:rPr>
                <w:sz w:val="20"/>
                <w:szCs w:val="20"/>
                <w:color w:val="auto"/>
              </w:rPr>
            </w:pPr>
            <w:r>
              <w:rPr>
                <w:rFonts w:ascii="Arial" w:cs="Arial" w:eastAsia="Arial" w:hAnsi="Arial"/>
                <w:sz w:val="16"/>
                <w:szCs w:val="16"/>
                <w:color w:val="auto"/>
                <w:w w:val="91"/>
              </w:rPr>
              <w:t>Regional</w:t>
            </w:r>
          </w:p>
        </w:tc>
        <w:tc>
          <w:tcPr>
            <w:tcW w:w="0" w:type="dxa"/>
            <w:vAlign w:val="bottom"/>
          </w:tcPr>
          <w:p>
            <w:pPr>
              <w:spacing w:after="0"/>
              <w:rPr>
                <w:sz w:val="1"/>
                <w:szCs w:val="1"/>
                <w:color w:val="auto"/>
              </w:rPr>
            </w:pPr>
          </w:p>
        </w:tc>
      </w:tr>
      <w:tr>
        <w:trPr>
          <w:trHeight w:val="213"/>
        </w:trPr>
        <w:tc>
          <w:tcPr>
            <w:tcW w:w="3380" w:type="dxa"/>
            <w:vAlign w:val="bottom"/>
          </w:tcPr>
          <w:p>
            <w:pPr>
              <w:ind w:left="20"/>
              <w:spacing w:after="0"/>
              <w:rPr>
                <w:sz w:val="20"/>
                <w:szCs w:val="20"/>
                <w:color w:val="auto"/>
              </w:rPr>
            </w:pPr>
            <w:r>
              <w:rPr>
                <w:rFonts w:ascii="Arial" w:cs="Arial" w:eastAsia="Arial" w:hAnsi="Arial"/>
                <w:sz w:val="16"/>
                <w:szCs w:val="16"/>
                <w:b w:val="1"/>
                <w:bCs w:val="1"/>
                <w:color w:val="auto"/>
              </w:rPr>
              <w:t>Philadelphia</w:t>
            </w:r>
          </w:p>
        </w:tc>
        <w:tc>
          <w:tcPr>
            <w:tcW w:w="26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Caesars Atlantic City</w:t>
            </w:r>
          </w:p>
        </w:tc>
        <w:tc>
          <w:tcPr>
            <w:tcW w:w="262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w w:val="95"/>
              </w:rPr>
              <w:t>Atlantic City, NJ</w:t>
            </w:r>
          </w:p>
        </w:tc>
        <w:tc>
          <w:tcPr>
            <w:tcW w:w="142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89"/>
              </w:rPr>
              <w:t>113</w:t>
            </w: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2,280</w:t>
            </w: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1,140</w:t>
            </w:r>
          </w:p>
        </w:tc>
        <w:tc>
          <w:tcPr>
            <w:tcW w:w="1700" w:type="dxa"/>
            <w:vAlign w:val="bottom"/>
            <w:shd w:val="clear" w:color="auto" w:fill="CCEEFF"/>
          </w:tcPr>
          <w:p>
            <w:pPr>
              <w:jc w:val="center"/>
              <w:ind w:left="79"/>
              <w:spacing w:after="0"/>
              <w:rPr>
                <w:sz w:val="20"/>
                <w:szCs w:val="20"/>
                <w:color w:val="auto"/>
              </w:rPr>
            </w:pPr>
            <w:r>
              <w:rPr>
                <w:rFonts w:ascii="Arial" w:cs="Arial" w:eastAsia="Arial" w:hAnsi="Arial"/>
                <w:sz w:val="16"/>
                <w:szCs w:val="16"/>
                <w:color w:val="auto"/>
                <w:w w:val="91"/>
              </w:rPr>
              <w:t>Regional</w:t>
            </w:r>
          </w:p>
        </w:tc>
        <w:tc>
          <w:tcPr>
            <w:tcW w:w="0" w:type="dxa"/>
            <w:vAlign w:val="bottom"/>
          </w:tcPr>
          <w:p>
            <w:pPr>
              <w:spacing w:after="0"/>
              <w:rPr>
                <w:sz w:val="1"/>
                <w:szCs w:val="1"/>
                <w:color w:val="auto"/>
              </w:rPr>
            </w:pPr>
          </w:p>
        </w:tc>
      </w:tr>
      <w:tr>
        <w:trPr>
          <w:trHeight w:val="213"/>
        </w:trPr>
        <w:tc>
          <w:tcPr>
            <w:tcW w:w="3380" w:type="dxa"/>
            <w:vAlign w:val="bottom"/>
          </w:tcPr>
          <w:p>
            <w:pPr>
              <w:ind w:left="360"/>
              <w:spacing w:after="0"/>
              <w:rPr>
                <w:sz w:val="20"/>
                <w:szCs w:val="20"/>
                <w:color w:val="auto"/>
              </w:rPr>
            </w:pPr>
            <w:r>
              <w:rPr>
                <w:rFonts w:ascii="Arial" w:cs="Arial" w:eastAsia="Arial" w:hAnsi="Arial"/>
                <w:sz w:val="16"/>
                <w:szCs w:val="16"/>
                <w:color w:val="auto"/>
              </w:rPr>
              <w:t>Harrah’s Atlantic City</w:t>
            </w:r>
          </w:p>
        </w:tc>
        <w:tc>
          <w:tcPr>
            <w:tcW w:w="2620" w:type="dxa"/>
            <w:vAlign w:val="bottom"/>
          </w:tcPr>
          <w:p>
            <w:pPr>
              <w:jc w:val="center"/>
              <w:ind w:left="579"/>
              <w:spacing w:after="0"/>
              <w:rPr>
                <w:sz w:val="20"/>
                <w:szCs w:val="20"/>
                <w:color w:val="auto"/>
              </w:rPr>
            </w:pPr>
            <w:r>
              <w:rPr>
                <w:rFonts w:ascii="Arial" w:cs="Arial" w:eastAsia="Arial" w:hAnsi="Arial"/>
                <w:sz w:val="16"/>
                <w:szCs w:val="16"/>
                <w:color w:val="auto"/>
                <w:w w:val="95"/>
              </w:rPr>
              <w:t>Atlantic City, NJ</w:t>
            </w:r>
          </w:p>
        </w:tc>
        <w:tc>
          <w:tcPr>
            <w:tcW w:w="1420" w:type="dxa"/>
            <w:vAlign w:val="bottom"/>
          </w:tcPr>
          <w:p>
            <w:pPr>
              <w:jc w:val="center"/>
              <w:ind w:left="19"/>
              <w:spacing w:after="0"/>
              <w:rPr>
                <w:sz w:val="20"/>
                <w:szCs w:val="20"/>
                <w:color w:val="auto"/>
              </w:rPr>
            </w:pPr>
            <w:r>
              <w:rPr>
                <w:rFonts w:ascii="Arial" w:cs="Arial" w:eastAsia="Arial" w:hAnsi="Arial"/>
                <w:sz w:val="16"/>
                <w:szCs w:val="16"/>
                <w:color w:val="auto"/>
                <w:w w:val="89"/>
              </w:rPr>
              <w:t>156</w:t>
            </w: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2,220</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2,590</w:t>
            </w:r>
          </w:p>
        </w:tc>
        <w:tc>
          <w:tcPr>
            <w:tcW w:w="1700" w:type="dxa"/>
            <w:vAlign w:val="bottom"/>
          </w:tcPr>
          <w:p>
            <w:pPr>
              <w:jc w:val="center"/>
              <w:ind w:left="79"/>
              <w:spacing w:after="0"/>
              <w:rPr>
                <w:sz w:val="20"/>
                <w:szCs w:val="20"/>
                <w:color w:val="auto"/>
              </w:rPr>
            </w:pPr>
            <w:r>
              <w:rPr>
                <w:rFonts w:ascii="Arial" w:cs="Arial" w:eastAsia="Arial" w:hAnsi="Arial"/>
                <w:sz w:val="16"/>
                <w:szCs w:val="16"/>
                <w:color w:val="auto"/>
                <w:w w:val="91"/>
              </w:rPr>
              <w:t>Regional</w:t>
            </w: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Harrah’s Philadelphia</w:t>
            </w:r>
          </w:p>
        </w:tc>
        <w:tc>
          <w:tcPr>
            <w:tcW w:w="262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w w:val="88"/>
              </w:rPr>
              <w:t>Chester, PA</w:t>
            </w:r>
          </w:p>
        </w:tc>
        <w:tc>
          <w:tcPr>
            <w:tcW w:w="142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89"/>
              </w:rPr>
              <w:t>111</w:t>
            </w: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2,380</w:t>
            </w: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1700" w:type="dxa"/>
            <w:vAlign w:val="bottom"/>
            <w:shd w:val="clear" w:color="auto" w:fill="CCEEFF"/>
          </w:tcPr>
          <w:p>
            <w:pPr>
              <w:jc w:val="center"/>
              <w:ind w:left="79"/>
              <w:spacing w:after="0"/>
              <w:rPr>
                <w:sz w:val="20"/>
                <w:szCs w:val="20"/>
                <w:color w:val="auto"/>
              </w:rPr>
            </w:pPr>
            <w:r>
              <w:rPr>
                <w:rFonts w:ascii="Arial" w:cs="Arial" w:eastAsia="Arial" w:hAnsi="Arial"/>
                <w:sz w:val="16"/>
                <w:szCs w:val="16"/>
                <w:color w:val="auto"/>
                <w:w w:val="91"/>
              </w:rPr>
              <w:t>Regional</w:t>
            </w:r>
          </w:p>
        </w:tc>
        <w:tc>
          <w:tcPr>
            <w:tcW w:w="0" w:type="dxa"/>
            <w:vAlign w:val="bottom"/>
          </w:tcPr>
          <w:p>
            <w:pPr>
              <w:spacing w:after="0"/>
              <w:rPr>
                <w:sz w:val="1"/>
                <w:szCs w:val="1"/>
                <w:color w:val="auto"/>
              </w:rPr>
            </w:pPr>
          </w:p>
        </w:tc>
      </w:tr>
      <w:tr>
        <w:trPr>
          <w:trHeight w:val="213"/>
        </w:trPr>
        <w:tc>
          <w:tcPr>
            <w:tcW w:w="3380" w:type="dxa"/>
            <w:vAlign w:val="bottom"/>
          </w:tcPr>
          <w:p>
            <w:pPr>
              <w:ind w:left="20"/>
              <w:spacing w:after="0"/>
              <w:rPr>
                <w:sz w:val="20"/>
                <w:szCs w:val="20"/>
                <w:color w:val="auto"/>
              </w:rPr>
            </w:pPr>
            <w:r>
              <w:rPr>
                <w:rFonts w:ascii="Arial" w:cs="Arial" w:eastAsia="Arial" w:hAnsi="Arial"/>
                <w:sz w:val="16"/>
                <w:szCs w:val="16"/>
                <w:b w:val="1"/>
                <w:bCs w:val="1"/>
                <w:color w:val="auto"/>
              </w:rPr>
              <w:t>Chicago</w:t>
            </w:r>
          </w:p>
        </w:tc>
        <w:tc>
          <w:tcPr>
            <w:tcW w:w="26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Horseshoe Hammond</w:t>
            </w:r>
          </w:p>
        </w:tc>
        <w:tc>
          <w:tcPr>
            <w:tcW w:w="2620" w:type="dxa"/>
            <w:vAlign w:val="bottom"/>
            <w:shd w:val="clear" w:color="auto" w:fill="CCEEFF"/>
          </w:tcPr>
          <w:p>
            <w:pPr>
              <w:jc w:val="center"/>
              <w:ind w:left="599"/>
              <w:spacing w:after="0"/>
              <w:rPr>
                <w:sz w:val="20"/>
                <w:szCs w:val="20"/>
                <w:color w:val="auto"/>
              </w:rPr>
            </w:pPr>
            <w:r>
              <w:rPr>
                <w:rFonts w:ascii="Arial" w:cs="Arial" w:eastAsia="Arial" w:hAnsi="Arial"/>
                <w:sz w:val="16"/>
                <w:szCs w:val="16"/>
                <w:color w:val="auto"/>
                <w:w w:val="95"/>
              </w:rPr>
              <w:t>Hammond, IN</w:t>
            </w:r>
          </w:p>
        </w:tc>
        <w:tc>
          <w:tcPr>
            <w:tcW w:w="142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89"/>
              </w:rPr>
              <w:t>117</w:t>
            </w: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2,290</w:t>
            </w: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1700" w:type="dxa"/>
            <w:vAlign w:val="bottom"/>
            <w:shd w:val="clear" w:color="auto" w:fill="CCEEFF"/>
          </w:tcPr>
          <w:p>
            <w:pPr>
              <w:jc w:val="center"/>
              <w:ind w:left="79"/>
              <w:spacing w:after="0"/>
              <w:rPr>
                <w:sz w:val="20"/>
                <w:szCs w:val="20"/>
                <w:color w:val="auto"/>
              </w:rPr>
            </w:pPr>
            <w:r>
              <w:rPr>
                <w:rFonts w:ascii="Arial" w:cs="Arial" w:eastAsia="Arial" w:hAnsi="Arial"/>
                <w:sz w:val="16"/>
                <w:szCs w:val="16"/>
                <w:color w:val="auto"/>
                <w:w w:val="91"/>
              </w:rPr>
              <w:t>Regional</w:t>
            </w:r>
          </w:p>
        </w:tc>
        <w:tc>
          <w:tcPr>
            <w:tcW w:w="0" w:type="dxa"/>
            <w:vAlign w:val="bottom"/>
          </w:tcPr>
          <w:p>
            <w:pPr>
              <w:spacing w:after="0"/>
              <w:rPr>
                <w:sz w:val="1"/>
                <w:szCs w:val="1"/>
                <w:color w:val="auto"/>
              </w:rPr>
            </w:pPr>
          </w:p>
        </w:tc>
      </w:tr>
      <w:tr>
        <w:trPr>
          <w:trHeight w:val="216"/>
        </w:trPr>
        <w:tc>
          <w:tcPr>
            <w:tcW w:w="3380" w:type="dxa"/>
            <w:vAlign w:val="bottom"/>
          </w:tcPr>
          <w:p>
            <w:pPr>
              <w:ind w:left="360"/>
              <w:spacing w:after="0" w:line="216" w:lineRule="exact"/>
              <w:rPr>
                <w:sz w:val="20"/>
                <w:szCs w:val="20"/>
                <w:color w:val="auto"/>
              </w:rPr>
            </w:pPr>
            <w:r>
              <w:rPr>
                <w:rFonts w:ascii="Arial" w:cs="Arial" w:eastAsia="Arial" w:hAnsi="Arial"/>
                <w:sz w:val="16"/>
                <w:szCs w:val="16"/>
                <w:color w:val="auto"/>
              </w:rPr>
              <w:t xml:space="preserve">Harrah’s Joliet </w:t>
            </w:r>
            <w:r>
              <w:rPr>
                <w:rFonts w:ascii="Arial" w:cs="Arial" w:eastAsia="Arial" w:hAnsi="Arial"/>
                <w:sz w:val="21"/>
                <w:szCs w:val="21"/>
                <w:color w:val="auto"/>
                <w:vertAlign w:val="superscript"/>
              </w:rPr>
              <w:t>(1)</w:t>
            </w:r>
          </w:p>
        </w:tc>
        <w:tc>
          <w:tcPr>
            <w:tcW w:w="2620" w:type="dxa"/>
            <w:vAlign w:val="bottom"/>
          </w:tcPr>
          <w:p>
            <w:pPr>
              <w:jc w:val="center"/>
              <w:ind w:left="599"/>
              <w:spacing w:after="0"/>
              <w:rPr>
                <w:sz w:val="20"/>
                <w:szCs w:val="20"/>
                <w:color w:val="auto"/>
              </w:rPr>
            </w:pPr>
            <w:r>
              <w:rPr>
                <w:rFonts w:ascii="Arial" w:cs="Arial" w:eastAsia="Arial" w:hAnsi="Arial"/>
                <w:sz w:val="16"/>
                <w:szCs w:val="16"/>
                <w:color w:val="auto"/>
                <w:w w:val="97"/>
              </w:rPr>
              <w:t>Joliet, IL</w:t>
            </w:r>
          </w:p>
        </w:tc>
        <w:tc>
          <w:tcPr>
            <w:tcW w:w="1420" w:type="dxa"/>
            <w:vAlign w:val="bottom"/>
          </w:tcPr>
          <w:p>
            <w:pPr>
              <w:jc w:val="center"/>
              <w:ind w:left="19"/>
              <w:spacing w:after="0"/>
              <w:rPr>
                <w:sz w:val="20"/>
                <w:szCs w:val="20"/>
                <w:color w:val="auto"/>
              </w:rPr>
            </w:pPr>
            <w:r>
              <w:rPr>
                <w:rFonts w:ascii="Arial" w:cs="Arial" w:eastAsia="Arial" w:hAnsi="Arial"/>
                <w:sz w:val="16"/>
                <w:szCs w:val="16"/>
                <w:color w:val="auto"/>
                <w:w w:val="89"/>
              </w:rPr>
              <w:t>39</w:t>
            </w: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1,130</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200</w:t>
            </w:r>
          </w:p>
        </w:tc>
        <w:tc>
          <w:tcPr>
            <w:tcW w:w="1700" w:type="dxa"/>
            <w:vAlign w:val="bottom"/>
          </w:tcPr>
          <w:p>
            <w:pPr>
              <w:jc w:val="center"/>
              <w:ind w:left="79"/>
              <w:spacing w:after="0"/>
              <w:rPr>
                <w:sz w:val="20"/>
                <w:szCs w:val="20"/>
                <w:color w:val="auto"/>
              </w:rPr>
            </w:pPr>
            <w:r>
              <w:rPr>
                <w:rFonts w:ascii="Arial" w:cs="Arial" w:eastAsia="Arial" w:hAnsi="Arial"/>
                <w:sz w:val="16"/>
                <w:szCs w:val="16"/>
                <w:color w:val="auto"/>
                <w:w w:val="91"/>
              </w:rPr>
              <w:t>Regional</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Cincinnati</w:t>
            </w:r>
          </w:p>
        </w:tc>
        <w:tc>
          <w:tcPr>
            <w:tcW w:w="26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80" w:type="dxa"/>
            <w:vAlign w:val="bottom"/>
          </w:tcPr>
          <w:p>
            <w:pPr>
              <w:ind w:left="360"/>
              <w:spacing w:after="0"/>
              <w:rPr>
                <w:sz w:val="20"/>
                <w:szCs w:val="20"/>
                <w:color w:val="auto"/>
              </w:rPr>
            </w:pPr>
            <w:r>
              <w:rPr>
                <w:rFonts w:ascii="Arial" w:cs="Arial" w:eastAsia="Arial" w:hAnsi="Arial"/>
                <w:sz w:val="16"/>
                <w:szCs w:val="16"/>
                <w:color w:val="auto"/>
              </w:rPr>
              <w:t>Hard Rock Cincinnati</w:t>
            </w:r>
          </w:p>
        </w:tc>
        <w:tc>
          <w:tcPr>
            <w:tcW w:w="2620" w:type="dxa"/>
            <w:vAlign w:val="bottom"/>
          </w:tcPr>
          <w:p>
            <w:pPr>
              <w:jc w:val="center"/>
              <w:ind w:left="579"/>
              <w:spacing w:after="0"/>
              <w:rPr>
                <w:sz w:val="20"/>
                <w:szCs w:val="20"/>
                <w:color w:val="auto"/>
              </w:rPr>
            </w:pPr>
            <w:r>
              <w:rPr>
                <w:rFonts w:ascii="Arial" w:cs="Arial" w:eastAsia="Arial" w:hAnsi="Arial"/>
                <w:sz w:val="16"/>
                <w:szCs w:val="16"/>
                <w:color w:val="auto"/>
                <w:w w:val="96"/>
              </w:rPr>
              <w:t>Cincinnati, OH</w:t>
            </w:r>
          </w:p>
        </w:tc>
        <w:tc>
          <w:tcPr>
            <w:tcW w:w="1420" w:type="dxa"/>
            <w:vAlign w:val="bottom"/>
          </w:tcPr>
          <w:p>
            <w:pPr>
              <w:jc w:val="center"/>
              <w:ind w:left="19"/>
              <w:spacing w:after="0"/>
              <w:rPr>
                <w:sz w:val="20"/>
                <w:szCs w:val="20"/>
                <w:color w:val="auto"/>
              </w:rPr>
            </w:pPr>
            <w:r>
              <w:rPr>
                <w:rFonts w:ascii="Arial" w:cs="Arial" w:eastAsia="Arial" w:hAnsi="Arial"/>
                <w:sz w:val="16"/>
                <w:szCs w:val="16"/>
                <w:color w:val="auto"/>
                <w:w w:val="89"/>
              </w:rPr>
              <w:t>100</w:t>
            </w: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1,900</w:t>
            </w:r>
          </w:p>
        </w:tc>
        <w:tc>
          <w:tcPr>
            <w:tcW w:w="840" w:type="dxa"/>
            <w:vAlign w:val="bottom"/>
          </w:tcPr>
          <w:p>
            <w:pPr>
              <w:jc w:val="center"/>
              <w:spacing w:after="0"/>
              <w:rPr>
                <w:sz w:val="20"/>
                <w:szCs w:val="20"/>
                <w:color w:val="auto"/>
              </w:rPr>
            </w:pPr>
            <w:r>
              <w:rPr>
                <w:rFonts w:ascii="Arial" w:cs="Arial" w:eastAsia="Arial" w:hAnsi="Arial"/>
                <w:sz w:val="16"/>
                <w:szCs w:val="16"/>
                <w:color w:val="auto"/>
              </w:rPr>
              <w:t>N/A</w:t>
            </w:r>
          </w:p>
        </w:tc>
        <w:tc>
          <w:tcPr>
            <w:tcW w:w="1700" w:type="dxa"/>
            <w:vAlign w:val="bottom"/>
          </w:tcPr>
          <w:p>
            <w:pPr>
              <w:jc w:val="center"/>
              <w:ind w:left="79"/>
              <w:spacing w:after="0"/>
              <w:rPr>
                <w:sz w:val="20"/>
                <w:szCs w:val="20"/>
                <w:color w:val="auto"/>
              </w:rPr>
            </w:pPr>
            <w:r>
              <w:rPr>
                <w:rFonts w:ascii="Arial" w:cs="Arial" w:eastAsia="Arial" w:hAnsi="Arial"/>
                <w:sz w:val="16"/>
                <w:szCs w:val="16"/>
                <w:color w:val="auto"/>
                <w:w w:val="94"/>
              </w:rPr>
              <w:t>Hard Rock Cincinnati</w:t>
            </w: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Cleveland</w:t>
            </w:r>
          </w:p>
        </w:tc>
        <w:tc>
          <w:tcPr>
            <w:tcW w:w="26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3380" w:type="dxa"/>
            <w:vAlign w:val="bottom"/>
            <w:vMerge w:val="restart"/>
          </w:tcPr>
          <w:p>
            <w:pPr>
              <w:ind w:left="360"/>
              <w:spacing w:after="0"/>
              <w:rPr>
                <w:sz w:val="20"/>
                <w:szCs w:val="20"/>
                <w:color w:val="auto"/>
              </w:rPr>
            </w:pPr>
            <w:r>
              <w:rPr>
                <w:rFonts w:ascii="Arial" w:cs="Arial" w:eastAsia="Arial" w:hAnsi="Arial"/>
                <w:sz w:val="16"/>
                <w:szCs w:val="16"/>
                <w:color w:val="auto"/>
              </w:rPr>
              <w:t>JACK Cleveland</w:t>
            </w:r>
          </w:p>
        </w:tc>
        <w:tc>
          <w:tcPr>
            <w:tcW w:w="2620" w:type="dxa"/>
            <w:vAlign w:val="bottom"/>
            <w:vMerge w:val="restart"/>
          </w:tcPr>
          <w:p>
            <w:pPr>
              <w:jc w:val="center"/>
              <w:ind w:left="579"/>
              <w:spacing w:after="0"/>
              <w:rPr>
                <w:sz w:val="20"/>
                <w:szCs w:val="20"/>
                <w:color w:val="auto"/>
              </w:rPr>
            </w:pPr>
            <w:r>
              <w:rPr>
                <w:rFonts w:ascii="Arial" w:cs="Arial" w:eastAsia="Arial" w:hAnsi="Arial"/>
                <w:sz w:val="16"/>
                <w:szCs w:val="16"/>
                <w:color w:val="auto"/>
                <w:w w:val="92"/>
              </w:rPr>
              <w:t>Cleveland, OH</w:t>
            </w:r>
          </w:p>
        </w:tc>
        <w:tc>
          <w:tcPr>
            <w:tcW w:w="1420" w:type="dxa"/>
            <w:vAlign w:val="bottom"/>
            <w:vMerge w:val="restart"/>
          </w:tcPr>
          <w:p>
            <w:pPr>
              <w:jc w:val="center"/>
              <w:ind w:left="19"/>
              <w:spacing w:after="0"/>
              <w:rPr>
                <w:sz w:val="20"/>
                <w:szCs w:val="20"/>
                <w:color w:val="auto"/>
              </w:rPr>
            </w:pPr>
            <w:r>
              <w:rPr>
                <w:rFonts w:ascii="Arial" w:cs="Arial" w:eastAsia="Arial" w:hAnsi="Arial"/>
                <w:sz w:val="16"/>
                <w:szCs w:val="16"/>
                <w:color w:val="auto"/>
                <w:w w:val="89"/>
              </w:rPr>
              <w:t>96</w:t>
            </w:r>
          </w:p>
        </w:tc>
        <w:tc>
          <w:tcPr>
            <w:tcW w:w="1280" w:type="dxa"/>
            <w:vAlign w:val="bottom"/>
            <w:vMerge w:val="restart"/>
          </w:tcPr>
          <w:p>
            <w:pPr>
              <w:jc w:val="center"/>
              <w:spacing w:after="0"/>
              <w:rPr>
                <w:sz w:val="20"/>
                <w:szCs w:val="20"/>
                <w:color w:val="auto"/>
              </w:rPr>
            </w:pPr>
            <w:r>
              <w:rPr>
                <w:rFonts w:ascii="Arial" w:cs="Arial" w:eastAsia="Arial" w:hAnsi="Arial"/>
                <w:sz w:val="16"/>
                <w:szCs w:val="16"/>
                <w:color w:val="auto"/>
                <w:w w:val="89"/>
              </w:rPr>
              <w:t>1,450</w:t>
            </w: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rPr>
              <w:t>N/A</w:t>
            </w:r>
          </w:p>
        </w:tc>
        <w:tc>
          <w:tcPr>
            <w:tcW w:w="1700" w:type="dxa"/>
            <w:vAlign w:val="bottom"/>
          </w:tcPr>
          <w:p>
            <w:pPr>
              <w:jc w:val="center"/>
              <w:ind w:left="59"/>
              <w:spacing w:after="0" w:line="166" w:lineRule="exact"/>
              <w:rPr>
                <w:sz w:val="20"/>
                <w:szCs w:val="20"/>
                <w:color w:val="auto"/>
              </w:rPr>
            </w:pPr>
            <w:r>
              <w:rPr>
                <w:rFonts w:ascii="Arial" w:cs="Arial" w:eastAsia="Arial" w:hAnsi="Arial"/>
                <w:sz w:val="16"/>
                <w:szCs w:val="16"/>
                <w:color w:val="auto"/>
                <w:w w:val="97"/>
              </w:rPr>
              <w:t>JACK</w:t>
            </w:r>
          </w:p>
        </w:tc>
        <w:tc>
          <w:tcPr>
            <w:tcW w:w="0" w:type="dxa"/>
            <w:vAlign w:val="bottom"/>
          </w:tcPr>
          <w:p>
            <w:pPr>
              <w:spacing w:after="0"/>
              <w:rPr>
                <w:sz w:val="1"/>
                <w:szCs w:val="1"/>
                <w:color w:val="auto"/>
              </w:rPr>
            </w:pPr>
          </w:p>
        </w:tc>
      </w:tr>
      <w:tr>
        <w:trPr>
          <w:trHeight w:val="209"/>
        </w:trPr>
        <w:tc>
          <w:tcPr>
            <w:tcW w:w="3380" w:type="dxa"/>
            <w:vAlign w:val="bottom"/>
            <w:vMerge w:val="continue"/>
          </w:tcPr>
          <w:p>
            <w:pPr>
              <w:spacing w:after="0"/>
              <w:rPr>
                <w:sz w:val="18"/>
                <w:szCs w:val="18"/>
                <w:color w:val="auto"/>
              </w:rPr>
            </w:pPr>
          </w:p>
        </w:tc>
        <w:tc>
          <w:tcPr>
            <w:tcW w:w="2620" w:type="dxa"/>
            <w:vAlign w:val="bottom"/>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700" w:type="dxa"/>
            <w:vAlign w:val="bottom"/>
          </w:tcPr>
          <w:p>
            <w:pPr>
              <w:jc w:val="center"/>
              <w:ind w:left="59"/>
              <w:spacing w:after="0"/>
              <w:rPr>
                <w:sz w:val="20"/>
                <w:szCs w:val="20"/>
                <w:color w:val="auto"/>
              </w:rPr>
            </w:pPr>
            <w:r>
              <w:rPr>
                <w:rFonts w:ascii="Arial" w:cs="Arial" w:eastAsia="Arial" w:hAnsi="Arial"/>
                <w:sz w:val="16"/>
                <w:szCs w:val="16"/>
                <w:color w:val="auto"/>
                <w:w w:val="94"/>
              </w:rPr>
              <w:t>Cleveland/Thistledown</w:t>
            </w:r>
          </w:p>
        </w:tc>
        <w:tc>
          <w:tcPr>
            <w:tcW w:w="0" w:type="dxa"/>
            <w:vAlign w:val="bottom"/>
          </w:tcPr>
          <w:p>
            <w:pPr>
              <w:spacing w:after="0"/>
              <w:rPr>
                <w:sz w:val="1"/>
                <w:szCs w:val="1"/>
                <w:color w:val="auto"/>
              </w:rPr>
            </w:pPr>
          </w:p>
        </w:tc>
      </w:tr>
      <w:tr>
        <w:trPr>
          <w:trHeight w:val="169"/>
        </w:trPr>
        <w:tc>
          <w:tcPr>
            <w:tcW w:w="3380" w:type="dxa"/>
            <w:vAlign w:val="bottom"/>
            <w:vMerge w:val="restart"/>
            <w:shd w:val="clear" w:color="auto" w:fill="CCEEFF"/>
          </w:tcPr>
          <w:p>
            <w:pPr>
              <w:ind w:left="360"/>
              <w:spacing w:after="0"/>
              <w:rPr>
                <w:sz w:val="20"/>
                <w:szCs w:val="20"/>
                <w:color w:val="auto"/>
              </w:rPr>
            </w:pPr>
            <w:r>
              <w:rPr>
                <w:rFonts w:ascii="Arial" w:cs="Arial" w:eastAsia="Arial" w:hAnsi="Arial"/>
                <w:sz w:val="16"/>
                <w:szCs w:val="16"/>
                <w:color w:val="auto"/>
              </w:rPr>
              <w:t>JACK Thistledown Racino</w:t>
            </w:r>
          </w:p>
        </w:tc>
        <w:tc>
          <w:tcPr>
            <w:tcW w:w="2620" w:type="dxa"/>
            <w:vAlign w:val="bottom"/>
            <w:vMerge w:val="restart"/>
            <w:shd w:val="clear" w:color="auto" w:fill="CCEEFF"/>
          </w:tcPr>
          <w:p>
            <w:pPr>
              <w:jc w:val="center"/>
              <w:ind w:left="579"/>
              <w:spacing w:after="0"/>
              <w:rPr>
                <w:sz w:val="20"/>
                <w:szCs w:val="20"/>
                <w:color w:val="auto"/>
              </w:rPr>
            </w:pPr>
            <w:r>
              <w:rPr>
                <w:rFonts w:ascii="Arial" w:cs="Arial" w:eastAsia="Arial" w:hAnsi="Arial"/>
                <w:sz w:val="16"/>
                <w:szCs w:val="16"/>
                <w:color w:val="auto"/>
                <w:w w:val="94"/>
              </w:rPr>
              <w:t>North Randall, OH</w:t>
            </w:r>
          </w:p>
        </w:tc>
        <w:tc>
          <w:tcPr>
            <w:tcW w:w="1420" w:type="dxa"/>
            <w:vAlign w:val="bottom"/>
            <w:vMerge w:val="restart"/>
            <w:shd w:val="clear" w:color="auto" w:fill="CCEEFF"/>
          </w:tcPr>
          <w:p>
            <w:pPr>
              <w:jc w:val="center"/>
              <w:ind w:left="19"/>
              <w:spacing w:after="0"/>
              <w:rPr>
                <w:sz w:val="20"/>
                <w:szCs w:val="20"/>
                <w:color w:val="auto"/>
              </w:rPr>
            </w:pPr>
            <w:r>
              <w:rPr>
                <w:rFonts w:ascii="Arial" w:cs="Arial" w:eastAsia="Arial" w:hAnsi="Arial"/>
                <w:sz w:val="16"/>
                <w:szCs w:val="16"/>
                <w:color w:val="auto"/>
                <w:w w:val="89"/>
              </w:rPr>
              <w:t>57</w:t>
            </w:r>
          </w:p>
        </w:tc>
        <w:tc>
          <w:tcPr>
            <w:tcW w:w="128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1,480</w:t>
            </w:r>
          </w:p>
        </w:tc>
        <w:tc>
          <w:tcPr>
            <w:tcW w:w="8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1700" w:type="dxa"/>
            <w:vAlign w:val="bottom"/>
            <w:shd w:val="clear" w:color="auto" w:fill="CCEEFF"/>
          </w:tcPr>
          <w:p>
            <w:pPr>
              <w:jc w:val="center"/>
              <w:ind w:left="59"/>
              <w:spacing w:after="0" w:line="169" w:lineRule="exact"/>
              <w:rPr>
                <w:sz w:val="20"/>
                <w:szCs w:val="20"/>
                <w:color w:val="auto"/>
              </w:rPr>
            </w:pPr>
            <w:r>
              <w:rPr>
                <w:rFonts w:ascii="Arial" w:cs="Arial" w:eastAsia="Arial" w:hAnsi="Arial"/>
                <w:sz w:val="16"/>
                <w:szCs w:val="16"/>
                <w:color w:val="auto"/>
                <w:w w:val="97"/>
              </w:rPr>
              <w:t>JACK</w:t>
            </w:r>
          </w:p>
        </w:tc>
        <w:tc>
          <w:tcPr>
            <w:tcW w:w="0" w:type="dxa"/>
            <w:vAlign w:val="bottom"/>
          </w:tcPr>
          <w:p>
            <w:pPr>
              <w:spacing w:after="0"/>
              <w:rPr>
                <w:sz w:val="1"/>
                <w:szCs w:val="1"/>
                <w:color w:val="auto"/>
              </w:rPr>
            </w:pPr>
          </w:p>
        </w:tc>
      </w:tr>
      <w:tr>
        <w:trPr>
          <w:trHeight w:val="212"/>
        </w:trPr>
        <w:tc>
          <w:tcPr>
            <w:tcW w:w="3380" w:type="dxa"/>
            <w:vAlign w:val="bottom"/>
            <w:vMerge w:val="continue"/>
            <w:shd w:val="clear" w:color="auto" w:fill="CCEEFF"/>
          </w:tcPr>
          <w:p>
            <w:pPr>
              <w:spacing w:after="0"/>
              <w:rPr>
                <w:sz w:val="18"/>
                <w:szCs w:val="18"/>
                <w:color w:val="auto"/>
              </w:rPr>
            </w:pPr>
          </w:p>
        </w:tc>
        <w:tc>
          <w:tcPr>
            <w:tcW w:w="2620" w:type="dxa"/>
            <w:vAlign w:val="bottom"/>
            <w:vMerge w:val="continue"/>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70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94"/>
              </w:rPr>
              <w:t>Cleveland/Thistledown</w:t>
            </w:r>
          </w:p>
        </w:tc>
        <w:tc>
          <w:tcPr>
            <w:tcW w:w="0" w:type="dxa"/>
            <w:vAlign w:val="bottom"/>
          </w:tcPr>
          <w:p>
            <w:pPr>
              <w:spacing w:after="0"/>
              <w:rPr>
                <w:sz w:val="1"/>
                <w:szCs w:val="1"/>
                <w:color w:val="auto"/>
              </w:rPr>
            </w:pPr>
          </w:p>
        </w:tc>
      </w:tr>
      <w:tr>
        <w:trPr>
          <w:trHeight w:val="213"/>
        </w:trPr>
        <w:tc>
          <w:tcPr>
            <w:tcW w:w="3380" w:type="dxa"/>
            <w:vAlign w:val="bottom"/>
          </w:tcPr>
          <w:p>
            <w:pPr>
              <w:ind w:left="20"/>
              <w:spacing w:after="0"/>
              <w:rPr>
                <w:sz w:val="20"/>
                <w:szCs w:val="20"/>
                <w:color w:val="auto"/>
              </w:rPr>
            </w:pPr>
            <w:r>
              <w:rPr>
                <w:rFonts w:ascii="Arial" w:cs="Arial" w:eastAsia="Arial" w:hAnsi="Arial"/>
                <w:sz w:val="16"/>
                <w:szCs w:val="16"/>
                <w:b w:val="1"/>
                <w:bCs w:val="1"/>
                <w:color w:val="auto"/>
              </w:rPr>
              <w:t>Dallas</w:t>
            </w:r>
          </w:p>
        </w:tc>
        <w:tc>
          <w:tcPr>
            <w:tcW w:w="26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Horseshoe Bossier City</w:t>
            </w:r>
          </w:p>
        </w:tc>
        <w:tc>
          <w:tcPr>
            <w:tcW w:w="262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w w:val="94"/>
              </w:rPr>
              <w:t>Bossier City, LA</w:t>
            </w:r>
          </w:p>
        </w:tc>
        <w:tc>
          <w:tcPr>
            <w:tcW w:w="142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89"/>
              </w:rPr>
              <w:t>28</w:t>
            </w: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1,220</w:t>
            </w: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600</w:t>
            </w:r>
          </w:p>
        </w:tc>
        <w:tc>
          <w:tcPr>
            <w:tcW w:w="1700" w:type="dxa"/>
            <w:vAlign w:val="bottom"/>
            <w:shd w:val="clear" w:color="auto" w:fill="CCEEFF"/>
          </w:tcPr>
          <w:p>
            <w:pPr>
              <w:jc w:val="center"/>
              <w:ind w:left="79"/>
              <w:spacing w:after="0"/>
              <w:rPr>
                <w:sz w:val="20"/>
                <w:szCs w:val="20"/>
                <w:color w:val="auto"/>
              </w:rPr>
            </w:pPr>
            <w:r>
              <w:rPr>
                <w:rFonts w:ascii="Arial" w:cs="Arial" w:eastAsia="Arial" w:hAnsi="Arial"/>
                <w:sz w:val="16"/>
                <w:szCs w:val="16"/>
                <w:color w:val="auto"/>
                <w:w w:val="91"/>
              </w:rPr>
              <w:t>Regional</w:t>
            </w:r>
          </w:p>
        </w:tc>
        <w:tc>
          <w:tcPr>
            <w:tcW w:w="0" w:type="dxa"/>
            <w:vAlign w:val="bottom"/>
          </w:tcPr>
          <w:p>
            <w:pPr>
              <w:spacing w:after="0"/>
              <w:rPr>
                <w:sz w:val="1"/>
                <w:szCs w:val="1"/>
                <w:color w:val="auto"/>
              </w:rPr>
            </w:pPr>
          </w:p>
        </w:tc>
      </w:tr>
      <w:tr>
        <w:trPr>
          <w:trHeight w:val="213"/>
        </w:trPr>
        <w:tc>
          <w:tcPr>
            <w:tcW w:w="3380" w:type="dxa"/>
            <w:vAlign w:val="bottom"/>
          </w:tcPr>
          <w:p>
            <w:pPr>
              <w:ind w:left="360"/>
              <w:spacing w:after="0"/>
              <w:rPr>
                <w:sz w:val="20"/>
                <w:szCs w:val="20"/>
                <w:color w:val="auto"/>
              </w:rPr>
            </w:pPr>
            <w:r>
              <w:rPr>
                <w:rFonts w:ascii="Arial" w:cs="Arial" w:eastAsia="Arial" w:hAnsi="Arial"/>
                <w:sz w:val="16"/>
                <w:szCs w:val="16"/>
                <w:color w:val="auto"/>
              </w:rPr>
              <w:t>Margaritaville Resort Casino</w:t>
            </w:r>
          </w:p>
        </w:tc>
        <w:tc>
          <w:tcPr>
            <w:tcW w:w="2620" w:type="dxa"/>
            <w:vAlign w:val="bottom"/>
          </w:tcPr>
          <w:p>
            <w:pPr>
              <w:jc w:val="center"/>
              <w:ind w:left="579"/>
              <w:spacing w:after="0"/>
              <w:rPr>
                <w:sz w:val="20"/>
                <w:szCs w:val="20"/>
                <w:color w:val="auto"/>
              </w:rPr>
            </w:pPr>
            <w:r>
              <w:rPr>
                <w:rFonts w:ascii="Arial" w:cs="Arial" w:eastAsia="Arial" w:hAnsi="Arial"/>
                <w:sz w:val="16"/>
                <w:szCs w:val="16"/>
                <w:color w:val="auto"/>
                <w:w w:val="94"/>
              </w:rPr>
              <w:t>Bossier City, LA</w:t>
            </w:r>
          </w:p>
        </w:tc>
        <w:tc>
          <w:tcPr>
            <w:tcW w:w="1420" w:type="dxa"/>
            <w:vAlign w:val="bottom"/>
          </w:tcPr>
          <w:p>
            <w:pPr>
              <w:jc w:val="center"/>
              <w:ind w:left="19"/>
              <w:spacing w:after="0"/>
              <w:rPr>
                <w:sz w:val="20"/>
                <w:szCs w:val="20"/>
                <w:color w:val="auto"/>
              </w:rPr>
            </w:pPr>
            <w:r>
              <w:rPr>
                <w:rFonts w:ascii="Arial" w:cs="Arial" w:eastAsia="Arial" w:hAnsi="Arial"/>
                <w:sz w:val="16"/>
                <w:szCs w:val="16"/>
                <w:color w:val="auto"/>
                <w:w w:val="89"/>
              </w:rPr>
              <w:t>30</w:t>
            </w: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1,270</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395</w:t>
            </w:r>
          </w:p>
        </w:tc>
        <w:tc>
          <w:tcPr>
            <w:tcW w:w="1700" w:type="dxa"/>
            <w:vAlign w:val="bottom"/>
          </w:tcPr>
          <w:p>
            <w:pPr>
              <w:jc w:val="center"/>
              <w:ind w:left="59"/>
              <w:spacing w:after="0"/>
              <w:rPr>
                <w:sz w:val="20"/>
                <w:szCs w:val="20"/>
                <w:color w:val="auto"/>
              </w:rPr>
            </w:pPr>
            <w:r>
              <w:rPr>
                <w:rFonts w:ascii="Arial" w:cs="Arial" w:eastAsia="Arial" w:hAnsi="Arial"/>
                <w:sz w:val="16"/>
                <w:szCs w:val="16"/>
                <w:color w:val="auto"/>
                <w:w w:val="96"/>
              </w:rPr>
              <w:t>Margaritaville</w:t>
            </w: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Detroit</w:t>
            </w:r>
          </w:p>
        </w:tc>
        <w:tc>
          <w:tcPr>
            <w:tcW w:w="26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80" w:type="dxa"/>
            <w:vAlign w:val="bottom"/>
          </w:tcPr>
          <w:p>
            <w:pPr>
              <w:ind w:left="360"/>
              <w:spacing w:after="0"/>
              <w:rPr>
                <w:sz w:val="20"/>
                <w:szCs w:val="20"/>
                <w:color w:val="auto"/>
              </w:rPr>
            </w:pPr>
            <w:r>
              <w:rPr>
                <w:rFonts w:ascii="Arial" w:cs="Arial" w:eastAsia="Arial" w:hAnsi="Arial"/>
                <w:sz w:val="16"/>
                <w:szCs w:val="16"/>
                <w:color w:val="auto"/>
              </w:rPr>
              <w:t>Greektown Casino Hotel</w:t>
            </w:r>
          </w:p>
        </w:tc>
        <w:tc>
          <w:tcPr>
            <w:tcW w:w="2620" w:type="dxa"/>
            <w:vAlign w:val="bottom"/>
          </w:tcPr>
          <w:p>
            <w:pPr>
              <w:jc w:val="center"/>
              <w:ind w:left="599"/>
              <w:spacing w:after="0"/>
              <w:rPr>
                <w:sz w:val="20"/>
                <w:szCs w:val="20"/>
                <w:color w:val="auto"/>
              </w:rPr>
            </w:pPr>
            <w:r>
              <w:rPr>
                <w:rFonts w:ascii="Arial" w:cs="Arial" w:eastAsia="Arial" w:hAnsi="Arial"/>
                <w:sz w:val="16"/>
                <w:szCs w:val="16"/>
                <w:color w:val="auto"/>
              </w:rPr>
              <w:t>Detroit, MI</w:t>
            </w:r>
          </w:p>
        </w:tc>
        <w:tc>
          <w:tcPr>
            <w:tcW w:w="1420" w:type="dxa"/>
            <w:vAlign w:val="bottom"/>
          </w:tcPr>
          <w:p>
            <w:pPr>
              <w:jc w:val="center"/>
              <w:ind w:left="19"/>
              <w:spacing w:after="0"/>
              <w:rPr>
                <w:sz w:val="20"/>
                <w:szCs w:val="20"/>
                <w:color w:val="auto"/>
              </w:rPr>
            </w:pPr>
            <w:r>
              <w:rPr>
                <w:rFonts w:ascii="Arial" w:cs="Arial" w:eastAsia="Arial" w:hAnsi="Arial"/>
                <w:sz w:val="16"/>
                <w:szCs w:val="16"/>
                <w:color w:val="auto"/>
                <w:w w:val="89"/>
              </w:rPr>
              <w:t>100</w:t>
            </w: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2,660</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400</w:t>
            </w:r>
          </w:p>
        </w:tc>
        <w:tc>
          <w:tcPr>
            <w:tcW w:w="1700" w:type="dxa"/>
            <w:vAlign w:val="bottom"/>
          </w:tcPr>
          <w:p>
            <w:pPr>
              <w:jc w:val="center"/>
              <w:ind w:left="59"/>
              <w:spacing w:after="0"/>
              <w:rPr>
                <w:sz w:val="20"/>
                <w:szCs w:val="20"/>
                <w:color w:val="auto"/>
              </w:rPr>
            </w:pPr>
            <w:r>
              <w:rPr>
                <w:rFonts w:ascii="Arial" w:cs="Arial" w:eastAsia="Arial" w:hAnsi="Arial"/>
                <w:sz w:val="16"/>
                <w:szCs w:val="16"/>
                <w:color w:val="auto"/>
                <w:w w:val="93"/>
              </w:rPr>
              <w:t>Greektown</w:t>
            </w:r>
          </w:p>
        </w:tc>
        <w:tc>
          <w:tcPr>
            <w:tcW w:w="0" w:type="dxa"/>
            <w:vAlign w:val="bottom"/>
          </w:tcPr>
          <w:p>
            <w:pPr>
              <w:spacing w:after="0"/>
              <w:rPr>
                <w:sz w:val="1"/>
                <w:szCs w:val="1"/>
                <w:color w:val="auto"/>
              </w:rPr>
            </w:pPr>
          </w:p>
        </w:tc>
      </w:tr>
      <w:tr>
        <w:trPr>
          <w:trHeight w:val="219"/>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Kansas City</w:t>
            </w:r>
          </w:p>
        </w:tc>
        <w:tc>
          <w:tcPr>
            <w:tcW w:w="26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380" w:type="dxa"/>
            <w:vAlign w:val="bottom"/>
          </w:tcPr>
          <w:p>
            <w:pPr>
              <w:ind w:left="360"/>
              <w:spacing w:after="0"/>
              <w:rPr>
                <w:sz w:val="20"/>
                <w:szCs w:val="20"/>
                <w:color w:val="auto"/>
              </w:rPr>
            </w:pPr>
            <w:r>
              <w:rPr>
                <w:rFonts w:ascii="Arial" w:cs="Arial" w:eastAsia="Arial" w:hAnsi="Arial"/>
                <w:sz w:val="16"/>
                <w:szCs w:val="16"/>
                <w:color w:val="auto"/>
              </w:rPr>
              <w:t>Harrah’s North Kansas City</w:t>
            </w:r>
          </w:p>
        </w:tc>
        <w:tc>
          <w:tcPr>
            <w:tcW w:w="2620" w:type="dxa"/>
            <w:vAlign w:val="bottom"/>
          </w:tcPr>
          <w:p>
            <w:pPr>
              <w:jc w:val="center"/>
              <w:ind w:left="599"/>
              <w:spacing w:after="0"/>
              <w:rPr>
                <w:sz w:val="20"/>
                <w:szCs w:val="20"/>
                <w:color w:val="auto"/>
              </w:rPr>
            </w:pPr>
            <w:r>
              <w:rPr>
                <w:rFonts w:ascii="Arial" w:cs="Arial" w:eastAsia="Arial" w:hAnsi="Arial"/>
                <w:sz w:val="16"/>
                <w:szCs w:val="16"/>
                <w:color w:val="auto"/>
                <w:w w:val="94"/>
              </w:rPr>
              <w:t>North Kansas City, MO</w:t>
            </w:r>
          </w:p>
        </w:tc>
        <w:tc>
          <w:tcPr>
            <w:tcW w:w="1420" w:type="dxa"/>
            <w:vAlign w:val="bottom"/>
          </w:tcPr>
          <w:p>
            <w:pPr>
              <w:jc w:val="center"/>
              <w:ind w:left="19"/>
              <w:spacing w:after="0"/>
              <w:rPr>
                <w:sz w:val="20"/>
                <w:szCs w:val="20"/>
                <w:color w:val="auto"/>
              </w:rPr>
            </w:pPr>
            <w:r>
              <w:rPr>
                <w:rFonts w:ascii="Arial" w:cs="Arial" w:eastAsia="Arial" w:hAnsi="Arial"/>
                <w:sz w:val="16"/>
                <w:szCs w:val="16"/>
                <w:color w:val="auto"/>
                <w:w w:val="89"/>
              </w:rPr>
              <w:t>60</w:t>
            </w:r>
          </w:p>
        </w:tc>
        <w:tc>
          <w:tcPr>
            <w:tcW w:w="1280" w:type="dxa"/>
            <w:vAlign w:val="bottom"/>
          </w:tcPr>
          <w:p>
            <w:pPr>
              <w:jc w:val="center"/>
              <w:spacing w:after="0"/>
              <w:rPr>
                <w:sz w:val="20"/>
                <w:szCs w:val="20"/>
                <w:color w:val="auto"/>
              </w:rPr>
            </w:pPr>
            <w:r>
              <w:rPr>
                <w:rFonts w:ascii="Arial" w:cs="Arial" w:eastAsia="Arial" w:hAnsi="Arial"/>
                <w:sz w:val="16"/>
                <w:szCs w:val="16"/>
                <w:color w:val="auto"/>
                <w:w w:val="89"/>
              </w:rPr>
              <w:t>1,300</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390</w:t>
            </w:r>
          </w:p>
        </w:tc>
        <w:tc>
          <w:tcPr>
            <w:tcW w:w="1700" w:type="dxa"/>
            <w:vAlign w:val="bottom"/>
          </w:tcPr>
          <w:p>
            <w:pPr>
              <w:jc w:val="center"/>
              <w:ind w:left="79"/>
              <w:spacing w:after="0"/>
              <w:rPr>
                <w:sz w:val="20"/>
                <w:szCs w:val="20"/>
                <w:color w:val="auto"/>
              </w:rPr>
            </w:pPr>
            <w:r>
              <w:rPr>
                <w:rFonts w:ascii="Arial" w:cs="Arial" w:eastAsia="Arial" w:hAnsi="Arial"/>
                <w:sz w:val="16"/>
                <w:szCs w:val="16"/>
                <w:color w:val="auto"/>
                <w:w w:val="91"/>
              </w:rPr>
              <w:t>Regional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20" w:type="dxa"/>
            <w:vAlign w:val="bottom"/>
            <w:gridSpan w:val="2"/>
            <w:vMerge w:val="restart"/>
          </w:tcPr>
          <w:p>
            <w:pPr>
              <w:ind w:left="1420"/>
              <w:spacing w:after="0"/>
              <w:rPr>
                <w:sz w:val="20"/>
                <w:szCs w:val="20"/>
                <w:color w:val="auto"/>
              </w:rPr>
            </w:pPr>
            <w:r>
              <w:rPr>
                <w:rFonts w:ascii="Arial" w:cs="Arial" w:eastAsia="Arial" w:hAnsi="Arial"/>
                <w:sz w:val="16"/>
                <w:szCs w:val="16"/>
                <w:b w:val="1"/>
                <w:bCs w:val="1"/>
                <w:color w:val="auto"/>
              </w:rPr>
              <w:t>MSA / Property</w:t>
            </w:r>
          </w:p>
        </w:tc>
        <w:tc>
          <w:tcPr>
            <w:tcW w:w="21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2"/>
              </w:rPr>
              <w:t>Location</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Approx. Casino</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Approx.</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4"/>
              </w:rPr>
              <w:t>Hotel</w:t>
            </w:r>
          </w:p>
        </w:tc>
        <w:tc>
          <w:tcPr>
            <w:tcW w:w="100" w:type="dxa"/>
            <w:vAlign w:val="bottom"/>
          </w:tcPr>
          <w:p>
            <w:pPr>
              <w:spacing w:after="0"/>
              <w:rPr>
                <w:sz w:val="16"/>
                <w:szCs w:val="16"/>
                <w:color w:val="auto"/>
              </w:rPr>
            </w:pPr>
          </w:p>
        </w:tc>
        <w:tc>
          <w:tcPr>
            <w:tcW w:w="15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Lease Agreement</w:t>
            </w:r>
          </w:p>
        </w:tc>
        <w:tc>
          <w:tcPr>
            <w:tcW w:w="0" w:type="dxa"/>
            <w:vAlign w:val="bottom"/>
          </w:tcPr>
          <w:p>
            <w:pPr>
              <w:spacing w:after="0"/>
              <w:rPr>
                <w:sz w:val="1"/>
                <w:szCs w:val="1"/>
                <w:color w:val="auto"/>
              </w:rPr>
            </w:pPr>
          </w:p>
        </w:tc>
      </w:tr>
      <w:tr>
        <w:trPr>
          <w:trHeight w:val="213"/>
        </w:trPr>
        <w:tc>
          <w:tcPr>
            <w:tcW w:w="4020" w:type="dxa"/>
            <w:vAlign w:val="bottom"/>
            <w:gridSpan w:val="2"/>
            <w:vMerge w:val="continue"/>
          </w:tcPr>
          <w:p>
            <w:pPr>
              <w:spacing w:after="0"/>
              <w:rPr>
                <w:sz w:val="18"/>
                <w:szCs w:val="18"/>
                <w:color w:val="auto"/>
              </w:rPr>
            </w:pPr>
          </w:p>
        </w:tc>
        <w:tc>
          <w:tcPr>
            <w:tcW w:w="2120" w:type="dxa"/>
            <w:vAlign w:val="bottom"/>
            <w:gridSpan w:val="2"/>
            <w:vMerge w:val="continue"/>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Sq. Ft. (000’s)</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Gaming Units</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88"/>
              </w:rPr>
              <w:t>Rooms</w:t>
            </w:r>
          </w:p>
        </w:tc>
        <w:tc>
          <w:tcPr>
            <w:tcW w:w="10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St. Louis</w:t>
            </w: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20" w:type="dxa"/>
            <w:vAlign w:val="bottom"/>
            <w:gridSpan w:val="2"/>
          </w:tcPr>
          <w:p>
            <w:pPr>
              <w:ind w:left="360"/>
              <w:spacing w:after="0"/>
              <w:rPr>
                <w:sz w:val="20"/>
                <w:szCs w:val="20"/>
                <w:color w:val="auto"/>
              </w:rPr>
            </w:pPr>
            <w:r>
              <w:rPr>
                <w:rFonts w:ascii="Arial" w:cs="Arial" w:eastAsia="Arial" w:hAnsi="Arial"/>
                <w:sz w:val="16"/>
                <w:szCs w:val="16"/>
                <w:color w:val="auto"/>
              </w:rPr>
              <w:t>Century Cape Girardeau</w:t>
            </w:r>
          </w:p>
        </w:tc>
        <w:tc>
          <w:tcPr>
            <w:tcW w:w="212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Cape Girardeau, MO</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860</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rPr>
              <w:t>N/A</w:t>
            </w: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95"/>
              </w:rPr>
              <w:t>Century Portfolio</w:t>
            </w:r>
          </w:p>
        </w:tc>
        <w:tc>
          <w:tcPr>
            <w:tcW w:w="0" w:type="dxa"/>
            <w:vAlign w:val="bottom"/>
          </w:tcPr>
          <w:p>
            <w:pPr>
              <w:spacing w:after="0"/>
              <w:rPr>
                <w:sz w:val="1"/>
                <w:szCs w:val="1"/>
                <w:color w:val="auto"/>
              </w:rPr>
            </w:pPr>
          </w:p>
        </w:tc>
      </w:tr>
      <w:tr>
        <w:trPr>
          <w:trHeight w:val="219"/>
        </w:trPr>
        <w:tc>
          <w:tcPr>
            <w:tcW w:w="40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Century Caruthersville</w:t>
            </w:r>
          </w:p>
        </w:tc>
        <w:tc>
          <w:tcPr>
            <w:tcW w:w="21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5"/>
              </w:rPr>
              <w:t>Caruthersville, MO</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21</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520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Century Portfolio</w:t>
            </w:r>
          </w:p>
        </w:tc>
        <w:tc>
          <w:tcPr>
            <w:tcW w:w="0" w:type="dxa"/>
            <w:vAlign w:val="bottom"/>
          </w:tcPr>
          <w:p>
            <w:pPr>
              <w:spacing w:after="0"/>
              <w:rPr>
                <w:sz w:val="1"/>
                <w:szCs w:val="1"/>
                <w:color w:val="auto"/>
              </w:rPr>
            </w:pPr>
          </w:p>
        </w:tc>
      </w:tr>
      <w:tr>
        <w:trPr>
          <w:trHeight w:val="213"/>
        </w:trPr>
        <w:tc>
          <w:tcPr>
            <w:tcW w:w="4020" w:type="dxa"/>
            <w:vAlign w:val="bottom"/>
            <w:gridSpan w:val="2"/>
          </w:tcPr>
          <w:p>
            <w:pPr>
              <w:ind w:left="20"/>
              <w:spacing w:after="0"/>
              <w:rPr>
                <w:sz w:val="20"/>
                <w:szCs w:val="20"/>
                <w:color w:val="auto"/>
              </w:rPr>
            </w:pPr>
            <w:r>
              <w:rPr>
                <w:rFonts w:ascii="Arial" w:cs="Arial" w:eastAsia="Arial" w:hAnsi="Arial"/>
                <w:sz w:val="16"/>
                <w:szCs w:val="16"/>
                <w:b w:val="1"/>
                <w:bCs w:val="1"/>
                <w:color w:val="auto"/>
              </w:rPr>
              <w:t>Pittsburgh</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Mountaineer Casino Resort &amp; Racetrack</w:t>
            </w:r>
          </w:p>
        </w:tc>
        <w:tc>
          <w:tcPr>
            <w:tcW w:w="21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New Cumberland, WV</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72</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1,180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357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Century Portfolio</w:t>
            </w:r>
          </w:p>
        </w:tc>
        <w:tc>
          <w:tcPr>
            <w:tcW w:w="0" w:type="dxa"/>
            <w:vAlign w:val="bottom"/>
          </w:tcPr>
          <w:p>
            <w:pPr>
              <w:spacing w:after="0"/>
              <w:rPr>
                <w:sz w:val="1"/>
                <w:szCs w:val="1"/>
                <w:color w:val="auto"/>
              </w:rPr>
            </w:pPr>
          </w:p>
        </w:tc>
      </w:tr>
      <w:tr>
        <w:trPr>
          <w:trHeight w:val="213"/>
        </w:trPr>
        <w:tc>
          <w:tcPr>
            <w:tcW w:w="4020" w:type="dxa"/>
            <w:vAlign w:val="bottom"/>
            <w:gridSpan w:val="2"/>
          </w:tcPr>
          <w:p>
            <w:pPr>
              <w:ind w:left="20"/>
              <w:spacing w:after="0"/>
              <w:rPr>
                <w:sz w:val="20"/>
                <w:szCs w:val="20"/>
                <w:color w:val="auto"/>
              </w:rPr>
            </w:pPr>
            <w:r>
              <w:rPr>
                <w:rFonts w:ascii="Arial" w:cs="Arial" w:eastAsia="Arial" w:hAnsi="Arial"/>
                <w:sz w:val="16"/>
                <w:szCs w:val="16"/>
                <w:b w:val="1"/>
                <w:bCs w:val="1"/>
                <w:color w:val="auto"/>
              </w:rPr>
              <w:t>Memphis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Horseshoe Tunica</w:t>
            </w:r>
          </w:p>
        </w:tc>
        <w:tc>
          <w:tcPr>
            <w:tcW w:w="21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5"/>
              </w:rPr>
              <w:t>Robinsonville, MS</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63</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1,130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510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Regional</w:t>
            </w:r>
          </w:p>
        </w:tc>
        <w:tc>
          <w:tcPr>
            <w:tcW w:w="0" w:type="dxa"/>
            <w:vAlign w:val="bottom"/>
          </w:tcPr>
          <w:p>
            <w:pPr>
              <w:spacing w:after="0"/>
              <w:rPr>
                <w:sz w:val="1"/>
                <w:szCs w:val="1"/>
                <w:color w:val="auto"/>
              </w:rPr>
            </w:pPr>
          </w:p>
        </w:tc>
      </w:tr>
      <w:tr>
        <w:trPr>
          <w:trHeight w:val="213"/>
        </w:trPr>
        <w:tc>
          <w:tcPr>
            <w:tcW w:w="4020" w:type="dxa"/>
            <w:vAlign w:val="bottom"/>
            <w:gridSpan w:val="2"/>
          </w:tcPr>
          <w:p>
            <w:pPr>
              <w:ind w:left="20"/>
              <w:spacing w:after="0"/>
              <w:rPr>
                <w:sz w:val="20"/>
                <w:szCs w:val="20"/>
                <w:color w:val="auto"/>
              </w:rPr>
            </w:pPr>
            <w:r>
              <w:rPr>
                <w:rFonts w:ascii="Arial" w:cs="Arial" w:eastAsia="Arial" w:hAnsi="Arial"/>
                <w:sz w:val="16"/>
                <w:szCs w:val="16"/>
                <w:b w:val="1"/>
                <w:bCs w:val="1"/>
                <w:color w:val="auto"/>
              </w:rPr>
              <w:t>Omaha</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Harrah’s Council Bluffs</w:t>
            </w:r>
          </w:p>
        </w:tc>
        <w:tc>
          <w:tcPr>
            <w:tcW w:w="21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Council Bluffs, IA</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21</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570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250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Regional</w:t>
            </w:r>
          </w:p>
        </w:tc>
        <w:tc>
          <w:tcPr>
            <w:tcW w:w="0" w:type="dxa"/>
            <w:vAlign w:val="bottom"/>
          </w:tcPr>
          <w:p>
            <w:pPr>
              <w:spacing w:after="0"/>
              <w:rPr>
                <w:sz w:val="1"/>
                <w:szCs w:val="1"/>
                <w:color w:val="auto"/>
              </w:rPr>
            </w:pPr>
          </w:p>
        </w:tc>
      </w:tr>
      <w:tr>
        <w:trPr>
          <w:trHeight w:val="213"/>
        </w:trPr>
        <w:tc>
          <w:tcPr>
            <w:tcW w:w="4020" w:type="dxa"/>
            <w:vAlign w:val="bottom"/>
            <w:gridSpan w:val="2"/>
          </w:tcPr>
          <w:p>
            <w:pPr>
              <w:ind w:left="360"/>
              <w:spacing w:after="0"/>
              <w:rPr>
                <w:sz w:val="20"/>
                <w:szCs w:val="20"/>
                <w:color w:val="auto"/>
              </w:rPr>
            </w:pPr>
            <w:r>
              <w:rPr>
                <w:rFonts w:ascii="Arial" w:cs="Arial" w:eastAsia="Arial" w:hAnsi="Arial"/>
                <w:sz w:val="16"/>
                <w:szCs w:val="16"/>
                <w:color w:val="auto"/>
              </w:rPr>
              <w:t>Horseshoe Council Bluffs</w:t>
            </w:r>
          </w:p>
        </w:tc>
        <w:tc>
          <w:tcPr>
            <w:tcW w:w="2120" w:type="dxa"/>
            <w:vAlign w:val="bottom"/>
            <w:gridSpan w:val="2"/>
          </w:tcPr>
          <w:p>
            <w:pPr>
              <w:jc w:val="center"/>
              <w:ind w:right="100"/>
              <w:spacing w:after="0"/>
              <w:rPr>
                <w:sz w:val="20"/>
                <w:szCs w:val="20"/>
                <w:color w:val="auto"/>
              </w:rPr>
            </w:pPr>
            <w:r>
              <w:rPr>
                <w:rFonts w:ascii="Arial" w:cs="Arial" w:eastAsia="Arial" w:hAnsi="Arial"/>
                <w:sz w:val="16"/>
                <w:szCs w:val="16"/>
                <w:color w:val="auto"/>
              </w:rPr>
              <w:t>Council Bluffs, IA</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60</w:t>
            </w: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1,450</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150</w:t>
            </w: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91"/>
              </w:rPr>
              <w:t>Regional</w:t>
            </w:r>
          </w:p>
        </w:tc>
        <w:tc>
          <w:tcPr>
            <w:tcW w:w="0" w:type="dxa"/>
            <w:vAlign w:val="bottom"/>
          </w:tcPr>
          <w:p>
            <w:pPr>
              <w:spacing w:after="0"/>
              <w:rPr>
                <w:sz w:val="1"/>
                <w:szCs w:val="1"/>
                <w:color w:val="auto"/>
              </w:rPr>
            </w:pPr>
          </w:p>
        </w:tc>
      </w:tr>
      <w:tr>
        <w:trPr>
          <w:trHeight w:val="219"/>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Nashville</w:t>
            </w:r>
          </w:p>
        </w:tc>
        <w:tc>
          <w:tcPr>
            <w:tcW w:w="2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20" w:type="dxa"/>
            <w:vAlign w:val="bottom"/>
            <w:gridSpan w:val="2"/>
          </w:tcPr>
          <w:p>
            <w:pPr>
              <w:ind w:left="360"/>
              <w:spacing w:after="0"/>
              <w:rPr>
                <w:sz w:val="20"/>
                <w:szCs w:val="20"/>
                <w:color w:val="auto"/>
              </w:rPr>
            </w:pPr>
            <w:r>
              <w:rPr>
                <w:rFonts w:ascii="Arial" w:cs="Arial" w:eastAsia="Arial" w:hAnsi="Arial"/>
                <w:sz w:val="16"/>
                <w:szCs w:val="16"/>
                <w:color w:val="auto"/>
              </w:rPr>
              <w:t>Harrah’s Metropolis</w:t>
            </w:r>
          </w:p>
        </w:tc>
        <w:tc>
          <w:tcPr>
            <w:tcW w:w="2120" w:type="dxa"/>
            <w:vAlign w:val="bottom"/>
            <w:gridSpan w:val="2"/>
          </w:tcPr>
          <w:p>
            <w:pPr>
              <w:jc w:val="center"/>
              <w:ind w:right="100"/>
              <w:spacing w:after="0"/>
              <w:rPr>
                <w:sz w:val="20"/>
                <w:szCs w:val="20"/>
                <w:color w:val="auto"/>
              </w:rPr>
            </w:pPr>
            <w:r>
              <w:rPr>
                <w:rFonts w:ascii="Arial" w:cs="Arial" w:eastAsia="Arial" w:hAnsi="Arial"/>
                <w:sz w:val="16"/>
                <w:szCs w:val="16"/>
                <w:color w:val="auto"/>
                <w:w w:val="97"/>
              </w:rPr>
              <w:t>Metropolis, IL</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24</w:t>
            </w: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870</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260</w:t>
            </w: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91"/>
              </w:rPr>
              <w:t>Regional</w:t>
            </w:r>
          </w:p>
        </w:tc>
        <w:tc>
          <w:tcPr>
            <w:tcW w:w="0" w:type="dxa"/>
            <w:vAlign w:val="bottom"/>
          </w:tcPr>
          <w:p>
            <w:pPr>
              <w:spacing w:after="0"/>
              <w:rPr>
                <w:sz w:val="1"/>
                <w:szCs w:val="1"/>
                <w:color w:val="auto"/>
              </w:rPr>
            </w:pPr>
          </w:p>
        </w:tc>
      </w:tr>
      <w:tr>
        <w:trPr>
          <w:trHeight w:val="219"/>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New Orleans</w:t>
            </w:r>
          </w:p>
        </w:tc>
        <w:tc>
          <w:tcPr>
            <w:tcW w:w="2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20" w:type="dxa"/>
            <w:vAlign w:val="bottom"/>
            <w:gridSpan w:val="2"/>
          </w:tcPr>
          <w:p>
            <w:pPr>
              <w:ind w:left="360"/>
              <w:spacing w:after="0"/>
              <w:rPr>
                <w:sz w:val="20"/>
                <w:szCs w:val="20"/>
                <w:color w:val="auto"/>
              </w:rPr>
            </w:pPr>
            <w:r>
              <w:rPr>
                <w:rFonts w:ascii="Arial" w:cs="Arial" w:eastAsia="Arial" w:hAnsi="Arial"/>
                <w:sz w:val="16"/>
                <w:szCs w:val="16"/>
                <w:color w:val="auto"/>
              </w:rPr>
              <w:t>Harrah’s Gulf Coast</w:t>
            </w:r>
          </w:p>
        </w:tc>
        <w:tc>
          <w:tcPr>
            <w:tcW w:w="2120" w:type="dxa"/>
            <w:vAlign w:val="bottom"/>
            <w:gridSpan w:val="2"/>
          </w:tcPr>
          <w:p>
            <w:pPr>
              <w:jc w:val="center"/>
              <w:ind w:right="80"/>
              <w:spacing w:after="0"/>
              <w:rPr>
                <w:sz w:val="20"/>
                <w:szCs w:val="20"/>
                <w:color w:val="auto"/>
              </w:rPr>
            </w:pPr>
            <w:r>
              <w:rPr>
                <w:rFonts w:ascii="Arial" w:cs="Arial" w:eastAsia="Arial" w:hAnsi="Arial"/>
                <w:sz w:val="16"/>
                <w:szCs w:val="16"/>
                <w:color w:val="auto"/>
              </w:rPr>
              <w:t>Biloxi, MS</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800</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500</w:t>
            </w: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91"/>
              </w:rPr>
              <w:t>Regional</w:t>
            </w:r>
          </w:p>
        </w:tc>
        <w:tc>
          <w:tcPr>
            <w:tcW w:w="0" w:type="dxa"/>
            <w:vAlign w:val="bottom"/>
          </w:tcPr>
          <w:p>
            <w:pPr>
              <w:spacing w:after="0"/>
              <w:rPr>
                <w:sz w:val="1"/>
                <w:szCs w:val="1"/>
                <w:color w:val="auto"/>
              </w:rPr>
            </w:pPr>
          </w:p>
        </w:tc>
      </w:tr>
      <w:tr>
        <w:trPr>
          <w:trHeight w:val="219"/>
        </w:trPr>
        <w:tc>
          <w:tcPr>
            <w:tcW w:w="40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Harrah’s New Orleans</w:t>
            </w:r>
          </w:p>
        </w:tc>
        <w:tc>
          <w:tcPr>
            <w:tcW w:w="21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New Orleans, LA</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101</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1,650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450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Regional</w:t>
            </w:r>
          </w:p>
        </w:tc>
        <w:tc>
          <w:tcPr>
            <w:tcW w:w="0" w:type="dxa"/>
            <w:vAlign w:val="bottom"/>
          </w:tcPr>
          <w:p>
            <w:pPr>
              <w:spacing w:after="0"/>
              <w:rPr>
                <w:sz w:val="1"/>
                <w:szCs w:val="1"/>
                <w:color w:val="auto"/>
              </w:rPr>
            </w:pPr>
          </w:p>
        </w:tc>
      </w:tr>
      <w:tr>
        <w:trPr>
          <w:trHeight w:val="213"/>
        </w:trPr>
        <w:tc>
          <w:tcPr>
            <w:tcW w:w="4020" w:type="dxa"/>
            <w:vAlign w:val="bottom"/>
            <w:gridSpan w:val="2"/>
          </w:tcPr>
          <w:p>
            <w:pPr>
              <w:ind w:left="20"/>
              <w:spacing w:after="0"/>
              <w:rPr>
                <w:sz w:val="20"/>
                <w:szCs w:val="20"/>
                <w:color w:val="auto"/>
              </w:rPr>
            </w:pPr>
            <w:r>
              <w:rPr>
                <w:rFonts w:ascii="Arial" w:cs="Arial" w:eastAsia="Arial" w:hAnsi="Arial"/>
                <w:sz w:val="16"/>
                <w:szCs w:val="16"/>
                <w:b w:val="1"/>
                <w:bCs w:val="1"/>
                <w:color w:val="auto"/>
              </w:rPr>
              <w:t>Louisville</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Caesars Southern Indiana</w:t>
            </w:r>
          </w:p>
        </w:tc>
        <w:tc>
          <w:tcPr>
            <w:tcW w:w="21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Elizabeth, IN</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74</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1,290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500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Regional</w:t>
            </w:r>
          </w:p>
        </w:tc>
        <w:tc>
          <w:tcPr>
            <w:tcW w:w="0" w:type="dxa"/>
            <w:vAlign w:val="bottom"/>
          </w:tcPr>
          <w:p>
            <w:pPr>
              <w:spacing w:after="0"/>
              <w:rPr>
                <w:sz w:val="1"/>
                <w:szCs w:val="1"/>
                <w:color w:val="auto"/>
              </w:rPr>
            </w:pPr>
          </w:p>
        </w:tc>
      </w:tr>
      <w:tr>
        <w:trPr>
          <w:trHeight w:val="207"/>
        </w:trPr>
        <w:tc>
          <w:tcPr>
            <w:tcW w:w="4020" w:type="dxa"/>
            <w:vAlign w:val="bottom"/>
            <w:gridSpan w:val="2"/>
          </w:tcPr>
          <w:p>
            <w:pPr>
              <w:ind w:left="360"/>
              <w:spacing w:after="0"/>
              <w:rPr>
                <w:sz w:val="20"/>
                <w:szCs w:val="20"/>
                <w:color w:val="auto"/>
              </w:rPr>
            </w:pPr>
            <w:r>
              <w:rPr>
                <w:rFonts w:ascii="Arial" w:cs="Arial" w:eastAsia="Arial" w:hAnsi="Arial"/>
                <w:sz w:val="16"/>
                <w:szCs w:val="16"/>
                <w:b w:val="1"/>
                <w:bCs w:val="1"/>
                <w:color w:val="auto"/>
              </w:rPr>
              <w:t>Total Casinos</w:t>
            </w:r>
          </w:p>
        </w:tc>
        <w:tc>
          <w:tcPr>
            <w:tcW w:w="2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2,115</w:t>
            </w:r>
          </w:p>
        </w:tc>
        <w:tc>
          <w:tcPr>
            <w:tcW w:w="8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39,510</w:t>
            </w:r>
          </w:p>
        </w:tc>
        <w:tc>
          <w:tcPr>
            <w:tcW w:w="10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3"/>
              </w:rPr>
              <w:t>25,062</w:t>
            </w: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Current Portfolio - Golf Courses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Las Vegas</w:t>
            </w: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13"/>
        </w:trPr>
        <w:tc>
          <w:tcPr>
            <w:tcW w:w="4020" w:type="dxa"/>
            <w:vAlign w:val="bottom"/>
          </w:tcPr>
          <w:p>
            <w:pPr>
              <w:ind w:left="360"/>
              <w:spacing w:after="0"/>
              <w:rPr>
                <w:sz w:val="20"/>
                <w:szCs w:val="20"/>
                <w:color w:val="auto"/>
              </w:rPr>
            </w:pPr>
            <w:r>
              <w:rPr>
                <w:rFonts w:ascii="Arial" w:cs="Arial" w:eastAsia="Arial" w:hAnsi="Arial"/>
                <w:sz w:val="16"/>
                <w:szCs w:val="16"/>
                <w:color w:val="auto"/>
              </w:rPr>
              <w:t>Cascata Golf Course</w:t>
            </w:r>
          </w:p>
        </w:tc>
        <w:tc>
          <w:tcPr>
            <w:tcW w:w="212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Boulder City, NV</w:t>
            </w:r>
          </w:p>
        </w:tc>
        <w:tc>
          <w:tcPr>
            <w:tcW w:w="1340" w:type="dxa"/>
            <w:vAlign w:val="bottom"/>
            <w:gridSpan w:val="2"/>
          </w:tcPr>
          <w:p>
            <w:pPr>
              <w:ind w:left="480"/>
              <w:spacing w:after="0"/>
              <w:rPr>
                <w:sz w:val="20"/>
                <w:szCs w:val="20"/>
                <w:color w:val="auto"/>
              </w:rPr>
            </w:pPr>
            <w:r>
              <w:rPr>
                <w:rFonts w:ascii="Arial" w:cs="Arial" w:eastAsia="Arial" w:hAnsi="Arial"/>
                <w:sz w:val="16"/>
                <w:szCs w:val="16"/>
                <w:color w:val="auto"/>
              </w:rPr>
              <w:t>N/A</w:t>
            </w:r>
          </w:p>
        </w:tc>
        <w:tc>
          <w:tcPr>
            <w:tcW w:w="1200" w:type="dxa"/>
            <w:vAlign w:val="bottom"/>
            <w:gridSpan w:val="2"/>
          </w:tcPr>
          <w:p>
            <w:pPr>
              <w:ind w:left="420"/>
              <w:spacing w:after="0"/>
              <w:rPr>
                <w:sz w:val="20"/>
                <w:szCs w:val="20"/>
                <w:color w:val="auto"/>
              </w:rPr>
            </w:pPr>
            <w:r>
              <w:rPr>
                <w:rFonts w:ascii="Arial" w:cs="Arial" w:eastAsia="Arial" w:hAnsi="Arial"/>
                <w:sz w:val="16"/>
                <w:szCs w:val="16"/>
                <w:color w:val="auto"/>
              </w:rPr>
              <w:t>N/A</w:t>
            </w:r>
          </w:p>
        </w:tc>
        <w:tc>
          <w:tcPr>
            <w:tcW w:w="940" w:type="dxa"/>
            <w:vAlign w:val="bottom"/>
          </w:tcPr>
          <w:p>
            <w:pPr>
              <w:ind w:left="320"/>
              <w:spacing w:after="0"/>
              <w:rPr>
                <w:sz w:val="20"/>
                <w:szCs w:val="20"/>
                <w:color w:val="auto"/>
              </w:rPr>
            </w:pPr>
            <w:r>
              <w:rPr>
                <w:rFonts w:ascii="Arial" w:cs="Arial" w:eastAsia="Arial" w:hAnsi="Arial"/>
                <w:sz w:val="16"/>
                <w:szCs w:val="16"/>
                <w:color w:val="auto"/>
              </w:rPr>
              <w:t>N/A</w:t>
            </w:r>
          </w:p>
        </w:tc>
        <w:tc>
          <w:tcPr>
            <w:tcW w:w="1620" w:type="dxa"/>
            <w:vAlign w:val="bottom"/>
          </w:tcPr>
          <w:p>
            <w:pPr>
              <w:ind w:left="720"/>
              <w:spacing w:after="0"/>
              <w:rPr>
                <w:sz w:val="20"/>
                <w:szCs w:val="20"/>
                <w:color w:val="auto"/>
              </w:rPr>
            </w:pPr>
            <w:r>
              <w:rPr>
                <w:rFonts w:ascii="Arial" w:cs="Arial" w:eastAsia="Arial" w:hAnsi="Arial"/>
                <w:sz w:val="16"/>
                <w:szCs w:val="16"/>
                <w:color w:val="auto"/>
              </w:rPr>
              <w:t>N/A</w:t>
            </w:r>
          </w:p>
        </w:tc>
      </w:tr>
      <w:tr>
        <w:trPr>
          <w:trHeight w:val="219"/>
        </w:trPr>
        <w:tc>
          <w:tcPr>
            <w:tcW w:w="4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Rio Secco Golf Course</w:t>
            </w:r>
          </w:p>
        </w:tc>
        <w:tc>
          <w:tcPr>
            <w:tcW w:w="21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Henderson, NV</w:t>
            </w:r>
          </w:p>
        </w:tc>
        <w:tc>
          <w:tcPr>
            <w:tcW w:w="134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N/A</w:t>
            </w:r>
          </w:p>
        </w:tc>
        <w:tc>
          <w:tcPr>
            <w:tcW w:w="120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N/A</w:t>
            </w:r>
          </w:p>
        </w:tc>
        <w:tc>
          <w:tcPr>
            <w:tcW w:w="9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N/A</w:t>
            </w:r>
          </w:p>
        </w:tc>
        <w:tc>
          <w:tcPr>
            <w:tcW w:w="1620" w:type="dxa"/>
            <w:vAlign w:val="bottom"/>
            <w:shd w:val="clear" w:color="auto" w:fill="CCEEFF"/>
          </w:tcPr>
          <w:p>
            <w:pPr>
              <w:ind w:left="720"/>
              <w:spacing w:after="0"/>
              <w:rPr>
                <w:sz w:val="20"/>
                <w:szCs w:val="20"/>
                <w:color w:val="auto"/>
              </w:rPr>
            </w:pPr>
            <w:r>
              <w:rPr>
                <w:rFonts w:ascii="Arial" w:cs="Arial" w:eastAsia="Arial" w:hAnsi="Arial"/>
                <w:sz w:val="16"/>
                <w:szCs w:val="16"/>
                <w:color w:val="auto"/>
              </w:rPr>
              <w:t>N/A</w:t>
            </w:r>
          </w:p>
        </w:tc>
      </w:tr>
      <w:tr>
        <w:trPr>
          <w:trHeight w:val="213"/>
        </w:trPr>
        <w:tc>
          <w:tcPr>
            <w:tcW w:w="4020" w:type="dxa"/>
            <w:vAlign w:val="bottom"/>
          </w:tcPr>
          <w:p>
            <w:pPr>
              <w:ind w:left="20"/>
              <w:spacing w:after="0"/>
              <w:rPr>
                <w:sz w:val="20"/>
                <w:szCs w:val="20"/>
                <w:color w:val="auto"/>
              </w:rPr>
            </w:pPr>
            <w:r>
              <w:rPr>
                <w:rFonts w:ascii="Arial" w:cs="Arial" w:eastAsia="Arial" w:hAnsi="Arial"/>
                <w:sz w:val="16"/>
                <w:szCs w:val="16"/>
                <w:b w:val="1"/>
                <w:bCs w:val="1"/>
                <w:color w:val="auto"/>
              </w:rPr>
              <w:t>New Orleans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9"/>
        </w:trPr>
        <w:tc>
          <w:tcPr>
            <w:tcW w:w="4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Grand Bear Golf Course</w:t>
            </w:r>
          </w:p>
        </w:tc>
        <w:tc>
          <w:tcPr>
            <w:tcW w:w="21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Saucier, MS</w:t>
            </w:r>
          </w:p>
        </w:tc>
        <w:tc>
          <w:tcPr>
            <w:tcW w:w="134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N/A</w:t>
            </w:r>
          </w:p>
        </w:tc>
        <w:tc>
          <w:tcPr>
            <w:tcW w:w="120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N/A</w:t>
            </w:r>
          </w:p>
        </w:tc>
        <w:tc>
          <w:tcPr>
            <w:tcW w:w="9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N/A</w:t>
            </w:r>
          </w:p>
        </w:tc>
        <w:tc>
          <w:tcPr>
            <w:tcW w:w="1620" w:type="dxa"/>
            <w:vAlign w:val="bottom"/>
            <w:shd w:val="clear" w:color="auto" w:fill="CCEEFF"/>
          </w:tcPr>
          <w:p>
            <w:pPr>
              <w:ind w:left="720"/>
              <w:spacing w:after="0"/>
              <w:rPr>
                <w:sz w:val="20"/>
                <w:szCs w:val="20"/>
                <w:color w:val="auto"/>
              </w:rPr>
            </w:pPr>
            <w:r>
              <w:rPr>
                <w:rFonts w:ascii="Arial" w:cs="Arial" w:eastAsia="Arial" w:hAnsi="Arial"/>
                <w:sz w:val="16"/>
                <w:szCs w:val="16"/>
                <w:color w:val="auto"/>
              </w:rPr>
              <w:t>N/A</w:t>
            </w:r>
          </w:p>
        </w:tc>
      </w:tr>
      <w:tr>
        <w:trPr>
          <w:trHeight w:val="213"/>
        </w:trPr>
        <w:tc>
          <w:tcPr>
            <w:tcW w:w="4020" w:type="dxa"/>
            <w:vAlign w:val="bottom"/>
          </w:tcPr>
          <w:p>
            <w:pPr>
              <w:ind w:left="20"/>
              <w:spacing w:after="0"/>
              <w:rPr>
                <w:sz w:val="20"/>
                <w:szCs w:val="20"/>
                <w:color w:val="auto"/>
              </w:rPr>
            </w:pPr>
            <w:r>
              <w:rPr>
                <w:rFonts w:ascii="Arial" w:cs="Arial" w:eastAsia="Arial" w:hAnsi="Arial"/>
                <w:sz w:val="16"/>
                <w:szCs w:val="16"/>
                <w:b w:val="1"/>
                <w:bCs w:val="1"/>
                <w:color w:val="auto"/>
              </w:rPr>
              <w:t>Louisville</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9"/>
        </w:trPr>
        <w:tc>
          <w:tcPr>
            <w:tcW w:w="4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Chariot Run Golf Course</w:t>
            </w:r>
          </w:p>
        </w:tc>
        <w:tc>
          <w:tcPr>
            <w:tcW w:w="2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6"/>
              </w:rPr>
              <w:t>Laconia, IN</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N/A</w:t>
            </w:r>
          </w:p>
        </w:tc>
        <w:tc>
          <w:tcPr>
            <w:tcW w:w="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rPr>
              <w:t>N/A</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N/A</w:t>
            </w:r>
          </w:p>
        </w:tc>
        <w:tc>
          <w:tcPr>
            <w:tcW w:w="1620" w:type="dxa"/>
            <w:vAlign w:val="bottom"/>
            <w:shd w:val="clear" w:color="auto" w:fill="CCEEFF"/>
          </w:tcPr>
          <w:p>
            <w:pPr>
              <w:ind w:left="720"/>
              <w:spacing w:after="0"/>
              <w:rPr>
                <w:sz w:val="20"/>
                <w:szCs w:val="20"/>
                <w:color w:val="auto"/>
              </w:rPr>
            </w:pPr>
            <w:r>
              <w:rPr>
                <w:rFonts w:ascii="Arial" w:cs="Arial" w:eastAsia="Arial" w:hAnsi="Arial"/>
                <w:sz w:val="16"/>
                <w:szCs w:val="16"/>
                <w:color w:val="auto"/>
              </w:rPr>
              <w:t>N/A</w:t>
            </w:r>
          </w:p>
        </w:tc>
      </w:tr>
      <w:tr>
        <w:trPr>
          <w:trHeight w:val="207"/>
        </w:trPr>
        <w:tc>
          <w:tcPr>
            <w:tcW w:w="4020" w:type="dxa"/>
            <w:vAlign w:val="bottom"/>
          </w:tcPr>
          <w:p>
            <w:pPr>
              <w:ind w:left="360"/>
              <w:spacing w:after="0"/>
              <w:rPr>
                <w:sz w:val="20"/>
                <w:szCs w:val="20"/>
                <w:color w:val="auto"/>
              </w:rPr>
            </w:pPr>
            <w:r>
              <w:rPr>
                <w:rFonts w:ascii="Arial" w:cs="Arial" w:eastAsia="Arial" w:hAnsi="Arial"/>
                <w:sz w:val="16"/>
                <w:szCs w:val="16"/>
                <w:b w:val="1"/>
                <w:bCs w:val="1"/>
                <w:color w:val="auto"/>
              </w:rPr>
              <w:t>Total Golf Courses</w:t>
            </w:r>
          </w:p>
        </w:tc>
        <w:tc>
          <w:tcPr>
            <w:tcW w:w="2020" w:type="dxa"/>
            <w:vAlign w:val="bottom"/>
          </w:tcPr>
          <w:p>
            <w:pPr>
              <w:jc w:val="right"/>
              <w:ind w:right="87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20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620" w:type="dxa"/>
            <w:vAlign w:val="bottom"/>
          </w:tcPr>
          <w:p>
            <w:pPr>
              <w:spacing w:after="0"/>
              <w:rPr>
                <w:sz w:val="17"/>
                <w:szCs w:val="17"/>
                <w:color w:val="auto"/>
              </w:rPr>
            </w:pPr>
          </w:p>
        </w:tc>
      </w:tr>
      <w:tr>
        <w:trPr>
          <w:trHeight w:val="238"/>
        </w:trPr>
        <w:tc>
          <w:tcPr>
            <w:tcW w:w="40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b w:val="1"/>
                <w:bCs w:val="1"/>
                <w:color w:val="auto"/>
              </w:rPr>
              <w:t>Total</w:t>
            </w:r>
          </w:p>
        </w:tc>
        <w:tc>
          <w:tcPr>
            <w:tcW w:w="2020" w:type="dxa"/>
            <w:vAlign w:val="bottom"/>
            <w:tcBorders>
              <w:top w:val="single" w:sz="8" w:color="auto"/>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rPr>
              <w:t>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2,115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39,510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25,062</w:t>
            </w:r>
          </w:p>
        </w:tc>
        <w:tc>
          <w:tcPr>
            <w:tcW w:w="162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p>
    <w:p>
      <w:pPr>
        <w:ind w:left="160" w:hanging="134"/>
        <w:spacing w:after="0"/>
        <w:tabs>
          <w:tab w:leader="none" w:pos="160" w:val="left"/>
        </w:tabs>
        <w:numPr>
          <w:ilvl w:val="0"/>
          <w:numId w:val="12"/>
        </w:numPr>
        <w:rPr>
          <w:rFonts w:ascii="Arial" w:cs="Arial" w:eastAsia="Arial" w:hAnsi="Arial"/>
          <w:sz w:val="16"/>
          <w:szCs w:val="16"/>
          <w:color w:val="auto"/>
          <w:vertAlign w:val="superscript"/>
        </w:rPr>
      </w:pPr>
      <w:r>
        <w:rPr>
          <w:rFonts w:ascii="Arial" w:cs="Arial" w:eastAsia="Arial" w:hAnsi="Arial"/>
          <w:sz w:val="12"/>
          <w:szCs w:val="12"/>
          <w:color w:val="auto"/>
        </w:rPr>
        <w:t>Owned by Harrah’s Joliet Landco LLC, a joint venture of which VICI PropCo is the 80% owner and the managing member.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Acquisitions and Put/Call Properties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summarize the properties we will acquire upon consummation of the MGP Transactions and the properties subject to put/call agreements with Caesars.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60" w:type="dxa"/>
            <w:vAlign w:val="bottom"/>
            <w:vMerge w:val="restart"/>
          </w:tcPr>
          <w:p>
            <w:pPr>
              <w:ind w:left="1380"/>
              <w:spacing w:after="0"/>
              <w:rPr>
                <w:sz w:val="20"/>
                <w:szCs w:val="20"/>
                <w:color w:val="auto"/>
              </w:rPr>
            </w:pPr>
            <w:r>
              <w:rPr>
                <w:rFonts w:ascii="Arial" w:cs="Arial" w:eastAsia="Arial" w:hAnsi="Arial"/>
                <w:sz w:val="16"/>
                <w:szCs w:val="16"/>
                <w:b w:val="1"/>
                <w:bCs w:val="1"/>
                <w:color w:val="auto"/>
              </w:rPr>
              <w:t>MSA / Property</w:t>
            </w:r>
          </w:p>
        </w:tc>
        <w:tc>
          <w:tcPr>
            <w:tcW w:w="21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9"/>
              </w:rPr>
              <w:t>Location</w:t>
            </w: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Approx. Casino</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Approx.</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4"/>
              </w:rPr>
              <w:t>Hotel</w:t>
            </w:r>
          </w:p>
        </w:tc>
        <w:tc>
          <w:tcPr>
            <w:tcW w:w="1640" w:type="dxa"/>
            <w:vAlign w:val="bottom"/>
            <w:vMerge w:val="restart"/>
          </w:tcPr>
          <w:p>
            <w:pPr>
              <w:jc w:val="center"/>
              <w:ind w:left="39"/>
              <w:spacing w:after="0"/>
              <w:rPr>
                <w:sz w:val="20"/>
                <w:szCs w:val="20"/>
                <w:color w:val="auto"/>
              </w:rPr>
            </w:pPr>
            <w:r>
              <w:rPr>
                <w:rFonts w:ascii="Arial" w:cs="Arial" w:eastAsia="Arial" w:hAnsi="Arial"/>
                <w:sz w:val="16"/>
                <w:szCs w:val="16"/>
                <w:b w:val="1"/>
                <w:bCs w:val="1"/>
                <w:color w:val="auto"/>
                <w:w w:val="89"/>
              </w:rPr>
              <w:t>Lease Agreement</w:t>
            </w:r>
          </w:p>
        </w:tc>
        <w:tc>
          <w:tcPr>
            <w:tcW w:w="0" w:type="dxa"/>
            <w:vAlign w:val="bottom"/>
          </w:tcPr>
          <w:p>
            <w:pPr>
              <w:spacing w:after="0"/>
              <w:rPr>
                <w:sz w:val="1"/>
                <w:szCs w:val="1"/>
                <w:color w:val="auto"/>
              </w:rPr>
            </w:pPr>
          </w:p>
        </w:tc>
      </w:tr>
      <w:tr>
        <w:trPr>
          <w:trHeight w:val="213"/>
        </w:trPr>
        <w:tc>
          <w:tcPr>
            <w:tcW w:w="3960" w:type="dxa"/>
            <w:vAlign w:val="bottom"/>
            <w:tcBorders>
              <w:bottom w:val="single" w:sz="8" w:color="auto"/>
            </w:tcBorders>
            <w:vMerge w:val="continue"/>
          </w:tcPr>
          <w:p>
            <w:pPr>
              <w:spacing w:after="0"/>
              <w:rPr>
                <w:sz w:val="18"/>
                <w:szCs w:val="18"/>
                <w:color w:val="auto"/>
              </w:rPr>
            </w:pPr>
          </w:p>
        </w:tc>
        <w:tc>
          <w:tcPr>
            <w:tcW w:w="2140" w:type="dxa"/>
            <w:vAlign w:val="bottom"/>
            <w:tcBorders>
              <w:bottom w:val="single" w:sz="8" w:color="auto"/>
            </w:tcBorders>
            <w:gridSpan w:val="2"/>
            <w:vMerge w:val="continue"/>
          </w:tcPr>
          <w:p>
            <w:pPr>
              <w:spacing w:after="0"/>
              <w:rPr>
                <w:sz w:val="18"/>
                <w:szCs w:val="18"/>
                <w:color w:val="auto"/>
              </w:rPr>
            </w:pPr>
          </w:p>
        </w:tc>
        <w:tc>
          <w:tcPr>
            <w:tcW w:w="13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2"/>
              </w:rPr>
              <w:t>Sq. Ft. (000’s)</w:t>
            </w:r>
          </w:p>
        </w:tc>
        <w:tc>
          <w:tcPr>
            <w:tcW w:w="12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4"/>
              </w:rPr>
              <w:t>Gaming Units</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Rooms</w:t>
            </w:r>
          </w:p>
        </w:tc>
        <w:tc>
          <w:tcPr>
            <w:tcW w:w="16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960" w:type="dxa"/>
            <w:vAlign w:val="bottom"/>
          </w:tcPr>
          <w:p>
            <w:pPr>
              <w:spacing w:after="0"/>
              <w:rPr>
                <w:sz w:val="19"/>
                <w:szCs w:val="19"/>
                <w:color w:val="auto"/>
              </w:rPr>
            </w:pPr>
          </w:p>
        </w:tc>
        <w:tc>
          <w:tcPr>
            <w:tcW w:w="3500" w:type="dxa"/>
            <w:vAlign w:val="bottom"/>
            <w:gridSpan w:val="4"/>
          </w:tcPr>
          <w:p>
            <w:pPr>
              <w:jc w:val="center"/>
              <w:ind w:right="180"/>
              <w:spacing w:after="0" w:line="225" w:lineRule="exact"/>
              <w:rPr>
                <w:sz w:val="20"/>
                <w:szCs w:val="20"/>
                <w:color w:val="auto"/>
              </w:rPr>
            </w:pPr>
            <w:r>
              <w:rPr>
                <w:rFonts w:ascii="Arial" w:cs="Arial" w:eastAsia="Arial" w:hAnsi="Arial"/>
                <w:sz w:val="18"/>
                <w:szCs w:val="18"/>
                <w:b w:val="1"/>
                <w:bCs w:val="1"/>
                <w:color w:val="auto"/>
                <w:w w:val="86"/>
              </w:rPr>
              <w:t xml:space="preserve">Pending Acquisitions </w:t>
            </w:r>
            <w:r>
              <w:rPr>
                <w:rFonts w:ascii="Arial" w:cs="Arial" w:eastAsia="Arial" w:hAnsi="Arial"/>
                <w:sz w:val="23"/>
                <w:szCs w:val="23"/>
                <w:b w:val="1"/>
                <w:bCs w:val="1"/>
                <w:color w:val="auto"/>
                <w:w w:val="86"/>
                <w:vertAlign w:val="superscript"/>
              </w:rPr>
              <w:t>(1)</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Las Vegas</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60" w:type="dxa"/>
            <w:vAlign w:val="bottom"/>
          </w:tcPr>
          <w:p>
            <w:pPr>
              <w:ind w:left="360"/>
              <w:spacing w:after="0"/>
              <w:rPr>
                <w:sz w:val="20"/>
                <w:szCs w:val="20"/>
                <w:color w:val="auto"/>
              </w:rPr>
            </w:pPr>
            <w:r>
              <w:rPr>
                <w:rFonts w:ascii="Arial" w:cs="Arial" w:eastAsia="Arial" w:hAnsi="Arial"/>
                <w:sz w:val="16"/>
                <w:szCs w:val="16"/>
                <w:color w:val="auto"/>
              </w:rPr>
              <w:t>Excalibur</w:t>
            </w:r>
          </w:p>
        </w:tc>
        <w:tc>
          <w:tcPr>
            <w:tcW w:w="214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Las Vegas, NV</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94</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968</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3,981</w:t>
            </w:r>
          </w:p>
        </w:tc>
        <w:tc>
          <w:tcPr>
            <w:tcW w:w="1640" w:type="dxa"/>
            <w:vAlign w:val="bottom"/>
          </w:tcPr>
          <w:p>
            <w:pPr>
              <w:jc w:val="center"/>
              <w:ind w:left="39"/>
              <w:spacing w:after="0"/>
              <w:rPr>
                <w:sz w:val="20"/>
                <w:szCs w:val="20"/>
                <w:color w:val="auto"/>
              </w:rPr>
            </w:pPr>
            <w:r>
              <w:rPr>
                <w:rFonts w:ascii="Arial" w:cs="Arial" w:eastAsia="Arial" w:hAnsi="Arial"/>
                <w:sz w:val="16"/>
                <w:szCs w:val="16"/>
                <w:color w:val="auto"/>
              </w:rPr>
              <w:t>MGM</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Luxor</w:t>
            </w:r>
          </w:p>
        </w:tc>
        <w:tc>
          <w:tcPr>
            <w:tcW w:w="21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Las Vegas, NV</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907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4,397</w:t>
            </w:r>
          </w:p>
        </w:tc>
        <w:tc>
          <w:tcPr>
            <w:tcW w:w="164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rPr>
              <w:t>MGM</w:t>
            </w: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line="216" w:lineRule="exact"/>
              <w:rPr>
                <w:sz w:val="20"/>
                <w:szCs w:val="20"/>
                <w:color w:val="auto"/>
              </w:rPr>
            </w:pPr>
            <w:r>
              <w:rPr>
                <w:rFonts w:ascii="Arial" w:cs="Arial" w:eastAsia="Arial" w:hAnsi="Arial"/>
                <w:sz w:val="16"/>
                <w:szCs w:val="16"/>
                <w:color w:val="auto"/>
              </w:rPr>
              <w:t xml:space="preserve">The Mirage </w:t>
            </w:r>
            <w:r>
              <w:rPr>
                <w:rFonts w:ascii="Arial" w:cs="Arial" w:eastAsia="Arial" w:hAnsi="Arial"/>
                <w:sz w:val="21"/>
                <w:szCs w:val="21"/>
                <w:color w:val="auto"/>
                <w:vertAlign w:val="superscript"/>
              </w:rPr>
              <w:t>(2)</w:t>
            </w:r>
          </w:p>
        </w:tc>
        <w:tc>
          <w:tcPr>
            <w:tcW w:w="214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Las Vegas, NV</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94</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888</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3,044</w:t>
            </w:r>
          </w:p>
        </w:tc>
        <w:tc>
          <w:tcPr>
            <w:tcW w:w="1640" w:type="dxa"/>
            <w:vAlign w:val="bottom"/>
          </w:tcPr>
          <w:p>
            <w:pPr>
              <w:jc w:val="center"/>
              <w:ind w:left="39"/>
              <w:spacing w:after="0" w:line="216" w:lineRule="exact"/>
              <w:rPr>
                <w:sz w:val="20"/>
                <w:szCs w:val="20"/>
                <w:color w:val="auto"/>
              </w:rPr>
            </w:pPr>
            <w:r>
              <w:rPr>
                <w:rFonts w:ascii="Arial" w:cs="Arial" w:eastAsia="Arial" w:hAnsi="Arial"/>
                <w:sz w:val="16"/>
                <w:szCs w:val="16"/>
                <w:color w:val="auto"/>
                <w:w w:val="90"/>
              </w:rPr>
              <w:t xml:space="preserve">Mirage </w:t>
            </w:r>
            <w:r>
              <w:rPr>
                <w:rFonts w:ascii="Arial" w:cs="Arial" w:eastAsia="Arial" w:hAnsi="Arial"/>
                <w:sz w:val="21"/>
                <w:szCs w:val="21"/>
                <w:color w:val="auto"/>
                <w:w w:val="90"/>
                <w:vertAlign w:val="superscript"/>
              </w:rPr>
              <w:t>(2)</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 xml:space="preserve">MGM Grand </w:t>
            </w:r>
            <w:r>
              <w:rPr>
                <w:rFonts w:ascii="Arial" w:cs="Arial" w:eastAsia="Arial" w:hAnsi="Arial"/>
                <w:sz w:val="21"/>
                <w:szCs w:val="21"/>
                <w:color w:val="auto"/>
                <w:vertAlign w:val="superscript"/>
              </w:rPr>
              <w:t>(3)</w:t>
            </w:r>
          </w:p>
        </w:tc>
        <w:tc>
          <w:tcPr>
            <w:tcW w:w="21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Las Vegas, NV</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169</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1,368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4,993</w:t>
            </w:r>
          </w:p>
        </w:tc>
        <w:tc>
          <w:tcPr>
            <w:tcW w:w="164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rPr>
              <w:t>MGM</w:t>
            </w:r>
          </w:p>
        </w:tc>
        <w:tc>
          <w:tcPr>
            <w:tcW w:w="0" w:type="dxa"/>
            <w:vAlign w:val="bottom"/>
          </w:tcPr>
          <w:p>
            <w:pPr>
              <w:spacing w:after="0"/>
              <w:rPr>
                <w:sz w:val="1"/>
                <w:szCs w:val="1"/>
                <w:color w:val="auto"/>
              </w:rPr>
            </w:pPr>
          </w:p>
        </w:tc>
      </w:tr>
      <w:tr>
        <w:trPr>
          <w:trHeight w:val="213"/>
        </w:trPr>
        <w:tc>
          <w:tcPr>
            <w:tcW w:w="3960" w:type="dxa"/>
            <w:vAlign w:val="bottom"/>
          </w:tcPr>
          <w:p>
            <w:pPr>
              <w:ind w:left="360"/>
              <w:spacing w:after="0"/>
              <w:rPr>
                <w:sz w:val="20"/>
                <w:szCs w:val="20"/>
                <w:color w:val="auto"/>
              </w:rPr>
            </w:pPr>
            <w:r>
              <w:rPr>
                <w:rFonts w:ascii="Arial" w:cs="Arial" w:eastAsia="Arial" w:hAnsi="Arial"/>
                <w:sz w:val="16"/>
                <w:szCs w:val="16"/>
                <w:color w:val="auto"/>
              </w:rPr>
              <w:t>New York-New York/The Park</w:t>
            </w:r>
          </w:p>
        </w:tc>
        <w:tc>
          <w:tcPr>
            <w:tcW w:w="214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Las Vegas, NV</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81</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1,043</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2,024</w:t>
            </w:r>
          </w:p>
        </w:tc>
        <w:tc>
          <w:tcPr>
            <w:tcW w:w="1640" w:type="dxa"/>
            <w:vAlign w:val="bottom"/>
          </w:tcPr>
          <w:p>
            <w:pPr>
              <w:jc w:val="center"/>
              <w:ind w:left="39"/>
              <w:spacing w:after="0"/>
              <w:rPr>
                <w:sz w:val="20"/>
                <w:szCs w:val="20"/>
                <w:color w:val="auto"/>
              </w:rPr>
            </w:pPr>
            <w:r>
              <w:rPr>
                <w:rFonts w:ascii="Arial" w:cs="Arial" w:eastAsia="Arial" w:hAnsi="Arial"/>
                <w:sz w:val="16"/>
                <w:szCs w:val="16"/>
                <w:color w:val="auto"/>
              </w:rPr>
              <w:t>MGM</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360"/>
              <w:spacing w:after="0" w:line="219" w:lineRule="exact"/>
              <w:rPr>
                <w:sz w:val="20"/>
                <w:szCs w:val="20"/>
                <w:color w:val="auto"/>
              </w:rPr>
            </w:pPr>
            <w:r>
              <w:rPr>
                <w:rFonts w:ascii="Arial" w:cs="Arial" w:eastAsia="Arial" w:hAnsi="Arial"/>
                <w:sz w:val="16"/>
                <w:szCs w:val="16"/>
                <w:color w:val="auto"/>
              </w:rPr>
              <w:t xml:space="preserve">Mandalay Bay </w:t>
            </w:r>
            <w:r>
              <w:rPr>
                <w:rFonts w:ascii="Arial" w:cs="Arial" w:eastAsia="Arial" w:hAnsi="Arial"/>
                <w:sz w:val="21"/>
                <w:szCs w:val="21"/>
                <w:color w:val="auto"/>
                <w:vertAlign w:val="superscript"/>
              </w:rPr>
              <w:t>(3)</w:t>
            </w:r>
          </w:p>
        </w:tc>
        <w:tc>
          <w:tcPr>
            <w:tcW w:w="21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Las Vegas, NV</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1,177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4,750</w:t>
            </w:r>
          </w:p>
        </w:tc>
        <w:tc>
          <w:tcPr>
            <w:tcW w:w="164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rPr>
              <w:t>MGM</w:t>
            </w:r>
          </w:p>
        </w:tc>
        <w:tc>
          <w:tcPr>
            <w:tcW w:w="0" w:type="dxa"/>
            <w:vAlign w:val="bottom"/>
          </w:tcPr>
          <w:p>
            <w:pPr>
              <w:spacing w:after="0"/>
              <w:rPr>
                <w:sz w:val="1"/>
                <w:szCs w:val="1"/>
                <w:color w:val="auto"/>
              </w:rPr>
            </w:pPr>
          </w:p>
        </w:tc>
      </w:tr>
      <w:tr>
        <w:trPr>
          <w:trHeight w:val="213"/>
        </w:trPr>
        <w:tc>
          <w:tcPr>
            <w:tcW w:w="3960" w:type="dxa"/>
            <w:vAlign w:val="bottom"/>
          </w:tcPr>
          <w:p>
            <w:pPr>
              <w:ind w:left="360"/>
              <w:spacing w:after="0"/>
              <w:rPr>
                <w:sz w:val="20"/>
                <w:szCs w:val="20"/>
                <w:color w:val="auto"/>
              </w:rPr>
            </w:pPr>
            <w:r>
              <w:rPr>
                <w:rFonts w:ascii="Arial" w:cs="Arial" w:eastAsia="Arial" w:hAnsi="Arial"/>
                <w:sz w:val="16"/>
                <w:szCs w:val="16"/>
                <w:color w:val="auto"/>
              </w:rPr>
              <w:t>Park MGM</w:t>
            </w:r>
          </w:p>
        </w:tc>
        <w:tc>
          <w:tcPr>
            <w:tcW w:w="214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Las Vegas, NV</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66</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824</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2,898</w:t>
            </w:r>
          </w:p>
        </w:tc>
        <w:tc>
          <w:tcPr>
            <w:tcW w:w="1640" w:type="dxa"/>
            <w:vAlign w:val="bottom"/>
          </w:tcPr>
          <w:p>
            <w:pPr>
              <w:jc w:val="center"/>
              <w:ind w:left="39"/>
              <w:spacing w:after="0"/>
              <w:rPr>
                <w:sz w:val="20"/>
                <w:szCs w:val="20"/>
                <w:color w:val="auto"/>
              </w:rPr>
            </w:pPr>
            <w:r>
              <w:rPr>
                <w:rFonts w:ascii="Arial" w:cs="Arial" w:eastAsia="Arial" w:hAnsi="Arial"/>
                <w:sz w:val="16"/>
                <w:szCs w:val="16"/>
                <w:color w:val="auto"/>
              </w:rPr>
              <w:t>MGM</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Washington D.C.</w:t>
            </w:r>
          </w:p>
        </w:tc>
        <w:tc>
          <w:tcPr>
            <w:tcW w:w="2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60" w:type="dxa"/>
            <w:vAlign w:val="bottom"/>
          </w:tcPr>
          <w:p>
            <w:pPr>
              <w:ind w:left="360"/>
              <w:spacing w:after="0"/>
              <w:rPr>
                <w:sz w:val="20"/>
                <w:szCs w:val="20"/>
                <w:color w:val="auto"/>
              </w:rPr>
            </w:pPr>
            <w:r>
              <w:rPr>
                <w:rFonts w:ascii="Arial" w:cs="Arial" w:eastAsia="Arial" w:hAnsi="Arial"/>
                <w:sz w:val="16"/>
                <w:szCs w:val="16"/>
                <w:color w:val="auto"/>
              </w:rPr>
              <w:t>MGM National Harbor</w:t>
            </w:r>
          </w:p>
        </w:tc>
        <w:tc>
          <w:tcPr>
            <w:tcW w:w="214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Prince George’s County, MD</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146</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2,774</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308</w:t>
            </w:r>
          </w:p>
        </w:tc>
        <w:tc>
          <w:tcPr>
            <w:tcW w:w="1640" w:type="dxa"/>
            <w:vAlign w:val="bottom"/>
          </w:tcPr>
          <w:p>
            <w:pPr>
              <w:jc w:val="center"/>
              <w:ind w:left="39"/>
              <w:spacing w:after="0"/>
              <w:rPr>
                <w:sz w:val="20"/>
                <w:szCs w:val="20"/>
                <w:color w:val="auto"/>
              </w:rPr>
            </w:pPr>
            <w:r>
              <w:rPr>
                <w:rFonts w:ascii="Arial" w:cs="Arial" w:eastAsia="Arial" w:hAnsi="Arial"/>
                <w:sz w:val="16"/>
                <w:szCs w:val="16"/>
                <w:color w:val="auto"/>
              </w:rPr>
              <w:t>MGM</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Philadelphia</w:t>
            </w:r>
          </w:p>
        </w:tc>
        <w:tc>
          <w:tcPr>
            <w:tcW w:w="2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60" w:type="dxa"/>
            <w:vAlign w:val="bottom"/>
          </w:tcPr>
          <w:p>
            <w:pPr>
              <w:ind w:left="360"/>
              <w:spacing w:after="0"/>
              <w:rPr>
                <w:sz w:val="20"/>
                <w:szCs w:val="20"/>
                <w:color w:val="auto"/>
              </w:rPr>
            </w:pPr>
            <w:r>
              <w:rPr>
                <w:rFonts w:ascii="Arial" w:cs="Arial" w:eastAsia="Arial" w:hAnsi="Arial"/>
                <w:sz w:val="16"/>
                <w:szCs w:val="16"/>
                <w:color w:val="auto"/>
              </w:rPr>
              <w:t>Borgata</w:t>
            </w:r>
          </w:p>
        </w:tc>
        <w:tc>
          <w:tcPr>
            <w:tcW w:w="214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Atlantic City, NJ</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87</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3,045</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2,767</w:t>
            </w:r>
          </w:p>
        </w:tc>
        <w:tc>
          <w:tcPr>
            <w:tcW w:w="1640" w:type="dxa"/>
            <w:vAlign w:val="bottom"/>
          </w:tcPr>
          <w:p>
            <w:pPr>
              <w:jc w:val="center"/>
              <w:ind w:left="39"/>
              <w:spacing w:after="0"/>
              <w:rPr>
                <w:sz w:val="20"/>
                <w:szCs w:val="20"/>
                <w:color w:val="auto"/>
              </w:rPr>
            </w:pPr>
            <w:r>
              <w:rPr>
                <w:rFonts w:ascii="Arial" w:cs="Arial" w:eastAsia="Arial" w:hAnsi="Arial"/>
                <w:sz w:val="16"/>
                <w:szCs w:val="16"/>
                <w:color w:val="auto"/>
              </w:rPr>
              <w:t>MGM</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Memphis</w:t>
            </w:r>
          </w:p>
        </w:tc>
        <w:tc>
          <w:tcPr>
            <w:tcW w:w="2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60" w:type="dxa"/>
            <w:vAlign w:val="bottom"/>
          </w:tcPr>
          <w:p>
            <w:pPr>
              <w:ind w:left="360"/>
              <w:spacing w:after="0"/>
              <w:rPr>
                <w:sz w:val="20"/>
                <w:szCs w:val="20"/>
                <w:color w:val="auto"/>
              </w:rPr>
            </w:pPr>
            <w:r>
              <w:rPr>
                <w:rFonts w:ascii="Arial" w:cs="Arial" w:eastAsia="Arial" w:hAnsi="Arial"/>
                <w:sz w:val="16"/>
                <w:szCs w:val="16"/>
                <w:color w:val="auto"/>
              </w:rPr>
              <w:t>Gold Strike Tunica</w:t>
            </w:r>
          </w:p>
        </w:tc>
        <w:tc>
          <w:tcPr>
            <w:tcW w:w="214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Tunica, MS</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48</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1,014</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1,133</w:t>
            </w:r>
          </w:p>
        </w:tc>
        <w:tc>
          <w:tcPr>
            <w:tcW w:w="1640" w:type="dxa"/>
            <w:vAlign w:val="bottom"/>
          </w:tcPr>
          <w:p>
            <w:pPr>
              <w:jc w:val="center"/>
              <w:ind w:left="39"/>
              <w:spacing w:after="0"/>
              <w:rPr>
                <w:sz w:val="20"/>
                <w:szCs w:val="20"/>
                <w:color w:val="auto"/>
              </w:rPr>
            </w:pPr>
            <w:r>
              <w:rPr>
                <w:rFonts w:ascii="Arial" w:cs="Arial" w:eastAsia="Arial" w:hAnsi="Arial"/>
                <w:sz w:val="16"/>
                <w:szCs w:val="16"/>
                <w:color w:val="auto"/>
              </w:rPr>
              <w:t>MGM</w:t>
            </w:r>
          </w:p>
        </w:tc>
        <w:tc>
          <w:tcPr>
            <w:tcW w:w="0" w:type="dxa"/>
            <w:vAlign w:val="bottom"/>
          </w:tcPr>
          <w:p>
            <w:pPr>
              <w:spacing w:after="0"/>
              <w:rPr>
                <w:sz w:val="1"/>
                <w:szCs w:val="1"/>
                <w:color w:val="auto"/>
              </w:rPr>
            </w:pPr>
          </w:p>
        </w:tc>
      </w:tr>
      <w:tr>
        <w:trPr>
          <w:trHeight w:val="233"/>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New York City</w:t>
            </w:r>
          </w:p>
        </w:tc>
        <w:tc>
          <w:tcPr>
            <w:tcW w:w="2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960" w:type="dxa"/>
            <w:vAlign w:val="bottom"/>
          </w:tcPr>
          <w:p>
            <w:pPr>
              <w:ind w:left="360"/>
              <w:spacing w:after="0"/>
              <w:rPr>
                <w:sz w:val="20"/>
                <w:szCs w:val="20"/>
                <w:color w:val="auto"/>
              </w:rPr>
            </w:pPr>
            <w:r>
              <w:rPr>
                <w:rFonts w:ascii="Arial" w:cs="Arial" w:eastAsia="Arial" w:hAnsi="Arial"/>
                <w:sz w:val="16"/>
                <w:szCs w:val="16"/>
                <w:color w:val="auto"/>
              </w:rPr>
              <w:t>Empire City</w:t>
            </w:r>
          </w:p>
        </w:tc>
        <w:tc>
          <w:tcPr>
            <w:tcW w:w="214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Yonkers, NY</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137</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4,693</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rPr>
              <w:t>N/A</w:t>
            </w:r>
          </w:p>
        </w:tc>
        <w:tc>
          <w:tcPr>
            <w:tcW w:w="1640" w:type="dxa"/>
            <w:vAlign w:val="bottom"/>
          </w:tcPr>
          <w:p>
            <w:pPr>
              <w:jc w:val="center"/>
              <w:ind w:left="39"/>
              <w:spacing w:after="0"/>
              <w:rPr>
                <w:sz w:val="20"/>
                <w:szCs w:val="20"/>
                <w:color w:val="auto"/>
              </w:rPr>
            </w:pPr>
            <w:r>
              <w:rPr>
                <w:rFonts w:ascii="Arial" w:cs="Arial" w:eastAsia="Arial" w:hAnsi="Arial"/>
                <w:sz w:val="16"/>
                <w:szCs w:val="16"/>
                <w:color w:val="auto"/>
              </w:rPr>
              <w:t>MGM</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Cleveland</w:t>
            </w:r>
          </w:p>
        </w:tc>
        <w:tc>
          <w:tcPr>
            <w:tcW w:w="2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60" w:type="dxa"/>
            <w:vAlign w:val="bottom"/>
          </w:tcPr>
          <w:p>
            <w:pPr>
              <w:ind w:left="360"/>
              <w:spacing w:after="0"/>
              <w:rPr>
                <w:sz w:val="20"/>
                <w:szCs w:val="20"/>
                <w:color w:val="auto"/>
              </w:rPr>
            </w:pPr>
            <w:r>
              <w:rPr>
                <w:rFonts w:ascii="Arial" w:cs="Arial" w:eastAsia="Arial" w:hAnsi="Arial"/>
                <w:sz w:val="16"/>
                <w:szCs w:val="16"/>
                <w:color w:val="auto"/>
              </w:rPr>
              <w:t>MGM Northfield Park</w:t>
            </w:r>
          </w:p>
        </w:tc>
        <w:tc>
          <w:tcPr>
            <w:tcW w:w="2140" w:type="dxa"/>
            <w:vAlign w:val="bottom"/>
            <w:gridSpan w:val="2"/>
          </w:tcPr>
          <w:p>
            <w:pPr>
              <w:jc w:val="center"/>
              <w:ind w:right="100"/>
              <w:spacing w:after="0"/>
              <w:rPr>
                <w:sz w:val="20"/>
                <w:szCs w:val="20"/>
                <w:color w:val="auto"/>
              </w:rPr>
            </w:pPr>
            <w:r>
              <w:rPr>
                <w:rFonts w:ascii="Arial" w:cs="Arial" w:eastAsia="Arial" w:hAnsi="Arial"/>
                <w:sz w:val="16"/>
                <w:szCs w:val="16"/>
                <w:color w:val="auto"/>
                <w:w w:val="98"/>
              </w:rPr>
              <w:t>Northfield, OH</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92</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1,869</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rPr>
              <w:t>N/A</w:t>
            </w:r>
          </w:p>
        </w:tc>
        <w:tc>
          <w:tcPr>
            <w:tcW w:w="1640" w:type="dxa"/>
            <w:vAlign w:val="bottom"/>
          </w:tcPr>
          <w:p>
            <w:pPr>
              <w:jc w:val="center"/>
              <w:ind w:left="39"/>
              <w:spacing w:after="0"/>
              <w:rPr>
                <w:sz w:val="20"/>
                <w:szCs w:val="20"/>
                <w:color w:val="auto"/>
              </w:rPr>
            </w:pPr>
            <w:r>
              <w:rPr>
                <w:rFonts w:ascii="Arial" w:cs="Arial" w:eastAsia="Arial" w:hAnsi="Arial"/>
                <w:sz w:val="16"/>
                <w:szCs w:val="16"/>
                <w:color w:val="auto"/>
              </w:rPr>
              <w:t>MGM</w:t>
            </w:r>
          </w:p>
        </w:tc>
        <w:tc>
          <w:tcPr>
            <w:tcW w:w="0" w:type="dxa"/>
            <w:vAlign w:val="bottom"/>
          </w:tcPr>
          <w:p>
            <w:pPr>
              <w:spacing w:after="0"/>
              <w:rPr>
                <w:sz w:val="1"/>
                <w:szCs w:val="1"/>
                <w:color w:val="auto"/>
              </w:rPr>
            </w:pPr>
          </w:p>
        </w:tc>
      </w:tr>
      <w:tr>
        <w:trPr>
          <w:trHeight w:val="233"/>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Boston</w:t>
            </w:r>
          </w:p>
        </w:tc>
        <w:tc>
          <w:tcPr>
            <w:tcW w:w="2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960" w:type="dxa"/>
            <w:vAlign w:val="bottom"/>
          </w:tcPr>
          <w:p>
            <w:pPr>
              <w:ind w:left="360"/>
              <w:spacing w:after="0"/>
              <w:rPr>
                <w:sz w:val="20"/>
                <w:szCs w:val="20"/>
                <w:color w:val="auto"/>
              </w:rPr>
            </w:pPr>
            <w:r>
              <w:rPr>
                <w:rFonts w:ascii="Arial" w:cs="Arial" w:eastAsia="Arial" w:hAnsi="Arial"/>
                <w:sz w:val="16"/>
                <w:szCs w:val="16"/>
                <w:color w:val="auto"/>
              </w:rPr>
              <w:t>MGM Springfield</w:t>
            </w:r>
          </w:p>
        </w:tc>
        <w:tc>
          <w:tcPr>
            <w:tcW w:w="21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Springfield, MA</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126</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1,879</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240</w:t>
            </w:r>
          </w:p>
        </w:tc>
        <w:tc>
          <w:tcPr>
            <w:tcW w:w="1640" w:type="dxa"/>
            <w:vAlign w:val="bottom"/>
          </w:tcPr>
          <w:p>
            <w:pPr>
              <w:jc w:val="center"/>
              <w:ind w:left="39"/>
              <w:spacing w:after="0"/>
              <w:rPr>
                <w:sz w:val="20"/>
                <w:szCs w:val="20"/>
                <w:color w:val="auto"/>
              </w:rPr>
            </w:pPr>
            <w:r>
              <w:rPr>
                <w:rFonts w:ascii="Arial" w:cs="Arial" w:eastAsia="Arial" w:hAnsi="Arial"/>
                <w:sz w:val="16"/>
                <w:szCs w:val="16"/>
                <w:color w:val="auto"/>
              </w:rPr>
              <w:t>MGM</w:t>
            </w:r>
          </w:p>
        </w:tc>
        <w:tc>
          <w:tcPr>
            <w:tcW w:w="0" w:type="dxa"/>
            <w:vAlign w:val="bottom"/>
          </w:tcPr>
          <w:p>
            <w:pPr>
              <w:spacing w:after="0"/>
              <w:rPr>
                <w:sz w:val="1"/>
                <w:szCs w:val="1"/>
                <w:color w:val="auto"/>
              </w:rPr>
            </w:pPr>
          </w:p>
        </w:tc>
      </w:tr>
      <w:tr>
        <w:trPr>
          <w:trHeight w:val="233"/>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Detroit</w:t>
            </w:r>
          </w:p>
        </w:tc>
        <w:tc>
          <w:tcPr>
            <w:tcW w:w="2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960" w:type="dxa"/>
            <w:vAlign w:val="bottom"/>
          </w:tcPr>
          <w:p>
            <w:pPr>
              <w:ind w:left="360"/>
              <w:spacing w:after="0"/>
              <w:rPr>
                <w:sz w:val="20"/>
                <w:szCs w:val="20"/>
                <w:color w:val="auto"/>
              </w:rPr>
            </w:pPr>
            <w:r>
              <w:rPr>
                <w:rFonts w:ascii="Arial" w:cs="Arial" w:eastAsia="Arial" w:hAnsi="Arial"/>
                <w:sz w:val="16"/>
                <w:szCs w:val="16"/>
                <w:color w:val="auto"/>
              </w:rPr>
              <w:t>MGM Grand Detroit</w:t>
            </w:r>
          </w:p>
        </w:tc>
        <w:tc>
          <w:tcPr>
            <w:tcW w:w="21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Detroit, MA</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151</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3,206</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400</w:t>
            </w:r>
          </w:p>
        </w:tc>
        <w:tc>
          <w:tcPr>
            <w:tcW w:w="1640" w:type="dxa"/>
            <w:vAlign w:val="bottom"/>
          </w:tcPr>
          <w:p>
            <w:pPr>
              <w:jc w:val="center"/>
              <w:ind w:left="39"/>
              <w:spacing w:after="0"/>
              <w:rPr>
                <w:sz w:val="20"/>
                <w:szCs w:val="20"/>
                <w:color w:val="auto"/>
              </w:rPr>
            </w:pPr>
            <w:r>
              <w:rPr>
                <w:rFonts w:ascii="Arial" w:cs="Arial" w:eastAsia="Arial" w:hAnsi="Arial"/>
                <w:sz w:val="16"/>
                <w:szCs w:val="16"/>
                <w:color w:val="auto"/>
              </w:rPr>
              <w:t>MGM</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New Orleans</w:t>
            </w:r>
          </w:p>
        </w:tc>
        <w:tc>
          <w:tcPr>
            <w:tcW w:w="2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60" w:type="dxa"/>
            <w:vAlign w:val="bottom"/>
          </w:tcPr>
          <w:p>
            <w:pPr>
              <w:ind w:left="360"/>
              <w:spacing w:after="0"/>
              <w:rPr>
                <w:sz w:val="20"/>
                <w:szCs w:val="20"/>
                <w:color w:val="auto"/>
              </w:rPr>
            </w:pPr>
            <w:r>
              <w:rPr>
                <w:rFonts w:ascii="Arial" w:cs="Arial" w:eastAsia="Arial" w:hAnsi="Arial"/>
                <w:sz w:val="16"/>
                <w:szCs w:val="16"/>
                <w:color w:val="auto"/>
              </w:rPr>
              <w:t>Beau Rivage</w:t>
            </w:r>
          </w:p>
        </w:tc>
        <w:tc>
          <w:tcPr>
            <w:tcW w:w="2140" w:type="dxa"/>
            <w:vAlign w:val="bottom"/>
            <w:gridSpan w:val="2"/>
          </w:tcPr>
          <w:p>
            <w:pPr>
              <w:jc w:val="center"/>
              <w:ind w:right="100"/>
              <w:spacing w:after="0"/>
              <w:rPr>
                <w:sz w:val="20"/>
                <w:szCs w:val="20"/>
                <w:color w:val="auto"/>
              </w:rPr>
            </w:pPr>
            <w:r>
              <w:rPr>
                <w:rFonts w:ascii="Arial" w:cs="Arial" w:eastAsia="Arial" w:hAnsi="Arial"/>
                <w:sz w:val="16"/>
                <w:szCs w:val="16"/>
                <w:color w:val="auto"/>
              </w:rPr>
              <w:t>Biloxi, MS</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87</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1,756</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w w:val="89"/>
              </w:rPr>
              <w:t>1,740</w:t>
            </w:r>
          </w:p>
        </w:tc>
        <w:tc>
          <w:tcPr>
            <w:tcW w:w="1640" w:type="dxa"/>
            <w:vAlign w:val="bottom"/>
          </w:tcPr>
          <w:p>
            <w:pPr>
              <w:jc w:val="center"/>
              <w:ind w:left="39"/>
              <w:spacing w:after="0"/>
              <w:rPr>
                <w:sz w:val="20"/>
                <w:szCs w:val="20"/>
                <w:color w:val="auto"/>
              </w:rPr>
            </w:pPr>
            <w:r>
              <w:rPr>
                <w:rFonts w:ascii="Arial" w:cs="Arial" w:eastAsia="Arial" w:hAnsi="Arial"/>
                <w:sz w:val="16"/>
                <w:szCs w:val="16"/>
                <w:color w:val="auto"/>
              </w:rPr>
              <w:t>MGM</w:t>
            </w:r>
          </w:p>
        </w:tc>
        <w:tc>
          <w:tcPr>
            <w:tcW w:w="0" w:type="dxa"/>
            <w:vAlign w:val="bottom"/>
          </w:tcPr>
          <w:p>
            <w:pPr>
              <w:spacing w:after="0"/>
              <w:rPr>
                <w:sz w:val="1"/>
                <w:szCs w:val="1"/>
                <w:color w:val="auto"/>
              </w:rPr>
            </w:pPr>
          </w:p>
        </w:tc>
      </w:tr>
      <w:tr>
        <w:trPr>
          <w:trHeight w:val="238"/>
        </w:trPr>
        <w:tc>
          <w:tcPr>
            <w:tcW w:w="39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b w:val="1"/>
                <w:bCs w:val="1"/>
                <w:color w:val="auto"/>
              </w:rPr>
              <w:t>Total</w:t>
            </w:r>
          </w:p>
        </w:tc>
        <w:tc>
          <w:tcPr>
            <w:tcW w:w="2020" w:type="dxa"/>
            <w:vAlign w:val="bottom"/>
            <w:tcBorders>
              <w:top w:val="single" w:sz="8" w:color="auto"/>
              <w:bottom w:val="single" w:sz="8" w:color="auto"/>
            </w:tcBorders>
            <w:shd w:val="clear" w:color="auto" w:fill="CCEEFF"/>
          </w:tcPr>
          <w:p>
            <w:pPr>
              <w:jc w:val="right"/>
              <w:ind w:right="838"/>
              <w:spacing w:after="0"/>
              <w:rPr>
                <w:sz w:val="20"/>
                <w:szCs w:val="20"/>
                <w:color w:val="auto"/>
              </w:rPr>
            </w:pPr>
            <w:r>
              <w:rPr>
                <w:rFonts w:ascii="Arial" w:cs="Arial" w:eastAsia="Arial" w:hAnsi="Arial"/>
                <w:sz w:val="16"/>
                <w:szCs w:val="16"/>
                <w:color w:val="auto"/>
              </w:rPr>
              <w:t>15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1,631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27,411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32,675</w:t>
            </w:r>
          </w:p>
        </w:tc>
        <w:tc>
          <w:tcPr>
            <w:tcW w:w="16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3960" w:type="dxa"/>
            <w:vAlign w:val="bottom"/>
          </w:tcPr>
          <w:p>
            <w:pPr>
              <w:spacing w:after="0"/>
              <w:rPr>
                <w:sz w:val="23"/>
                <w:szCs w:val="23"/>
                <w:color w:val="auto"/>
              </w:rPr>
            </w:pPr>
          </w:p>
        </w:tc>
        <w:tc>
          <w:tcPr>
            <w:tcW w:w="350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1"/>
              </w:rPr>
              <w:t>Put/Call Properties</w:t>
            </w: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Indianapolis</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60" w:type="dxa"/>
            <w:vAlign w:val="bottom"/>
          </w:tcPr>
          <w:p>
            <w:pPr>
              <w:ind w:left="360"/>
              <w:spacing w:after="0"/>
              <w:rPr>
                <w:sz w:val="20"/>
                <w:szCs w:val="20"/>
                <w:color w:val="auto"/>
              </w:rPr>
            </w:pPr>
            <w:r>
              <w:rPr>
                <w:rFonts w:ascii="Arial" w:cs="Arial" w:eastAsia="Arial" w:hAnsi="Arial"/>
                <w:sz w:val="16"/>
                <w:szCs w:val="16"/>
                <w:color w:val="auto"/>
              </w:rPr>
              <w:t>Harrah’s Hoosier Park</w:t>
            </w:r>
          </w:p>
        </w:tc>
        <w:tc>
          <w:tcPr>
            <w:tcW w:w="2140" w:type="dxa"/>
            <w:vAlign w:val="bottom"/>
            <w:gridSpan w:val="2"/>
          </w:tcPr>
          <w:p>
            <w:pPr>
              <w:jc w:val="center"/>
              <w:ind w:right="100"/>
              <w:spacing w:after="0"/>
              <w:rPr>
                <w:sz w:val="20"/>
                <w:szCs w:val="20"/>
                <w:color w:val="auto"/>
              </w:rPr>
            </w:pPr>
            <w:r>
              <w:rPr>
                <w:rFonts w:ascii="Arial" w:cs="Arial" w:eastAsia="Arial" w:hAnsi="Arial"/>
                <w:sz w:val="16"/>
                <w:szCs w:val="16"/>
                <w:color w:val="auto"/>
                <w:w w:val="98"/>
              </w:rPr>
              <w:t>Shelbyville, IN</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54</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1,070</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rPr>
              <w:t>N/A</w:t>
            </w:r>
          </w:p>
        </w:tc>
        <w:tc>
          <w:tcPr>
            <w:tcW w:w="1640" w:type="dxa"/>
            <w:vAlign w:val="bottom"/>
          </w:tcPr>
          <w:p>
            <w:pPr>
              <w:jc w:val="center"/>
              <w:ind w:left="39"/>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9"/>
        </w:trPr>
        <w:tc>
          <w:tcPr>
            <w:tcW w:w="3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Horseshoe Indianapolis</w:t>
            </w:r>
          </w:p>
        </w:tc>
        <w:tc>
          <w:tcPr>
            <w:tcW w:w="21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Anderson, IN</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2,070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164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3"/>
        </w:trPr>
        <w:tc>
          <w:tcPr>
            <w:tcW w:w="3960" w:type="dxa"/>
            <w:vAlign w:val="bottom"/>
          </w:tcPr>
          <w:p>
            <w:pPr>
              <w:ind w:left="20"/>
              <w:spacing w:after="0"/>
              <w:rPr>
                <w:sz w:val="20"/>
                <w:szCs w:val="20"/>
                <w:color w:val="auto"/>
              </w:rPr>
            </w:pPr>
            <w:r>
              <w:rPr>
                <w:rFonts w:ascii="Arial" w:cs="Arial" w:eastAsia="Arial" w:hAnsi="Arial"/>
                <w:sz w:val="16"/>
                <w:szCs w:val="16"/>
                <w:b w:val="1"/>
                <w:bCs w:val="1"/>
                <w:color w:val="auto"/>
              </w:rPr>
              <w:t>Las Vegas</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Caesars Forum Convention Center</w:t>
            </w:r>
          </w:p>
        </w:tc>
        <w:tc>
          <w:tcPr>
            <w:tcW w:w="21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Las Vegas, NV</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N/A</w:t>
            </w:r>
          </w:p>
        </w:tc>
        <w:tc>
          <w:tcPr>
            <w:tcW w:w="12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N/A</w:t>
            </w: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164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3"/>
        </w:trPr>
        <w:tc>
          <w:tcPr>
            <w:tcW w:w="3960" w:type="dxa"/>
            <w:vAlign w:val="bottom"/>
          </w:tcPr>
          <w:p>
            <w:pPr>
              <w:ind w:left="360"/>
              <w:spacing w:after="0"/>
              <w:rPr>
                <w:sz w:val="20"/>
                <w:szCs w:val="20"/>
                <w:color w:val="auto"/>
              </w:rPr>
            </w:pPr>
            <w:r>
              <w:rPr>
                <w:rFonts w:ascii="Arial" w:cs="Arial" w:eastAsia="Arial" w:hAnsi="Arial"/>
                <w:sz w:val="16"/>
                <w:szCs w:val="16"/>
                <w:b w:val="1"/>
                <w:bCs w:val="1"/>
                <w:color w:val="auto"/>
              </w:rPr>
              <w:t>Total</w:t>
            </w:r>
          </w:p>
        </w:tc>
        <w:tc>
          <w:tcPr>
            <w:tcW w:w="2020" w:type="dxa"/>
            <w:vAlign w:val="bottom"/>
            <w:tcBorders>
              <w:top w:val="single" w:sz="8" w:color="auto"/>
              <w:bottom w:val="single" w:sz="8" w:color="auto"/>
            </w:tcBorders>
          </w:tcPr>
          <w:p>
            <w:pPr>
              <w:jc w:val="right"/>
              <w:ind w:right="878"/>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138</w:t>
            </w:r>
          </w:p>
        </w:tc>
        <w:tc>
          <w:tcPr>
            <w:tcW w:w="1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3,140</w:t>
            </w:r>
          </w:p>
        </w:tc>
        <w:tc>
          <w:tcPr>
            <w:tcW w:w="1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160" w:hanging="134"/>
        <w:spacing w:after="0"/>
        <w:tabs>
          <w:tab w:leader="none" w:pos="1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 xml:space="preserve">Subject to closing of the MGP Transactions, which remain subject to customary closing conditions and regulatory approvals. See </w:t>
      </w:r>
      <w:hyperlink w:anchor="page25">
        <w:r>
          <w:rPr>
            <w:rFonts w:ascii="Arial" w:cs="Arial" w:eastAsia="Arial" w:hAnsi="Arial"/>
            <w:sz w:val="12"/>
            <w:szCs w:val="12"/>
            <w:u w:val="single" w:color="auto"/>
            <w:color w:val="0000FF"/>
          </w:rPr>
          <w:t>Item 1A “Risk Factors – Risks Related to the Mergers.”</w:t>
        </w:r>
      </w:hyperlink>
    </w:p>
    <w:p>
      <w:pPr>
        <w:spacing w:after="0" w:line="18" w:lineRule="exact"/>
        <w:rPr>
          <w:rFonts w:ascii="Arial" w:cs="Arial" w:eastAsia="Arial" w:hAnsi="Arial"/>
          <w:sz w:val="12"/>
          <w:szCs w:val="12"/>
          <w:color w:val="auto"/>
        </w:rPr>
      </w:pPr>
    </w:p>
    <w:p>
      <w:pPr>
        <w:ind w:left="20" w:right="160" w:firstLine="6"/>
        <w:spacing w:after="0" w:line="213" w:lineRule="auto"/>
        <w:tabs>
          <w:tab w:leader="none" w:pos="165" w:val="left"/>
        </w:tabs>
        <w:numPr>
          <w:ilvl w:val="0"/>
          <w:numId w:val="13"/>
        </w:numPr>
        <w:rPr>
          <w:rFonts w:ascii="Arial" w:cs="Arial" w:eastAsia="Arial" w:hAnsi="Arial"/>
          <w:sz w:val="17"/>
          <w:szCs w:val="17"/>
          <w:color w:val="auto"/>
          <w:vertAlign w:val="superscript"/>
        </w:rPr>
      </w:pPr>
      <w:r>
        <w:rPr>
          <w:rFonts w:ascii="Arial" w:cs="Arial" w:eastAsia="Arial" w:hAnsi="Arial"/>
          <w:sz w:val="13"/>
          <w:szCs w:val="13"/>
          <w:color w:val="auto"/>
        </w:rPr>
        <w:t>As previously announced, in connection with MGM’s agreement to sell the operations of the Mirage to Hard Rock, the Company has agreed to enter into a separate lease with Hard Rock related to the land and real estate assets of the Mirage. Upon closing of the transaction, the MGM Master Lease Agreement will be amended to reflect the removal of the Mirage. Closing of the transaction remains subject to customary closing conditions and regulatory approvals, as well as the closing of the MGP Transactions.</w:t>
      </w:r>
    </w:p>
    <w:p>
      <w:pPr>
        <w:spacing w:after="0" w:line="6" w:lineRule="exact"/>
        <w:rPr>
          <w:rFonts w:ascii="Arial" w:cs="Arial" w:eastAsia="Arial" w:hAnsi="Arial"/>
          <w:sz w:val="17"/>
          <w:szCs w:val="17"/>
          <w:color w:val="auto"/>
          <w:vertAlign w:val="superscript"/>
        </w:rPr>
      </w:pPr>
    </w:p>
    <w:p>
      <w:pPr>
        <w:ind w:left="160" w:hanging="134"/>
        <w:spacing w:after="0"/>
        <w:tabs>
          <w:tab w:leader="none" w:pos="160" w:val="left"/>
        </w:tabs>
        <w:numPr>
          <w:ilvl w:val="0"/>
          <w:numId w:val="13"/>
        </w:numPr>
        <w:rPr>
          <w:rFonts w:ascii="Arial" w:cs="Arial" w:eastAsia="Arial" w:hAnsi="Arial"/>
          <w:sz w:val="16"/>
          <w:szCs w:val="16"/>
          <w:color w:val="auto"/>
          <w:vertAlign w:val="superscript"/>
        </w:rPr>
      </w:pPr>
      <w:r>
        <w:rPr>
          <w:rFonts w:ascii="Arial" w:cs="Arial" w:eastAsia="Arial" w:hAnsi="Arial"/>
          <w:sz w:val="12"/>
          <w:szCs w:val="12"/>
          <w:color w:val="auto"/>
        </w:rPr>
        <w:t>Mandalay Bay and MGM Grand Las Vegas real estate assets are owned by BREIT JV, in which we will have a 50.1% ownership interest upon closing of the MGP Transactions.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Lease Agreements</w:t>
      </w:r>
    </w:p>
    <w:p>
      <w:pPr>
        <w:spacing w:after="0" w:line="175" w:lineRule="exact"/>
        <w:rPr>
          <w:sz w:val="20"/>
          <w:szCs w:val="20"/>
          <w:color w:val="auto"/>
        </w:rPr>
      </w:pPr>
    </w:p>
    <w:p>
      <w:pPr>
        <w:jc w:val="both"/>
        <w:spacing w:after="0" w:line="301" w:lineRule="auto"/>
        <w:rPr>
          <w:rFonts w:ascii="Arial" w:cs="Arial" w:eastAsia="Arial" w:hAnsi="Arial"/>
          <w:sz w:val="16"/>
          <w:szCs w:val="16"/>
          <w:color w:val="auto"/>
        </w:rPr>
      </w:pPr>
      <w:r>
        <w:rPr>
          <w:rFonts w:ascii="Arial" w:cs="Arial" w:eastAsia="Arial" w:hAnsi="Arial"/>
          <w:sz w:val="16"/>
          <w:szCs w:val="16"/>
          <w:color w:val="auto"/>
        </w:rPr>
        <w:t xml:space="preserve">We derive a substantial majority of our revenues from rental revenue from the Lease Agreements for our properties, each of which are “triple-net” leases, pursuant to which the tenant bears responsibility for all property costs and expenses associated with ongoing maintenance and operation, including utilities, property tax and insurance. For an overview of the provisions of our Lease Agreements and the tenant capital expenditure requirements under our Lease Agreements, refer to </w:t>
      </w:r>
      <w:hyperlink w:anchor="page111">
        <w:r>
          <w:rPr>
            <w:rFonts w:ascii="Arial" w:cs="Arial" w:eastAsia="Arial" w:hAnsi="Arial"/>
            <w:sz w:val="16"/>
            <w:szCs w:val="16"/>
            <w:u w:val="single" w:color="auto"/>
            <w:color w:val="0000FF"/>
          </w:rPr>
          <w:t>Note 4 - Real Estate Portfolio</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included in our Financial Statements within this Annual Report on Form 10-K.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Loan Agreements</w:t>
      </w:r>
    </w:p>
    <w:p>
      <w:pPr>
        <w:spacing w:after="0" w:line="229" w:lineRule="exact"/>
        <w:rPr>
          <w:sz w:val="20"/>
          <w:szCs w:val="20"/>
          <w:color w:val="auto"/>
        </w:rPr>
      </w:pPr>
    </w:p>
    <w:p>
      <w:pPr>
        <w:jc w:val="both"/>
        <w:spacing w:after="0" w:line="263" w:lineRule="auto"/>
        <w:rPr>
          <w:rFonts w:ascii="Arial" w:cs="Arial" w:eastAsia="Arial" w:hAnsi="Arial"/>
          <w:sz w:val="18"/>
          <w:szCs w:val="18"/>
          <w:color w:val="0000FF"/>
        </w:rPr>
      </w:pPr>
      <w:r>
        <w:rPr>
          <w:rFonts w:ascii="Arial" w:cs="Arial" w:eastAsia="Arial" w:hAnsi="Arial"/>
          <w:sz w:val="18"/>
          <w:szCs w:val="18"/>
          <w:color w:val="auto"/>
        </w:rPr>
        <w:t xml:space="preserve">Our loan portfolio consists of three real estate debt investments that we have originated for strategic reasons, and may provide the potential to convert our investment into the ownership of certain of the underlying real estate in a future period. For an overview of the provisions of our loan agreements, refer to </w:t>
      </w:r>
      <w:hyperlink w:anchor="page111">
        <w:r>
          <w:rPr>
            <w:rFonts w:ascii="Arial" w:cs="Arial" w:eastAsia="Arial" w:hAnsi="Arial"/>
            <w:sz w:val="18"/>
            <w:szCs w:val="18"/>
            <w:u w:val="single" w:color="auto"/>
            <w:color w:val="0000FF"/>
          </w:rPr>
          <w:t>Note 4 - Real Estate Portfolio</w:t>
        </w:r>
        <w:r>
          <w:rPr>
            <w:rFonts w:ascii="Arial" w:cs="Arial" w:eastAsia="Arial" w:hAnsi="Arial"/>
            <w:sz w:val="18"/>
            <w:szCs w:val="18"/>
            <w:color w:val="0000FF"/>
          </w:rPr>
          <w:t xml:space="preserve"> </w:t>
        </w:r>
      </w:hyperlink>
      <w:r>
        <w:rPr>
          <w:rFonts w:ascii="Arial" w:cs="Arial" w:eastAsia="Arial" w:hAnsi="Arial"/>
          <w:sz w:val="18"/>
          <w:szCs w:val="18"/>
          <w:color w:val="000000"/>
        </w:rPr>
        <w:t>included</w:t>
      </w:r>
      <w:r>
        <w:rPr>
          <w:rFonts w:ascii="Arial" w:cs="Arial" w:eastAsia="Arial" w:hAnsi="Arial"/>
          <w:sz w:val="18"/>
          <w:szCs w:val="18"/>
          <w:color w:val="0000FF"/>
        </w:rPr>
        <w:t xml:space="preserve"> </w:t>
      </w:r>
      <w:r>
        <w:rPr>
          <w:rFonts w:ascii="Arial" w:cs="Arial" w:eastAsia="Arial" w:hAnsi="Arial"/>
          <w:sz w:val="18"/>
          <w:szCs w:val="18"/>
          <w:color w:val="000000"/>
        </w:rPr>
        <w:t>in our Financial Statements within this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Embedded Growth Pipeline</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entered into several right of first refusal and put-call agreements, as well as other strategic arrangements, which we believe provide the opportunity for significant embedded growth as we pursue our future strategic objectives. Each of the transactions contemplated by the following agreements remains subject to the terms and conditions of the applicable agreements, including with respect to due diligence, applicable regulatory approvals and customary closing conditions.</w:t>
      </w:r>
    </w:p>
    <w:p>
      <w:pPr>
        <w:spacing w:after="0" w:line="133" w:lineRule="exact"/>
        <w:rPr>
          <w:sz w:val="20"/>
          <w:szCs w:val="20"/>
          <w:color w:val="auto"/>
        </w:rPr>
      </w:pPr>
    </w:p>
    <w:p>
      <w:pPr>
        <w:jc w:val="both"/>
        <w:ind w:left="660" w:hanging="328"/>
        <w:spacing w:after="0" w:line="287" w:lineRule="auto"/>
        <w:tabs>
          <w:tab w:leader="none" w:pos="655" w:val="left"/>
        </w:tabs>
        <w:numPr>
          <w:ilvl w:val="0"/>
          <w:numId w:val="1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Caesars Indianapolis Put-Call Agreement. </w:t>
      </w:r>
      <w:r>
        <w:rPr>
          <w:rFonts w:ascii="Arial" w:cs="Arial" w:eastAsia="Arial" w:hAnsi="Arial"/>
          <w:sz w:val="16"/>
          <w:szCs w:val="16"/>
          <w:color w:val="auto"/>
        </w:rPr>
        <w:t>We have a put-call right agreement with Caesars (the “Caesars Indianapolis Put-Call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respect to two gaming facilities in Indiana, Harrah’s Hoosier Park and Horseshoe Indianapolis (together, the “Indianapolis Properties”), whereby (i) we have the right to acquire all of the land and real estate assets associated with the Indianapolis Properties at a price equal to 13.0x the initial annual rent of each facility (determined as provided below), and to simultaneously lease back each such property to a subsidiary of Caesars for initial annual rent equal to the property’s trailing four quarters EBITDA at the time of acquisition divided by 1.3 (i.e., the initial annual rent will be set at 1.3x rent coverage) and (ii) Caesars will have the right to require us to acquire the Indianapolis Properties at a price equal to 12.5x the initial annual rent of each facility, and to simultaneously lease back each such Indianapolis Property to a subsidiary of Caesars for initial annual rent equal to the property’s trailing four quarters EBITDA at the time of acquisition divided by 1.3 (i.e., the initial annual rent will be set at 1.3x rent coverage). Either party will be able to trigger its respective put or call, as applicable, beginning on January 1, 2022 and ending on December 31, 2024. The Caesars Indianapolis Put-Call Agreement provides that the leaseback of the Indianapolis Properties will be implemented through the addition of the Indianapolis Properties to the Regional Master Lease Agreement.</w:t>
      </w:r>
    </w:p>
    <w:p>
      <w:pPr>
        <w:spacing w:after="0" w:line="171" w:lineRule="exact"/>
        <w:rPr>
          <w:rFonts w:ascii="Arial" w:cs="Arial" w:eastAsia="Arial" w:hAnsi="Arial"/>
          <w:sz w:val="16"/>
          <w:szCs w:val="16"/>
          <w:b w:val="1"/>
          <w:bCs w:val="1"/>
          <w:i w:val="1"/>
          <w:iCs w:val="1"/>
          <w:color w:val="auto"/>
        </w:rPr>
      </w:pPr>
    </w:p>
    <w:p>
      <w:pPr>
        <w:jc w:val="both"/>
        <w:ind w:left="660" w:hanging="328"/>
        <w:spacing w:after="0" w:line="269" w:lineRule="auto"/>
        <w:tabs>
          <w:tab w:leader="none" w:pos="655" w:val="left"/>
        </w:tabs>
        <w:numPr>
          <w:ilvl w:val="0"/>
          <w:numId w:val="1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Caesars Forum Put-Call Agreement. </w:t>
      </w:r>
      <w:r>
        <w:rPr>
          <w:rFonts w:ascii="Arial" w:cs="Arial" w:eastAsia="Arial" w:hAnsi="Arial"/>
          <w:sz w:val="17"/>
          <w:szCs w:val="17"/>
          <w:color w:val="auto"/>
        </w:rPr>
        <w:t>We have a put-call agreement with Caesars with respect to the Caesars Forum Convention Center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“A&amp;R Convention Center Put-Call Agreement”). The A&amp;R Convention Center Put-Call Agreement provides for (i) a call right in our favor, which, if exercised, would result in the sale by Caesars to us and simultaneous leaseback by us to Caesars of the Caesars Forum Convention Center (the “Convention Center Call Right”), at a price equal to 13.0x the initial annual rent for Caesars Forum Convention Center as proposed by Caesars (which shall be between $25.0 million and $35.0 million), exercisable by us from September 18, 2025 (the scheduled maturity date of the Forum Convention Center Mortgage Loan) until December 31, 2026, (ii) a put right in favor of Caesars, which, if exercised, would result in the sale by Caesars to us and simultaneous leaseback by us to Caesars of the Caesars Forum Convention Center (the “Convention Center Put Right”) at a price equal to 13.0x the initial annual rent for the Caesars Forum Convention Center as proposed by Caesars (which shall be between $25.0 million and $35.0 million), exercisable by Caesars between January 1, 2024 and December 31, 2024, and (iii) if there is an event of default under the Forum Convention Center Mortgage Loan, the Convention Center Put Right will not be exercisable and we, at our option, may accelerate the Convention Center Call Right so that it is exercisable from the date of such event of default until December 31, 2026 (in addition to any other remedies available to us in connection with such event of default).</w:t>
      </w:r>
    </w:p>
    <w:p>
      <w:pPr>
        <w:spacing w:after="0" w:line="124" w:lineRule="exact"/>
        <w:rPr>
          <w:rFonts w:ascii="Arial" w:cs="Arial" w:eastAsia="Arial" w:hAnsi="Arial"/>
          <w:sz w:val="17"/>
          <w:szCs w:val="17"/>
          <w:b w:val="1"/>
          <w:bCs w:val="1"/>
          <w:i w:val="1"/>
          <w:iCs w:val="1"/>
          <w:color w:val="auto"/>
        </w:rPr>
      </w:pPr>
    </w:p>
    <w:p>
      <w:pPr>
        <w:jc w:val="both"/>
        <w:ind w:left="660"/>
        <w:spacing w:after="0" w:line="296" w:lineRule="auto"/>
        <w:rPr>
          <w:rFonts w:ascii="Arial" w:cs="Arial" w:eastAsia="Arial" w:hAnsi="Arial"/>
          <w:sz w:val="17"/>
          <w:szCs w:val="17"/>
          <w:b w:val="1"/>
          <w:bCs w:val="1"/>
          <w:i w:val="1"/>
          <w:iCs w:val="1"/>
          <w:color w:val="auto"/>
        </w:rPr>
      </w:pPr>
      <w:r>
        <w:rPr>
          <w:rFonts w:ascii="Arial" w:cs="Arial" w:eastAsia="Arial" w:hAnsi="Arial"/>
          <w:sz w:val="16"/>
          <w:szCs w:val="16"/>
          <w:color w:val="auto"/>
        </w:rPr>
        <w:t>The A&amp;R Convention Center Put-Call Agreement also provides for, if Caesars exercises the Convention Center Put Right and, among other things, the sale of the Caesars Forum Convention Center to us does not close for certain reasons more particularly described in the A&amp;R Convention Center Put-Call Agreement, a repurchase right in favor of Caesars, which, if exercised, would result in the sale of the Harrah’s Las Vegas property by us to Caesars (the “HLV Repurchase Right”), exercisable by Caesars during a one-year period commencing on the date upon which the closing under the Convention Center Put Right transaction does not occur and ending on the day immediately preceding the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one-year anniversary thereof for a price equal to 13.0x the rent of the Harrah’s Las Vegas property for the most recently ended annual period for which Caesars’ financial statements are available as of Caesars’ election to exercise the HLV Repurchase Right.</w:t>
      </w:r>
    </w:p>
    <w:p>
      <w:pPr>
        <w:spacing w:after="0" w:line="170" w:lineRule="exact"/>
        <w:rPr>
          <w:sz w:val="20"/>
          <w:szCs w:val="20"/>
          <w:color w:val="auto"/>
        </w:rPr>
      </w:pPr>
    </w:p>
    <w:p>
      <w:pPr>
        <w:jc w:val="both"/>
        <w:ind w:left="660" w:hanging="328"/>
        <w:spacing w:after="0" w:line="289" w:lineRule="auto"/>
        <w:tabs>
          <w:tab w:leader="none" w:pos="655" w:val="left"/>
        </w:tabs>
        <w:numPr>
          <w:ilvl w:val="0"/>
          <w:numId w:val="1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Las Vegas Strip Assets ROFR. </w:t>
      </w:r>
      <w:r>
        <w:rPr>
          <w:rFonts w:ascii="Arial" w:cs="Arial" w:eastAsia="Arial" w:hAnsi="Arial"/>
          <w:sz w:val="16"/>
          <w:szCs w:val="16"/>
          <w:color w:val="auto"/>
        </w:rPr>
        <w:t>We have a right of first refusal agreement with Caesars in connection with the consummation of the Eldorado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Transaction (the “Las Vegas Strip ROFR Agreement”), pursuant to which we have the first right, with respect to the first two Las Vegas Strip assets described below that Caesars proposes to sell, whether pursuant to a sale leaseback or a sale of the real estate and operations (a “WholeCo sale”), to a third party, to acquire any such asset (it being understood that we will have the opportunity to find an operating company should Caesars elect to pursue a WholeCo sale). The Las Vegas Strip assets subject to the Las Vegas Strip ROFR Agreement are the land and real estate assets associated (i) with respect to the first such asset subject to the Las Vegas Strip ROFR Agreement, the Flamingo Las Vegas, Paris Las Vegas, Planet Hollywood and Bally’s Las Vegas gaming facilities, and (ii) with respect to the second such asset subject to the Las Vegas Strip ROFR Agreement, the foregoing assets still unsold plus The LINQ gaming facility. If we enter into a sale leaseback transaction with Caesars with respect to any of these facilities, the leaseback may be implemented through the addition of such properties to the Las Vegas Master Lease Agreement.</w:t>
      </w:r>
    </w:p>
    <w:p>
      <w:pPr>
        <w:spacing w:after="0" w:line="112" w:lineRule="exact"/>
        <w:rPr>
          <w:rFonts w:ascii="Arial" w:cs="Arial" w:eastAsia="Arial" w:hAnsi="Arial"/>
          <w:sz w:val="16"/>
          <w:szCs w:val="16"/>
          <w:b w:val="1"/>
          <w:bCs w:val="1"/>
          <w:i w:val="1"/>
          <w:iCs w:val="1"/>
          <w:color w:val="auto"/>
        </w:rPr>
      </w:pPr>
    </w:p>
    <w:p>
      <w:pPr>
        <w:jc w:val="both"/>
        <w:ind w:left="660" w:hanging="328"/>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Horseshoe Baltimore ROFR. </w:t>
      </w:r>
      <w:r>
        <w:rPr>
          <w:rFonts w:ascii="Arial" w:cs="Arial" w:eastAsia="Arial" w:hAnsi="Arial"/>
          <w:sz w:val="18"/>
          <w:szCs w:val="18"/>
          <w:color w:val="auto"/>
        </w:rPr>
        <w:t>We have a right of first refusal agreement with Caesars pursuant to which we have the first right to enter into a sale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leaseback transaction with respect to the land and real estate assets associated with the Horseshoe Baltimore gaming facility (subject to any consent required from Caesars’ joint venture partners with respect to this asset).</w:t>
      </w:r>
    </w:p>
    <w:p>
      <w:pPr>
        <w:spacing w:after="0" w:line="129" w:lineRule="exact"/>
        <w:rPr>
          <w:rFonts w:ascii="Arial" w:cs="Arial" w:eastAsia="Arial" w:hAnsi="Arial"/>
          <w:sz w:val="18"/>
          <w:szCs w:val="18"/>
          <w:color w:val="auto"/>
        </w:rPr>
      </w:pPr>
    </w:p>
    <w:p>
      <w:pPr>
        <w:jc w:val="both"/>
        <w:ind w:left="660" w:right="20" w:hanging="328"/>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Danville ROFR. </w:t>
      </w:r>
      <w:r>
        <w:rPr>
          <w:rFonts w:ascii="Arial" w:cs="Arial" w:eastAsia="Arial" w:hAnsi="Arial"/>
          <w:sz w:val="18"/>
          <w:szCs w:val="18"/>
          <w:color w:val="auto"/>
        </w:rPr>
        <w:t>We have a right of first refusal agreement with EBCI and Caesars pursuant to which we have the first right to enter into a sale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leaseback transaction with respect to the real property associated with the development of a new casino resort in Danville, Virginia (the “Danville ROFR Agreement”).</w:t>
      </w:r>
    </w:p>
    <w:p>
      <w:pPr>
        <w:spacing w:after="0" w:line="129"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Great Wolf Non-Binding Letter Agreement. </w:t>
      </w:r>
      <w:r>
        <w:rPr>
          <w:rFonts w:ascii="Arial" w:cs="Arial" w:eastAsia="Arial" w:hAnsi="Arial"/>
          <w:sz w:val="18"/>
          <w:szCs w:val="18"/>
          <w:color w:val="auto"/>
        </w:rPr>
        <w:t>We entered into a non-binding letter agreement, pursuant to which we will have the opportunity for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of up to five years to provide up to a total of $300.0 million of mezzanine financing, inclusive of the $79.5 million related to the Great Wolf Lodge Maryland, for the development and construction of Great Wolf Resorts, Inc.’s extensive domestic and international indoor water park resort pipeline.</w:t>
      </w:r>
    </w:p>
    <w:p>
      <w:pPr>
        <w:spacing w:after="0" w:line="132" w:lineRule="exact"/>
        <w:rPr>
          <w:rFonts w:ascii="Arial" w:cs="Arial" w:eastAsia="Arial" w:hAnsi="Arial"/>
          <w:sz w:val="18"/>
          <w:szCs w:val="18"/>
          <w:b w:val="1"/>
          <w:bCs w:val="1"/>
          <w:i w:val="1"/>
          <w:iCs w:val="1"/>
          <w:color w:val="auto"/>
        </w:rPr>
      </w:pPr>
    </w:p>
    <w:p>
      <w:pPr>
        <w:jc w:val="both"/>
        <w:ind w:left="660" w:hanging="328"/>
        <w:spacing w:after="0" w:line="257" w:lineRule="auto"/>
        <w:tabs>
          <w:tab w:leader="none" w:pos="655"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BigShots Non-Binding Strategic Arrangement. </w:t>
      </w:r>
      <w:r>
        <w:rPr>
          <w:rFonts w:ascii="Arial" w:cs="Arial" w:eastAsia="Arial" w:hAnsi="Arial"/>
          <w:sz w:val="18"/>
          <w:szCs w:val="18"/>
          <w:color w:val="auto"/>
        </w:rPr>
        <w:t>We have a non-binding, strategic arrangement with ClubCorp Holdings, Inc. (“ClubCorp”),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portfolio company of Apollo, to grow their BigShots golf subsidiary (“BigShots Golf”), whereby we may provide up to $80.0 million of mortgage financing for the construction of up to five new BigShots Golf facilities throughout the United States. As part of the non-binding arrangement, we expect to have a call right to acquire the real estate assets associated with any BigShots Golf facility financed by us, which transaction will be structured as a sale leaseback.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 Property Growth Fund</w:t>
      </w:r>
    </w:p>
    <w:p>
      <w:pPr>
        <w:spacing w:after="0" w:line="17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part of our ongoing dialogue with our tenants, we continually seek opportunities to further our long-term partnerships and pursue our respective strategic objectives. We have entered into certain arrangements, which we collectively refer to as the “Partner Property Growth Fund,” with certain tenants relating to our funding of “same-store” capital improvements, including redevelopment, new construction projects and other property improvements, in exchange for increased rent pursuant to the terms of our existing Lease Agreements with such tenants (and subject to the specific terms and conditions included in any such agreement). Each of our Lease Agreements include provisions that provide a mechanic through which to pursue such opportunities. We continue to evaluate additional Partner Property Growth Fund opportunities with our tenants and expect to pursue further investment as one component of our strategic growth plans, consistent with our aim to work collaboratively with our tenants to invest in growth opportunities and capital improvements that achieve mutually beneficial outcomes. Most recently, we funded $18.0 million for the construction of a new gaming patio amenity at JACK Thistledown Racino, resulting in the addition of $1.8 million of incremental annual rent to the JACK Cleveland/Thistledown Lease Agreement (to commence in April 2022). The following is a summary of our potential Partner Property Growth Fund opportunities:</w:t>
      </w:r>
    </w:p>
    <w:p>
      <w:pPr>
        <w:spacing w:after="0" w:line="114" w:lineRule="exact"/>
        <w:rPr>
          <w:sz w:val="20"/>
          <w:szCs w:val="20"/>
          <w:color w:val="auto"/>
        </w:rPr>
      </w:pPr>
    </w:p>
    <w:p>
      <w:pPr>
        <w:jc w:val="both"/>
        <w:ind w:left="660" w:hanging="328"/>
        <w:spacing w:after="0" w:line="273" w:lineRule="auto"/>
        <w:tabs>
          <w:tab w:leader="none" w:pos="655" w:val="left"/>
        </w:tabs>
        <w:numPr>
          <w:ilvl w:val="0"/>
          <w:numId w:val="1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Hard Rock-Mirage Redevelopment. </w:t>
      </w:r>
      <w:r>
        <w:rPr>
          <w:rFonts w:ascii="Arial" w:cs="Arial" w:eastAsia="Arial" w:hAnsi="Arial"/>
          <w:sz w:val="17"/>
          <w:szCs w:val="17"/>
          <w:color w:val="auto"/>
        </w:rPr>
        <w:t>In connection with the announcement of Hard Rock’s pending acquisition of the operations of the Mirage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MGM (and our agreement to enter into a triple-net lease agreement with Hard Rock with respect to the land and real estate assets of the Mirage upon closing of such acquisition), we agreed with Hard Rock to negotiate definitive documentation (to be entered into upon closing of such acquisition) providing us the opportunity to fund an up to $1.5 billion redevelopment of the Mirage through our Partner Property Growth Fund if Hard Rock elects to seek third party financing for such redevelopment. The specific terms of the redevelopment and related funding remain subject to the negotiation of definitive documentation between us and Hard Rock, and the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closing of the Mirage sale remains subject to customary closing conditions, including regulatory approvals, as well as the consummation of the MGP Transactions, and there are no assurances that the redevelopment of the Hard Rock-Mirage will occur on the contemplated terms, including through our financing, or at all.</w:t>
      </w:r>
    </w:p>
    <w:p>
      <w:pPr>
        <w:spacing w:after="0" w:line="126" w:lineRule="exact"/>
        <w:rPr>
          <w:sz w:val="20"/>
          <w:szCs w:val="20"/>
          <w:color w:val="auto"/>
        </w:rPr>
      </w:pPr>
    </w:p>
    <w:p>
      <w:pPr>
        <w:jc w:val="both"/>
        <w:ind w:left="660" w:hanging="328"/>
        <w:spacing w:after="0" w:line="258"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Venetian Resort. </w:t>
      </w:r>
      <w:r>
        <w:rPr>
          <w:rFonts w:ascii="Arial" w:cs="Arial" w:eastAsia="Arial" w:hAnsi="Arial"/>
          <w:sz w:val="18"/>
          <w:szCs w:val="18"/>
          <w:color w:val="auto"/>
        </w:rPr>
        <w:t>In connection with the Venetian Acquisition, we entered into a Property Growth Fund Agreement (“Venetian PGFA”)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Venetian Tenant. Under the Venetian PGFA, we agreed to provide up to $1.0 billion for various development and construction projects affecting the Venetian Resort to be identified by the Venetian Tenant and that satisfy certain criteria more particularly set forth in the Venetian PGFA, in consideration of additional incremental rent to be paid by the Venetian Tenant under the Venetian Lease Agreement and calculated in accordance with a formula set forth in the Venetian PGFA.</w:t>
      </w:r>
    </w:p>
    <w:p>
      <w:pPr>
        <w:spacing w:after="0" w:line="133" w:lineRule="exact"/>
        <w:rPr>
          <w:sz w:val="20"/>
          <w:szCs w:val="20"/>
          <w:color w:val="auto"/>
        </w:rPr>
      </w:pPr>
    </w:p>
    <w:p>
      <w:pPr>
        <w:jc w:val="both"/>
        <w:spacing w:after="0" w:line="286" w:lineRule="auto"/>
        <w:rPr>
          <w:rFonts w:ascii="Arial" w:cs="Arial" w:eastAsia="Arial" w:hAnsi="Arial"/>
          <w:sz w:val="17"/>
          <w:szCs w:val="17"/>
          <w:color w:val="auto"/>
        </w:rPr>
      </w:pPr>
      <w:r>
        <w:rPr>
          <w:rFonts w:ascii="Arial" w:cs="Arial" w:eastAsia="Arial" w:hAnsi="Arial"/>
          <w:sz w:val="17"/>
          <w:szCs w:val="17"/>
          <w:color w:val="auto"/>
        </w:rPr>
        <w:t xml:space="preserve">The benefits of the foregoing and any future Partner Property Growth Fund opportunities will be dependent upon independent decisions made by our tenants with respect to any capital improvement projects and the source of funds for such projects, as well as the total funding ultimately requested under such arrangements. See </w:t>
      </w:r>
      <w:hyperlink w:anchor="page25">
        <w:r>
          <w:rPr>
            <w:rFonts w:ascii="Arial" w:cs="Arial" w:eastAsia="Arial" w:hAnsi="Arial"/>
            <w:sz w:val="17"/>
            <w:szCs w:val="17"/>
            <w:u w:val="single" w:color="auto"/>
            <w:color w:val="0000FF"/>
          </w:rPr>
          <w:t>Item 1A - “Risk Factors—Risks Related to Our Business and Operations”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additional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Golf Courses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own and operate four championship golf courses located near certain of our properties, Rio Secco in Henderson, Nevada, Cascata in Boulder City, Nevada, Chariot Run in Laconia, Indiana and Grand Bear in Saucier, Mississippi. In addition, Rio Secco and Cascata are in close proximity to the Las Vegas Strip. These golf courses provide ancillary revenue pursuant to their operations and a golf course use agreement entered into with Caesars, as described below.</w:t>
      </w:r>
    </w:p>
    <w:p>
      <w:pPr>
        <w:spacing w:after="0" w:line="187" w:lineRule="exact"/>
        <w:rPr>
          <w:sz w:val="20"/>
          <w:szCs w:val="20"/>
          <w:color w:val="auto"/>
        </w:rPr>
      </w:pPr>
    </w:p>
    <w:p>
      <w:pPr>
        <w:jc w:val="both"/>
        <w:ind w:left="660" w:hanging="328"/>
        <w:spacing w:after="0" w:line="255" w:lineRule="auto"/>
        <w:tabs>
          <w:tab w:leader="none" w:pos="655"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Golf Course Use Agreement. </w:t>
      </w:r>
      <w:r>
        <w:rPr>
          <w:rFonts w:ascii="Arial" w:cs="Arial" w:eastAsia="Arial" w:hAnsi="Arial"/>
          <w:sz w:val="18"/>
          <w:szCs w:val="18"/>
          <w:color w:val="auto"/>
        </w:rPr>
        <w:t>Pursuant to a golf course use agreement (as amended, the “Golf Course Use Agreement”), Caesars is granted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specific rights and privileges to the golf courses, including (i) preferred access to tee times for guests of Caesars casinos and/or hotels located within the same markets as the golf courses, (ii) preferred rates for guests of Caesars casinos and/or hotels located within the same markets as the golf courses, and (iii) availability for golf tournaments and events at preferred rates and discounts. Payments under the Golf Course Use Agreement are currently comprised of an approximately $10.6 million annual membership fee, $3.4 million of use fees and $1.3 million of minimum rounds fees, subject to certain adjustments.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Relationship with Caesars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Caesars is a leading owner and operator of gaming, entertainment and leisure properties. Caesars maintains a diverse brand portfolio with a wide range of options that appeal to a variety of gaming, sports betting, travel and entertainment consumers. As of December 31, 2021, Caesars domestically operates 52 properties, consisting of 20 owned and operated properties, 6 properties that it manages or are branded on behalf of third parties, 18 properties that it leases from us and 8 properties that it leases from other third parties.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govern the ongoing relationship between us and Caesars and our respective subsidiaries, we entered into various agreements with Caesars and/or its subsidiaries as described herein. The summaries presented herein are not complete and are qualified in their entirety by reference to the full text of the applicable agreements, which are included as exhibits to this Annual Report on Form 10-K.</w:t>
      </w:r>
    </w:p>
    <w:p>
      <w:pPr>
        <w:spacing w:after="0" w:line="130" w:lineRule="exact"/>
        <w:rPr>
          <w:sz w:val="20"/>
          <w:szCs w:val="20"/>
          <w:color w:val="auto"/>
        </w:rPr>
      </w:pPr>
    </w:p>
    <w:p>
      <w:pPr>
        <w:jc w:val="both"/>
        <w:ind w:left="660" w:hanging="328"/>
        <w:spacing w:after="0" w:line="271" w:lineRule="auto"/>
        <w:tabs>
          <w:tab w:leader="none" w:pos="655" w:val="left"/>
        </w:tabs>
        <w:numPr>
          <w:ilvl w:val="0"/>
          <w:numId w:val="1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Caesars Guaranty. </w:t>
      </w:r>
      <w:r>
        <w:rPr>
          <w:rFonts w:ascii="Arial" w:cs="Arial" w:eastAsia="Arial" w:hAnsi="Arial"/>
          <w:sz w:val="17"/>
          <w:szCs w:val="17"/>
          <w:color w:val="auto"/>
        </w:rPr>
        <w:t>Caesars has executed guaranties with respect to the Las Vegas Master Lease Agreement (the “Las Vegas Lease Guaranty”),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Regional Master Lease Agreement (the “Regional Lease Guaranty”) and the Joliet Lease Agreement (the “Joliet Lease Guaranty” and, together with the Las Vegas Lease Guaranty and the Regional Lease Guaranty, the “Caesars Guaranties”), guaranteeing the prompt and complete payment and performance in full of: (i) all monetary obligations of the tenants under the Caesars Lease Agreements, including all rent and other sums payable by the tenants under the Caesars Lease Agreements and any obligation to pay monetary damages in connection with any breach and to pay any indemnification obligations of the tenants under the Caesars Lease Agreements, (ii) the performance when due of all other covenants, agreements and requirements to be performed and satisfied by the tenants under the Caesars Lease Agreements, and (iii) all monetary obligations under the Golf Course Use Agreement.</w:t>
      </w:r>
    </w:p>
    <w:p>
      <w:pPr>
        <w:spacing w:after="0" w:line="124" w:lineRule="exact"/>
        <w:rPr>
          <w:rFonts w:ascii="Arial" w:cs="Arial" w:eastAsia="Arial" w:hAnsi="Arial"/>
          <w:sz w:val="17"/>
          <w:szCs w:val="17"/>
          <w:b w:val="1"/>
          <w:bCs w:val="1"/>
          <w:i w:val="1"/>
          <w:iCs w:val="1"/>
          <w:color w:val="auto"/>
        </w:rPr>
      </w:pPr>
    </w:p>
    <w:p>
      <w:pPr>
        <w:jc w:val="both"/>
        <w:ind w:left="660" w:hanging="328"/>
        <w:spacing w:after="0" w:line="275" w:lineRule="auto"/>
        <w:tabs>
          <w:tab w:leader="none" w:pos="655" w:val="left"/>
        </w:tabs>
        <w:numPr>
          <w:ilvl w:val="0"/>
          <w:numId w:val="1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Tax Matters Agreement. </w:t>
      </w:r>
      <w:r>
        <w:rPr>
          <w:rFonts w:ascii="Arial" w:cs="Arial" w:eastAsia="Arial" w:hAnsi="Arial"/>
          <w:sz w:val="17"/>
          <w:szCs w:val="17"/>
          <w:color w:val="auto"/>
        </w:rPr>
        <w:t>We have entered into a tax matters agreement (the “Tax Matters Agreement”), which addresses matters relating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payment of taxes and entitlement to tax refunds by Caesars, CEOC, the Operating Partnership and us, and allocates certain liabilities, including providing for certain covenants and indemnities, relating to the payment of such taxes, receipt of such refunds, and preparation of tax returns relating thereto. In general, the Tax Matters Agreement provides for the preparation and filing by Caesars of tax returns relating to CEOC and for the preparation and filing by us of tax returns relating to us and our operations. Under the Tax Matters Agreement, Caesars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660" w:right="20"/>
        <w:spacing w:after="0" w:line="308" w:lineRule="auto"/>
        <w:rPr>
          <w:sz w:val="20"/>
          <w:szCs w:val="20"/>
          <w:color w:val="auto"/>
        </w:rPr>
      </w:pPr>
      <w:r>
        <w:rPr>
          <w:rFonts w:ascii="Arial" w:cs="Arial" w:eastAsia="Arial" w:hAnsi="Arial"/>
          <w:sz w:val="17"/>
          <w:szCs w:val="17"/>
          <w:color w:val="auto"/>
        </w:rPr>
        <w:t>has agreed to indemnify us for any taxes allocated to CEOC that we are required to pay pursuant to our tax returns and we have agreed to indemnify Caesars for any taxes allocated to us that Caesars or CEOC is required to pay pursuant to a Caesars or CEOC tax return.</w:t>
      </w:r>
    </w:p>
    <w:p>
      <w:pPr>
        <w:spacing w:after="0" w:line="9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Under the Tax Matters Agreement, Caesars has agreed to indemnify us for taxes attributable to acts or omissions taken by Caesars and we have agreed to indemnify Caesars for taxes attributable to our acts or omissions, in each case that cause a failure of the transactions entered into as part of the Plan of Reorganization (as defined to qualify as tax-free under the code).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compete for real property investments with other REITs, gaming companies, investment companies, private equity firms, hedge funds, sovereign funds, lenders and other private investors. In addition, revenues from our properties are dependent on the ability of our tenants and operators to compete with other gaming operators. The operators of our properties compete on a local, regional, national and international basis for customers. The gaming industry is characterized by a high degree of competition among a large number of participants, including riverboat casinos, dockside casinos, land-based casinos, video lottery, sweepstakes and poker machines not located in casinos, Native American gaming, emerging varieties of Internet gaming, sports betting and other forms of gaming in the United States.</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landlord, we compete in the real estate market with numerous developers, owners and acquirors of properties. Some of our competitors may be significantly larger, have greater financial resources and lower costs of capital than we have, have greater economies of scale and have greater name recognition than we do. Increased competition will make it more challenging to identify and successfully capitalize on acquisition opportunities that meet our investment objectives. Our ability to compete is also impacted by national and local economic trends, including regional or localized impacts of the COVID-19 pandemic, availability of investment alternatives, availability and cost of capital, construction and renovation costs, existing laws and regulations, new legislation and population trends.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December 31, 2021, we employed approximately 152 employees, 105 of which are full-time. Of our total employees, 18 are employed at our Operating Partnership in support of our primary business as a triple-net lease REIT and are primarily located at our corporate headquarters in New York, New York. Our remaining 134 employees are employed at our TRS, VICI Golf, in support of our owned and operated golf courses. Our VICI Golf employees are located across our four golf course locations in Laconia, Indiana; Saucier, Mississippi; Henderson, Nevada; and Boulder City, Nevada.</w:t>
      </w:r>
    </w:p>
    <w:p>
      <w:pPr>
        <w:spacing w:after="0" w:line="103" w:lineRule="exact"/>
        <w:rPr>
          <w:sz w:val="20"/>
          <w:szCs w:val="20"/>
          <w:color w:val="auto"/>
        </w:rPr>
      </w:pPr>
    </w:p>
    <w:p>
      <w:pPr>
        <w:jc w:val="both"/>
        <w:ind w:left="660" w:hanging="328"/>
        <w:spacing w:after="0" w:line="255" w:lineRule="auto"/>
        <w:tabs>
          <w:tab w:leader="none" w:pos="655" w:val="left"/>
        </w:tabs>
        <w:numPr>
          <w:ilvl w:val="0"/>
          <w:numId w:val="20"/>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Corporate Culture and Engagement. </w:t>
      </w:r>
      <w:r>
        <w:rPr>
          <w:rFonts w:ascii="Arial" w:cs="Arial" w:eastAsia="Arial" w:hAnsi="Arial"/>
          <w:sz w:val="18"/>
          <w:szCs w:val="18"/>
          <w:color w:val="auto"/>
        </w:rPr>
        <w:t>We are committed to creating and sustaining a positive work environment and corporate culture that fosters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diversity and inclusion, and employee engagement, through the instillation of our core values, as well as competitive benefit programs, training and internal development opportunities, tuition reimbursement, and community service events. To assist in fulfilling that commitment, we measure our organizational culture, degree of inclusion and employee engagement through, among other things, an annual, independent third-party employee satisfaction survey, which provides management with insights regarding key issues and priorities to maintain and improve the health, well-being and satisfaction of our employees.</w:t>
      </w:r>
    </w:p>
    <w:p>
      <w:pPr>
        <w:spacing w:after="0" w:line="134" w:lineRule="exact"/>
        <w:rPr>
          <w:rFonts w:ascii="Arial" w:cs="Arial" w:eastAsia="Arial" w:hAnsi="Arial"/>
          <w:sz w:val="18"/>
          <w:szCs w:val="18"/>
          <w:i w:val="1"/>
          <w:iCs w:val="1"/>
          <w:color w:val="auto"/>
        </w:rPr>
      </w:pPr>
    </w:p>
    <w:p>
      <w:pPr>
        <w:jc w:val="both"/>
        <w:ind w:left="660" w:hanging="328"/>
        <w:spacing w:after="0" w:line="289"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b w:val="1"/>
          <w:bCs w:val="1"/>
          <w:i w:val="1"/>
          <w:iCs w:val="1"/>
          <w:color w:val="auto"/>
        </w:rPr>
        <w:t>Board Oversight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management reports to the board of directors on a regular basis to periodically review our human capital management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programs, including those relating to our diversity and inclusion efforts (led by our Diversity and Inclusion Task Force formed in 2020), employee compensation and benefits, and related matters, such as training and recruiting, retention and hiring practices.</w:t>
      </w:r>
    </w:p>
    <w:p>
      <w:pPr>
        <w:spacing w:after="0" w:line="107" w:lineRule="exact"/>
        <w:rPr>
          <w:rFonts w:ascii="Arial" w:cs="Arial" w:eastAsia="Arial" w:hAnsi="Arial"/>
          <w:sz w:val="17"/>
          <w:szCs w:val="17"/>
          <w:color w:val="auto"/>
        </w:rPr>
      </w:pPr>
    </w:p>
    <w:p>
      <w:pPr>
        <w:jc w:val="both"/>
        <w:ind w:left="660" w:hanging="328"/>
        <w:spacing w:after="0" w:line="311" w:lineRule="auto"/>
        <w:tabs>
          <w:tab w:leader="none" w:pos="655" w:val="left"/>
        </w:tabs>
        <w:numPr>
          <w:ilvl w:val="0"/>
          <w:numId w:val="20"/>
        </w:numPr>
        <w:rPr>
          <w:rFonts w:ascii="Arial" w:cs="Arial" w:eastAsia="Arial" w:hAnsi="Arial"/>
          <w:sz w:val="16"/>
          <w:szCs w:val="16"/>
          <w:color w:val="auto"/>
        </w:rPr>
      </w:pPr>
      <w:r>
        <w:rPr>
          <w:rFonts w:ascii="Arial" w:cs="Arial" w:eastAsia="Arial" w:hAnsi="Arial"/>
          <w:sz w:val="16"/>
          <w:szCs w:val="16"/>
          <w:b w:val="1"/>
          <w:bCs w:val="1"/>
          <w:i w:val="1"/>
          <w:iCs w:val="1"/>
          <w:color w:val="auto"/>
        </w:rPr>
        <w:t>Diversity</w:t>
      </w:r>
      <w:r>
        <w:rPr>
          <w:rFonts w:ascii="Arial" w:cs="Arial" w:eastAsia="Arial" w:hAnsi="Arial"/>
          <w:sz w:val="16"/>
          <w:szCs w:val="16"/>
          <w:color w:val="auto"/>
        </w:rPr>
        <w:t>. As of December 31, 2021, 43% of our directors (and 50% of our independent directors), 50% of our board of director leaders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(comprised of the Chairs of the board of directors and each committee), 50% of our corporate employees and 25% of our executive officers were female. In addition, 14% of our directors and 39% of our corporate employees identified as a member of an ethnic and/or racial minority group.</w:t>
      </w:r>
    </w:p>
    <w:p>
      <w:pPr>
        <w:spacing w:after="0" w:line="94" w:lineRule="exact"/>
        <w:rPr>
          <w:rFonts w:ascii="Arial" w:cs="Arial" w:eastAsia="Arial" w:hAnsi="Arial"/>
          <w:sz w:val="16"/>
          <w:szCs w:val="16"/>
          <w:color w:val="auto"/>
        </w:rPr>
      </w:pPr>
    </w:p>
    <w:p>
      <w:pPr>
        <w:jc w:val="both"/>
        <w:ind w:left="660" w:hanging="328"/>
        <w:spacing w:after="0" w:line="273"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Compensation and Benefits. </w:t>
      </w:r>
      <w:r>
        <w:rPr>
          <w:rFonts w:ascii="Arial" w:cs="Arial" w:eastAsia="Arial" w:hAnsi="Arial"/>
          <w:sz w:val="17"/>
          <w:szCs w:val="17"/>
          <w:color w:val="auto"/>
        </w:rPr>
        <w:t>We offer a comprehensive employee benefits package, including a 401(k) plan, medical, dental and vision insurance,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disability insurance, life insurance, paid maternity/paternity leave for birth and foster/adoption placements, and access to an employee assistance program. We continually evaluate existing benefits and explore additional or new benefits to be responsive to our employee feedback and meaningfully enhance employee benefits. For example, acting on recommendations provided by our Diversity and Inclusion Task Force, we implemented certain expanded benefits to our corporate team in January 2022, including an enhanced paid-time off policy, a parenthood pursuit program, expanded parental leave, and supplemental individual disability insurance.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660" w:hanging="328"/>
        <w:spacing w:after="0" w:line="293" w:lineRule="auto"/>
        <w:tabs>
          <w:tab w:leader="none" w:pos="655" w:val="left"/>
        </w:tabs>
        <w:numPr>
          <w:ilvl w:val="0"/>
          <w:numId w:val="2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Education, Training and Development. </w:t>
      </w:r>
      <w:r>
        <w:rPr>
          <w:rFonts w:ascii="Arial" w:cs="Arial" w:eastAsia="Arial" w:hAnsi="Arial"/>
          <w:sz w:val="16"/>
          <w:szCs w:val="16"/>
          <w:color w:val="auto"/>
        </w:rPr>
        <w:t>We invest in employee education, training and development by conducting regular training programs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educate and advance our employees’ understanding of concepts relevant to our business, as well as with respect to issues such as diversity and harassment and other matters outlined in our Code of Business Conduct. In order to support our commitment to maintaining a diverse and inclusive workplace, in 2021, we augmented our training program to include ongoing workshops focused on diversity, inclusion, implicit/unconscious bias and related topics. We also encourage our employees to pursue professional development through external education and certifications through a broadly applicable and flexible tuition reimbursement policy, as well as a similar professional development program.</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 and Licensing</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ownership, operation and management of gaming and racing facilities are subject to pervasive regulation. Each of our gaming and racing facilities is subject to regulation under the laws, rules, and regulations of the jurisdiction in which it is located. Gaming laws and regulations generally require gaming industry participants to:</w:t>
      </w:r>
    </w:p>
    <w:p>
      <w:pPr>
        <w:spacing w:after="0" w:line="13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ensure that unsuitable individuals and organizations have no role in gaming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and maintain responsible accounting practices and procedures;</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effective controls over their financial practices, including establishment of minimum procedures for internal fiscal affairs and the safeguarding of assets and revenues;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systems for reliable record keeping;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file periodic reports with gaming regulators;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ensure that contracts and financial transactions are commercially reasonable, reflect fair market value and are arm’s length transactions.</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Gaming laws and regulations primarily impact our business in two respects: (1) our ownership of land and buildings in which gaming activities are operated by our tenants; and (2) the operations of our tenants as operators in the gaming industry. Further, many gaming and racing regulatory agencies in the jurisdictions in which our tenants operate require us and our affiliates to apply for and maintain a license as a key business entity or supplier because of our status as landlord.</w:t>
      </w:r>
    </w:p>
    <w:p>
      <w:pPr>
        <w:spacing w:after="0" w:line="13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business and the businesses of our tenants are also subject to various federal, state and local laws and regulations in addition to gaming regulations. These laws and regulations include, but are not limited to, restrictions and conditions concerning alcoholic beverages, environmental matters, labor and employees, anti-discrimination, health care, currency transactions, taxation, zoning and building codes and marketing and advertising. Such laws and regulations could change or could be interpreted differently in the future, or new laws and regulations could be enacted. Material changes, new laws or regulations, or material differences in interpretations by courts or governmental authorities could adversely affect our operating results.</w:t>
      </w:r>
    </w:p>
    <w:p>
      <w:pPr>
        <w:spacing w:after="0" w:line="161" w:lineRule="exact"/>
        <w:rPr>
          <w:sz w:val="20"/>
          <w:szCs w:val="20"/>
          <w:color w:val="auto"/>
        </w:rPr>
      </w:pPr>
    </w:p>
    <w:p>
      <w:pPr>
        <w:jc w:val="both"/>
        <w:ind w:left="660" w:hanging="328"/>
        <w:spacing w:after="0" w:line="271" w:lineRule="auto"/>
        <w:tabs>
          <w:tab w:leader="none" w:pos="655"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Violations of Gaming Laws. </w:t>
      </w:r>
      <w:r>
        <w:rPr>
          <w:rFonts w:ascii="Arial" w:cs="Arial" w:eastAsia="Arial" w:hAnsi="Arial"/>
          <w:sz w:val="17"/>
          <w:szCs w:val="17"/>
          <w:color w:val="auto"/>
        </w:rPr>
        <w:t>If we, our subsidiaries or the tenants of our properties violate applicable gaming laws, our gaming licenses could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limited, conditioned, suspended or revoked by gaming authorities, and we and any other persons involved could be subject to substantial fines. Further, a supervisor or conservator can be appointed by gaming authorities to operate our gaming properties, or in some jurisdictions, take title to our gaming assets in the jurisdiction, and under certain circumstances, earnings generated during such appointment could be forfeited to the applicable jurisdictions. Violations of laws in one jurisdiction could result in disciplinary action in other jurisdictions. Finally, the loss of our gaming licenses could result in an event of default under certain of our indebtedness, and cross-default provisions in our debt agreements could cause an event of default under one debt agreement to trigger an event of default under our other debt agreements. As a result, violations by us of applicable gaming laws could have a material adverse effect on us.</w:t>
      </w:r>
    </w:p>
    <w:p>
      <w:pPr>
        <w:spacing w:after="0" w:line="174" w:lineRule="exact"/>
        <w:rPr>
          <w:rFonts w:ascii="Arial" w:cs="Arial" w:eastAsia="Arial" w:hAnsi="Arial"/>
          <w:sz w:val="17"/>
          <w:szCs w:val="17"/>
          <w:b w:val="1"/>
          <w:bCs w:val="1"/>
          <w:color w:val="auto"/>
        </w:rPr>
      </w:pPr>
    </w:p>
    <w:p>
      <w:pPr>
        <w:jc w:val="both"/>
        <w:ind w:left="660" w:hanging="328"/>
        <w:spacing w:after="0" w:line="256" w:lineRule="auto"/>
        <w:tabs>
          <w:tab w:leader="none" w:pos="655"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Review and Approval of Transactions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Substantially all material loans, leases, sales of securities and similar financing transactions by us and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must be reported to and, in some cases, approved by gaming authorities. Neither we nor any of our subsidiaries may make a public offering of securities without the prior approval of certain gaming authorities. Changes in control through merger, consolidation, stock or asset acquisitions, management or consulting agreements, or otherwise are subject to receipt of prior approval of gaming authorities. Entities seeking to acquire control of us or one of our subsidiaries must satisfy gaming authorities with respect to a variety of stringent standards prior to assuming control.</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properties are subject to environmental laws regulating, among other things, air emissions, wastewater discharges and the handling and disposal of wastes, including medical wastes. Certain of the properties we own utilize above or underground storage tanks to store heating oil for use at the properties. Other properties were built during the time that asbestos-containing building materials were routinely installed in residential and commercial structures. The Lease Agreements generally obligate our tenants to comply with applicable environmental laws and to indemnify us if their noncompliance results in losses or claims against us, and we expect that any future leases will include the same provisions for other operators. A tenant’s failure to comply could result in fines and penalties or the requirement to undertake corrective actions which may result in significant costs to the operator and thus adversely affect their ability to meet their obligations to us.</w:t>
      </w:r>
    </w:p>
    <w:p>
      <w:pPr>
        <w:spacing w:after="0" w:line="14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Pursuant to federal, state and local environmental laws and regulations, a current or previous owner or operator of real property may be required to investigate, remove and/or remediate a release of hazardous substances or other regulated materials at, or emanating from, such property. Further, under certain circumstances, such owners or operators of real property may be held liable for property damage, personal injury and/or natural resource damage resulting from or arising in connection with such releases. Certain of these laws have been interpreted to be joint and several unless the harm is divisible and there is a reasonable basis for allocation of responsibility. We also may be liable under certain of these laws for damage that occurred prior to our ownership of a property or at a site where we sent wastes for disposal. The failure to properly remediate a property may also adversely affect our ability to lease, sell or rent the property or to borrow funds using the property as collateral.</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ownership of our current properties, our properties to be acquired subject to pending transactions, and any properties that we may acquire in the future, we could be legally responsible for environmental liabilities or costs relating to a release of hazardous substances or other regulated materials at or emanating from such property. We are not aware of any environmental issues that are expected to have a material impact on the operations of any of our properties.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Sustainability</w:t>
      </w:r>
    </w:p>
    <w:p>
      <w:pPr>
        <w:spacing w:after="0" w:line="17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continue to focus on developing our efforts relative to implementing and reporting on environmental sustainability efforts at our properties. We have implemented and continue to pursue tenant engagement initiatives designed to assist us in understanding the environmental impact of our leased properties and to gather environmental sustainability data in order to monitor sustainability metrics throughout our leased property portfolio. Our existing leased properties are leased pursuant to long-term triple-net leases, which provide our tenants with complete control over operations at our leased properties, including over the implementation of environmental sustainability initiatives consistent with their business strategies and revenue objectives, and generally do not permit us to require the collection or reporting of environmental sustainability data (subject to relevant provisions in certain of our more recent leases and lease amendments). Although not contractually required, certain of our tenants report to us on LEED certification, water and energy use, emissions and waste diversion. In addition, we have implemented recording and reporting protocols at our owned and operated golf courses through a third-party service provider to facilitate the monitoring of utility data at our owned and operated golf courses in order to more fully understand the environmental impact of our operations, key drivers and trends with respect to utility usage at each of our courses. Following analysis of the collected data and in consultation with our third-party sustainability advisor, we expect to have a better understanding of our performance which will help inform our ability to set meaningful performance and improvement targets in future years. We are committed to the improvement of environmental conditions through our business activities within the scope of our capabilities, and we periodically engage with key stakeholders with regard to environmental sustainability priorities, among other things.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Most of the properties within our portfolio are currently operated and promoted under trademarks and brand names not owned by us, including Caesars Palace, Harrah’s, Harvey’s, Horseshoe, Greektown, JACK, Hard Rock, Century, and Mountaineer. In addition, properties that we may acquire in the future may be operated and promoted under these same trademarks and brand names, or under different trademarks and brand names we do not, or will not, own. During the term that our properties are managed by Caesars, Penn National, Seminole Hard Rock, Century Casinos, JACK Entertainment, EBCI and Venetian Tenant, we are reliant on these parties to maintain and protect the trademarks, brand names and other licensed intellectual property used in the operation or promotion of the leased properties. Operation of the leased properties, as well as our business and financial condition, could be adversely impacted by infringement, invalidation, unauthorized use or litigation affecting any such intellectual property. In addition, if any of our properties are rebranded, it could have a material adverse effect on us, as we may not enjoy comparable recognition or status under a new brand.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Policies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investment objectives are to increase cash flow from operations, achieve sustainable long-term growth and maximize stockholder value to allow for stable dividends and stock appreciation. We have not established a specific policy regarding the relative priority of these investment objectives. Our future investment activities will not be limited to any geographic area or to a specific percentage of our assets. We intend to engage in such future investment activities in a manner that is consistent with our qualification as a REIT for U.S. federal income tax purposes.</w:t>
      </w:r>
    </w:p>
    <w:p>
      <w:pPr>
        <w:spacing w:after="0" w:line="117" w:lineRule="exact"/>
        <w:rPr>
          <w:sz w:val="20"/>
          <w:szCs w:val="20"/>
          <w:color w:val="auto"/>
        </w:rPr>
      </w:pPr>
    </w:p>
    <w:p>
      <w:pPr>
        <w:jc w:val="both"/>
        <w:ind w:left="660" w:hanging="328"/>
        <w:spacing w:after="0" w:line="273" w:lineRule="auto"/>
        <w:tabs>
          <w:tab w:leader="none" w:pos="655" w:val="left"/>
        </w:tabs>
        <w:numPr>
          <w:ilvl w:val="0"/>
          <w:numId w:val="2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Investment in Real Estate or Interests in Real Estate. </w:t>
      </w:r>
      <w:r>
        <w:rPr>
          <w:rFonts w:ascii="Arial" w:cs="Arial" w:eastAsia="Arial" w:hAnsi="Arial"/>
          <w:sz w:val="17"/>
          <w:szCs w:val="17"/>
          <w:color w:val="auto"/>
        </w:rPr>
        <w:t>Our business is focused primarily on gaming, hospitality, entertainment and leisure sector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properties and activities directly related thereto, which we refer to as “experiential assets”. We believe there are significant, ongoing opportunities to acquire or invest in additional gaming, hospitality, entertainment and leisure assets, both domestically and internationally. We do not have a specific policy to acquire assets primarily for capital gain or primarily for income. In addition, we may purchase or lease income-producing commercial and other types of properties for long-term investment, expand and improve the properties we presently own or other acquired properties, or sell such properties, in whole or in part, when circumstances warrant.</w:t>
      </w:r>
    </w:p>
    <w:p>
      <w:pPr>
        <w:spacing w:after="0" w:line="123" w:lineRule="exact"/>
        <w:rPr>
          <w:rFonts w:ascii="Arial" w:cs="Arial" w:eastAsia="Arial" w:hAnsi="Arial"/>
          <w:sz w:val="17"/>
          <w:szCs w:val="17"/>
          <w:b w:val="1"/>
          <w:bCs w:val="1"/>
          <w:i w:val="1"/>
          <w:iCs w:val="1"/>
          <w:color w:val="auto"/>
        </w:rPr>
      </w:pPr>
    </w:p>
    <w:p>
      <w:pPr>
        <w:jc w:val="both"/>
        <w:ind w:left="660"/>
        <w:spacing w:after="0" w:line="271" w:lineRule="auto"/>
        <w:rPr>
          <w:rFonts w:ascii="Arial" w:cs="Arial" w:eastAsia="Arial" w:hAnsi="Arial"/>
          <w:sz w:val="17"/>
          <w:szCs w:val="17"/>
          <w:b w:val="1"/>
          <w:bCs w:val="1"/>
          <w:i w:val="1"/>
          <w:iCs w:val="1"/>
          <w:color w:val="auto"/>
        </w:rPr>
      </w:pPr>
      <w:r>
        <w:rPr>
          <w:rFonts w:ascii="Arial" w:cs="Arial" w:eastAsia="Arial" w:hAnsi="Arial"/>
          <w:sz w:val="17"/>
          <w:szCs w:val="17"/>
          <w:color w:val="auto"/>
        </w:rPr>
        <w:t>We may participate with third parties in property ownership, through joint ventures or other types of co-ownership, and we may engage in such activities in the future if we determine that doing so would be the most effective means of owning or acquiring properties. We do not expect, however, to enter into a joint venture or other partnership arrangement to make an investment that would not otherwise meet our investment policies. We also may acquire real estate or interests in real estate in exchange for the issuance of common stock, preferred stock or options to purchase stock or interests in our subsidiaries, including our Operating Partnership. We may also pursue opportunities to provide mortgage or mezzanine financing, preferred equity investments or other forms of financing for investment in certain situations where such structure significantly replicates the economics of our leases, provides for strategic growth opportunities and/or partnerships, and may provide the potential to convert our investment into the ownership of the underlying real estate in a future period.</w:t>
      </w:r>
    </w:p>
    <w:p>
      <w:pPr>
        <w:spacing w:after="0" w:line="124" w:lineRule="exact"/>
        <w:rPr>
          <w:rFonts w:ascii="Arial" w:cs="Arial" w:eastAsia="Arial" w:hAnsi="Arial"/>
          <w:sz w:val="17"/>
          <w:szCs w:val="17"/>
          <w:b w:val="1"/>
          <w:bCs w:val="1"/>
          <w:i w:val="1"/>
          <w:iCs w:val="1"/>
          <w:color w:val="auto"/>
        </w:rPr>
      </w:pPr>
    </w:p>
    <w:p>
      <w:pPr>
        <w:jc w:val="both"/>
        <w:ind w:left="660"/>
        <w:spacing w:after="0" w:line="259" w:lineRule="auto"/>
        <w:rPr>
          <w:rFonts w:ascii="Arial" w:cs="Arial" w:eastAsia="Arial" w:hAnsi="Arial"/>
          <w:sz w:val="17"/>
          <w:szCs w:val="17"/>
          <w:b w:val="1"/>
          <w:bCs w:val="1"/>
          <w:i w:val="1"/>
          <w:iCs w:val="1"/>
          <w:color w:val="auto"/>
        </w:rPr>
      </w:pPr>
      <w:r>
        <w:rPr>
          <w:rFonts w:ascii="Arial" w:cs="Arial" w:eastAsia="Arial" w:hAnsi="Arial"/>
          <w:sz w:val="18"/>
          <w:szCs w:val="18"/>
          <w:color w:val="auto"/>
        </w:rPr>
        <w:t>Equity investments in acquired properties may be subject to existing mortgage financing and other indebtedness or to new indebtedness which may be incurred in connection with acquiring or refinancing these investments. Principal and interest on our debt will have a priority over any dividends with respect to our common stock. Investments are also subject to our policy not to be required to register as an investment company under the Investment Company Act of 1940, as amended.</w:t>
      </w:r>
    </w:p>
    <w:p>
      <w:pPr>
        <w:spacing w:after="0" w:line="132" w:lineRule="exact"/>
        <w:rPr>
          <w:rFonts w:ascii="Arial" w:cs="Arial" w:eastAsia="Arial" w:hAnsi="Arial"/>
          <w:sz w:val="17"/>
          <w:szCs w:val="17"/>
          <w:b w:val="1"/>
          <w:bCs w:val="1"/>
          <w:i w:val="1"/>
          <w:iCs w:val="1"/>
          <w:color w:val="auto"/>
        </w:rPr>
      </w:pPr>
    </w:p>
    <w:p>
      <w:pPr>
        <w:jc w:val="both"/>
        <w:ind w:left="660" w:hanging="328"/>
        <w:spacing w:after="0" w:line="271" w:lineRule="auto"/>
        <w:tabs>
          <w:tab w:leader="none" w:pos="655" w:val="left"/>
        </w:tabs>
        <w:numPr>
          <w:ilvl w:val="0"/>
          <w:numId w:val="2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Investments in Real Estate Debt. </w:t>
      </w:r>
      <w:r>
        <w:rPr>
          <w:rFonts w:ascii="Arial" w:cs="Arial" w:eastAsia="Arial" w:hAnsi="Arial"/>
          <w:sz w:val="17"/>
          <w:szCs w:val="17"/>
          <w:color w:val="auto"/>
        </w:rPr>
        <w:t>We have made, and may continue to make, investments in mortgages or other forms of real estate-related debt,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without limitation, traditional mortgages, participating or convertible mortgages, mezzanine loans or preferred equity investments; provided, in each case, that such investment is consistent with our qualification as a REIT. These investments are generally made for strategic purposes including (i) the potential to convert our investment into the ownership of the underlying real estate in a future period, (ii) the opportunity to develop relationships with owners and operators that may lead to other investments and (iii) the ability to make initial investments in experiential asset classes outside of gaming with the goal of increasing our investment activity in these asset classes over time. Investments in real estate-related debt run the risk that a borrower may default under certain provisions governing the debt investment and that the collateral securing the investment may not be sufficient to enable us to recover our full investment.</w:t>
      </w:r>
    </w:p>
    <w:p>
      <w:pPr>
        <w:spacing w:after="0" w:line="124" w:lineRule="exact"/>
        <w:rPr>
          <w:rFonts w:ascii="Arial" w:cs="Arial" w:eastAsia="Arial" w:hAnsi="Arial"/>
          <w:sz w:val="17"/>
          <w:szCs w:val="17"/>
          <w:b w:val="1"/>
          <w:bCs w:val="1"/>
          <w:i w:val="1"/>
          <w:iCs w:val="1"/>
          <w:color w:val="auto"/>
        </w:rPr>
      </w:pPr>
    </w:p>
    <w:p>
      <w:pPr>
        <w:jc w:val="both"/>
        <w:ind w:left="660" w:hanging="328"/>
        <w:spacing w:after="0" w:line="290" w:lineRule="auto"/>
        <w:tabs>
          <w:tab w:leader="none" w:pos="655" w:val="left"/>
        </w:tabs>
        <w:numPr>
          <w:ilvl w:val="0"/>
          <w:numId w:val="2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Securities of or Interests in Persons Primarily Engaged in Real Estate Activities and Other Issuers. </w:t>
      </w:r>
      <w:r>
        <w:rPr>
          <w:rFonts w:ascii="Arial" w:cs="Arial" w:eastAsia="Arial" w:hAnsi="Arial"/>
          <w:sz w:val="16"/>
          <w:szCs w:val="16"/>
          <w:color w:val="auto"/>
        </w:rPr>
        <w:t>We may invest in securities of other REITs,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entities engaged in real estate activities or securities of other issuers, including for the purpose of exercising control over such entities, subject to the asset tests and gross income tests necessary for REIT qualification. We do not currently have any policy limiting the types of entities in which we may invest or the proportion of assets to be so invested, whether through acquisition of an entity’s common stock, limited liability or partnership interests, interests in another REIT or entry into a joint venture. We have no current plans to make additional investments in entities that are not engaged in real estate activities. Our investment objectives are to maximize the cash flow of our investments, acquire investments with growth potential and provide cash distributions and long-term capital appreciation to our stockholders through increases in the value of our company. We have not established a specific policy regarding the relative priority of these investment objectives.</w:t>
      </w:r>
    </w:p>
    <w:p>
      <w:pPr>
        <w:spacing w:after="0" w:line="111" w:lineRule="exact"/>
        <w:rPr>
          <w:rFonts w:ascii="Arial" w:cs="Arial" w:eastAsia="Arial" w:hAnsi="Arial"/>
          <w:sz w:val="16"/>
          <w:szCs w:val="16"/>
          <w:b w:val="1"/>
          <w:bCs w:val="1"/>
          <w:i w:val="1"/>
          <w:iCs w:val="1"/>
          <w:color w:val="auto"/>
        </w:rPr>
      </w:pPr>
    </w:p>
    <w:p>
      <w:pPr>
        <w:jc w:val="both"/>
        <w:ind w:left="660" w:hanging="328"/>
        <w:spacing w:after="0" w:line="286" w:lineRule="auto"/>
        <w:tabs>
          <w:tab w:leader="none" w:pos="655" w:val="left"/>
        </w:tabs>
        <w:numPr>
          <w:ilvl w:val="0"/>
          <w:numId w:val="2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Investments in Short-term Commercial Paper and Discount Notes. </w:t>
      </w:r>
      <w:r>
        <w:rPr>
          <w:rFonts w:ascii="Arial" w:cs="Arial" w:eastAsia="Arial" w:hAnsi="Arial"/>
          <w:sz w:val="17"/>
          <w:szCs w:val="17"/>
          <w:color w:val="auto"/>
        </w:rPr>
        <w:t>We may invest our excess cash in short-term investment grade commercial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paper as well as discount notes issued by government-sponsored enterprises, including the Federal Home Loan Mortgage Corporation and certain of the Federal Home Loan Banks. These investments generally have original maturities between 91 and 180 days.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Policies</w:t>
      </w:r>
    </w:p>
    <w:p>
      <w:pPr>
        <w:spacing w:after="0" w:line="17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expect to employ leverage in our capital structure in amounts that we determine appropriate from time to time. Our board of directors has not adopted a policy that limits the total amount of indebtedness that we may incur, but will consider a number of factors in evaluating our level of indebtedness from time to time, as well as the amount of such indebtedness that will be either fixed or variable rate. We are, however, and expect to continue to be, subject to certain indebtedness limitations pursuant to the restrictive covenants of our outstanding indebtedness. We may from time to time modify our debt policy in light of then-current economic conditions, relative availability and costs of debt and equity capital, market values of our properties, general market conditions for debt and equity securities, fluctuations in the market price of our shares of common stock, growth and acquisition opportunities and other factors. If these limits are relaxed, we could potentially become more highly leveraged, resulting in an increased risk of default on our obligations and a related increase in debt service requirements that could adversely affect our financial condition, liquidity and results of operations and our ability to make distributions to our stockholders. To the extent that our board of directors or management determines that it is necessary to raise additional capital, we may, without stockholder approval, borrow money under our Revolving Credit Facility, issue debt or equity securities, including securities senior to our shares, retain earnings (subject to the REIT distribution requirements for U.S. federal income tax purposes), assume indebtedness, obtain mortgage financing on a portion of our owned properties, engage in a joint venture, or employ a combination of these methods.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were initially organized as a limited liability company in the State of Delaware on July 5, 2016 as a wholly owned subsidiary of CEOC. On May 5, 2017, we subsequently converted to a corporation under the laws of the State of Maryland and issued shares of common stock to CEOC as part of our formation transactions, which shares were subsequently transferred by CEOC to its creditors as part of the Third Amended Joint Plan of Reorganization of Caesars Entertainment Operating Company, Inc. et. al. (the “Plan of Reorganization”) confirmed by the United States Bankruptcy Court for the Northern District of Illinois (Chicago) on January 17, 2017.</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principal executive offices are located at 535 Madison Avenue, 20th Floor, New York, New York 10022 and our main telephone number at that location is (646) 949-4631. Our website address is www.viciproperties.com. None of the information on, or accessible through, our website or any other website identified herein is incorporated in, or constitutes a part of, this Annual Report on Form 10-K. Our electronic filings with the SEC (including annual reports on Form 10-K, quarterly reports on Form 10-Q, and current reports on Form 8-K, and any amendments to these reports), including the exhibits, are available free of charge through our website as soon as reasonably practicable after we electronically file them with or furnish them to the SEC.</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statements in this Annual Report on Form 10-K, including statements such as “anticipate,” “believe,” “estimate,” “expect,” “intend,” “plan,” “project,” “target,” “can,” “could,” “may,” “should,” “will,” “would” or similar expressions, constitute “forward-looking statements” within the meaning of the federal securities law. Forward-looking statements are based on our current plans, expectations and projections about future events. We therefore caution you against relying on any of these forward-looking statements. They give our expectations about the future and are not guarantees. These statements involve known and unknown risks, uncertainties and other factors that may cause our actual results, performance and achievements to materially differ from any future results, performance and achievements expressed in or implied by such forward-looking statements.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Currently, one of the most significant factors that could cause actual outcomes to differ materially from our forward-looking statements is the impact of the COVID-19 pandemic on our and our tenants’ financial condition, results of operations, cash flows and performance. The extent to which the COVID-19 pandemic continues to adversely affect our tenants, and ultimately impacts our business and financial condition, depends on future developments which cannot be predicted with confidence, including:</w:t>
      </w:r>
    </w:p>
    <w:p>
      <w:pPr>
        <w:spacing w:after="0" w:line="133" w:lineRule="exact"/>
        <w:rPr>
          <w:sz w:val="20"/>
          <w:szCs w:val="20"/>
          <w:color w:val="auto"/>
        </w:rPr>
      </w:pPr>
    </w:p>
    <w:p>
      <w:pPr>
        <w:ind w:left="660" w:hanging="328"/>
        <w:spacing w:after="0" w:line="298" w:lineRule="auto"/>
        <w:tabs>
          <w:tab w:leader="none" w:pos="6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impact of the actions taken to contain the pandemic or mitigate its impact, including the availability, distribution, public acceptance and efficacy of approved vaccines, new or mutated variants of COVID-19 (including vaccine-resistant variants) or a similar virus;</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direct and indirect economic effects of the pandemic and containment measures on our tenants;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of our tenants to successfully operate their businesses, including the costs of complying with regulatory requirements necessary to keep their respective facilities open, such as reduced capacity requirements;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need to close any of the facilities as a result of the COVID-19 pandemic; and</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effects of the negotiated capital expenditure reductions and other amendments to the Lease Agreements that we agreed to with certain tenants in response to the COVID-19 pandemic.</w:t>
      </w:r>
    </w:p>
    <w:p>
      <w:pPr>
        <w:spacing w:after="0" w:line="116" w:lineRule="exact"/>
        <w:rPr>
          <w:sz w:val="20"/>
          <w:szCs w:val="20"/>
          <w:color w:val="auto"/>
        </w:rPr>
      </w:pPr>
    </w:p>
    <w:p>
      <w:pPr>
        <w:jc w:val="both"/>
        <w:spacing w:after="0" w:line="259" w:lineRule="auto"/>
        <w:rPr>
          <w:rFonts w:ascii="Arial" w:cs="Arial" w:eastAsia="Arial" w:hAnsi="Arial"/>
          <w:sz w:val="18"/>
          <w:szCs w:val="18"/>
          <w:color w:val="auto"/>
        </w:rPr>
      </w:pPr>
      <w:r>
        <w:rPr>
          <w:rFonts w:ascii="Arial" w:cs="Arial" w:eastAsia="Arial" w:hAnsi="Arial"/>
          <w:sz w:val="18"/>
          <w:szCs w:val="18"/>
          <w:color w:val="auto"/>
        </w:rPr>
        <w:t>Each of the foregoing could have a material adverse effect on our tenants’ ability to satisfy their obligations under their Lease Agreements with us, including their continued ability to pay rent in a timely manner, or at all, and/or to fund capital expenditures or make other payments required under their leases. Investors are cautioned to interpret many of the risks identified under the section entitled “</w:t>
      </w:r>
      <w:hyperlink w:anchor="page25">
        <w:r>
          <w:rPr>
            <w:rFonts w:ascii="Arial" w:cs="Arial" w:eastAsia="Arial" w:hAnsi="Arial"/>
            <w:sz w:val="18"/>
            <w:szCs w:val="18"/>
            <w:u w:val="single" w:color="auto"/>
            <w:color w:val="0000FF"/>
          </w:rPr>
          <w:t>Risk Factors</w:t>
        </w:r>
      </w:hyperlink>
      <w:r>
        <w:rPr>
          <w:rFonts w:ascii="Arial" w:cs="Arial" w:eastAsia="Arial" w:hAnsi="Arial"/>
          <w:sz w:val="18"/>
          <w:szCs w:val="18"/>
          <w:color w:val="auto"/>
        </w:rPr>
        <w:t>” in this Annual Report on Form 10-K as being heightened as a result of the ongoing and numerous adverse impacts of the COVID-19 pandemic.</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forward-looking statements included herein are based upon our current expectations, plans, estimates, assumptions and beliefs that involve numerous risks and uncertainties. Assumptions relating to the foregoing involve judgments with respect to, among other things, future economic, competitive and market conditions and future business decisions, all of which are difficult or impossible to predict accurately and many of which are beyond our control. Although we believe that the expectations reflected in such forward-looking statements are based on reasonable assumptions, our actual results, performance and achievements could differ materially from those set forth in the forward-looking statements and may be affected by a variety of risks and other factors, including, among others:</w:t>
      </w:r>
    </w:p>
    <w:p>
      <w:pPr>
        <w:spacing w:after="0" w:line="138" w:lineRule="exact"/>
        <w:rPr>
          <w:sz w:val="20"/>
          <w:szCs w:val="20"/>
          <w:color w:val="auto"/>
        </w:rPr>
      </w:pPr>
    </w:p>
    <w:p>
      <w:pPr>
        <w:ind w:left="660" w:hanging="328"/>
        <w:spacing w:after="0" w:line="298" w:lineRule="auto"/>
        <w:tabs>
          <w:tab w:leader="none" w:pos="6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risks associated with the pending MGP Transactions, including our ability or failure to complete the pending MGP Transactions and to realize the anticipated benefits of the MGP Transactions, including as a result of delay in completing the pending MGP Transactions;</w:t>
      </w:r>
    </w:p>
    <w:p>
      <w:pPr>
        <w:jc w:val="both"/>
        <w:ind w:left="660" w:hanging="328"/>
        <w:spacing w:after="0" w:line="263"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of changes in general economic conditions and market developments, including rising inflation, consumer confidence, supply chain disruptions, unemployment levels and depressed real estate prices resulting from the severity and duration of any downturn in the U.S. or global economy;</w:t>
      </w:r>
    </w:p>
    <w:p>
      <w:pPr>
        <w:spacing w:after="0" w:line="21" w:lineRule="exact"/>
        <w:rPr>
          <w:rFonts w:ascii="Arial" w:cs="Arial" w:eastAsia="Arial" w:hAnsi="Arial"/>
          <w:sz w:val="18"/>
          <w:szCs w:val="18"/>
          <w:color w:val="auto"/>
        </w:rPr>
      </w:pPr>
    </w:p>
    <w:p>
      <w:pPr>
        <w:jc w:val="both"/>
        <w:ind w:left="660" w:right="20" w:hanging="328"/>
        <w:spacing w:after="0" w:line="263"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dependence on our tenants (including, following the completion of the pending MGP Transactions, MGM) as tenants of our properties and their guarantors (including, following the completion of the pending MGP Transactions, MGM) as guarantors of the lease payments and the negative consequences any material adverse effect on their respective businesses could have on us;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anticipated benefits of the Partner Property Growth Fund;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borrowers’ ability to repay their outstanding loan obligations to us;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dependence on the gaming industry;</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pursue our business and growth strategies may be limited by our substantial debt service requirements and by the requirement that we distribute 90% of our REIT taxable income in order to qualify for taxation as a REIT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that we distribute 100% of our REIT taxable income in order to avoid current entity-level U.S. federal income taxes;</w:t>
      </w:r>
    </w:p>
    <w:p>
      <w:pPr>
        <w:spacing w:after="0" w:line="63"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inability to maintain our qualification for taxation as a REIT;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extensive regulation from gaming and other regulatory authorities;</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of our tenants to obtain and maintain regulatory approvals in connection with the operation of our properties and the completion of our pending transactions on a timely basis, or at all, or the imposition of conditions to such regulatory approvals;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possibility that our tenants may choose not to renew the Lease Agreements following the initial or subsequent terms of the leases;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our ability to sell our properties subject to the Lease Agreements;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tenants and any guarantors’ historical results may not be a reliable indicator of their future results;</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substantial amount of indebtedness, including indebtedness to be assumed and incurred by us upon consummation of the pending MGP Transactions, and ability to service, refinance and otherwise fulfill our obligations under such indebtedness;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historical financial information may not be reliable indicators of our future results of operations, financial condition and cash flows;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a rise in interest rates on us;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inability to successfully pursue investments in, and acquisitions of, additional properties;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obtain the financing necessary to complete our pending acquisitions or related transactions on the terms we currently expect in a timely manner, or at all;</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possibility that our pending transactions may not be completed or that completion may be unduly delayed, and the potential adverse impact on our business, operations and stock price;</w:t>
      </w:r>
    </w:p>
    <w:p>
      <w:pPr>
        <w:spacing w:after="0" w:line="8" w:lineRule="exact"/>
        <w:rPr>
          <w:rFonts w:ascii="Arial" w:cs="Arial" w:eastAsia="Arial" w:hAnsi="Arial"/>
          <w:sz w:val="18"/>
          <w:szCs w:val="18"/>
          <w:color w:val="auto"/>
        </w:rPr>
      </w:pPr>
    </w:p>
    <w:p>
      <w:pPr>
        <w:ind w:left="660" w:hanging="328"/>
        <w:spacing w:after="0" w:line="298"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possibility that we identify significant environmental, tax, legal or other issues that materially and adversely impact the value of assets acquired or secured as collateral (or other benefits we expect to receive) in any of our pending or recently completed transactions;</w:t>
      </w:r>
    </w:p>
    <w:p>
      <w:pPr>
        <w:ind w:left="6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effects of our pending and recently completed transactions on us, including the future impact on our financial condition, financial and operating results, cash flows, strategy and plans;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changes to the U.S. federal income tax laws;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and outcome of previous and potential future litigation relating to the pending MGP Transactions, including the possibility that any adverse judgment may prevent the pending MGP Transactions from being consummated on a timely basis, or at all;</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possibility of adverse tax consequences as a result of our pending transactions; increased volatility in our stock price as a result of our pending transactions;</w:t>
      </w:r>
    </w:p>
    <w:p>
      <w:pPr>
        <w:spacing w:after="0" w:line="8"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climate change, natural disasters, war, political and public health conditions or uncertainty or civil unrest, violence or terrorist activities or threats on our properties and changes in economic conditions or heightened travel security and health measures instituted in response to these events;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loss of the services of key personnel;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attract, retain and motivate employees;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and liabilities associated with environmental compliance;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establish and maintain an effective system of integrated internal controls;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reliance on distributions received from the Operating Partnership to make distributions to our stockholders;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potential impact on the amount of our cash distributions if we were to sell any of our properties in the future;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continue to make distributions to holders of our common stock or maintain anticipated levels of distributions over time;</w:t>
      </w:r>
    </w:p>
    <w:p>
      <w:pPr>
        <w:spacing w:after="0" w:line="6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competition for transaction opportunities, including from other REITs, investment companies, private equity firms and hedge funds, sovereign funds, lenders, gaming companies and other investors that may have greater resources and access to capital and a lower cost of capital or different investment parameters than us; and</w:t>
      </w:r>
    </w:p>
    <w:p>
      <w:pPr>
        <w:spacing w:after="0" w:line="2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additional factors discussed herein and listed from time to time as “Risk Factors” in our filings with the SEC, including without limitation, in our subsequent reports on Form 10-K, Form 10-Q and Form 8-K.</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Any of the assumptions underlying forward-looking statements could be inaccurate. You are cautioned not to place undue reliance on any forward-looking statements. All forward-looking statements are made as of the date of this Annual Report 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Form 10-K and the risk that actual results, performance and achievements will differ materially from the expectations expressed herein will increase with the passage of time. Except as otherwise required by the federal securities laws, we undertake no obligation to publicly update or revise any forward-looking statements, whether as a result of new information, future events, changed circumstances or any other reason. In light of the significant uncertainties inherent in forward-looking statements, the inclusion of such forward-looking statements should not be regarded as a representation by us.</w:t>
      </w:r>
    </w:p>
    <w:p>
      <w:pPr>
        <w:spacing w:after="0" w:line="184" w:lineRule="exact"/>
        <w:rPr>
          <w:sz w:val="20"/>
          <w:szCs w:val="20"/>
          <w:color w:val="auto"/>
        </w:rPr>
      </w:pPr>
    </w:p>
    <w:p>
      <w:pPr>
        <w:ind w:left="20"/>
        <w:spacing w:after="0"/>
        <w:tabs>
          <w:tab w:leader="none" w:pos="1520" w:val="left"/>
        </w:tabs>
        <w:rPr>
          <w:sz w:val="20"/>
          <w:szCs w:val="20"/>
          <w:color w:val="auto"/>
        </w:rPr>
      </w:pPr>
      <w:r>
        <w:rPr>
          <w:rFonts w:ascii="Arial" w:cs="Arial" w:eastAsia="Arial" w:hAnsi="Arial"/>
          <w:sz w:val="22"/>
          <w:szCs w:val="22"/>
          <w:b w:val="1"/>
          <w:bCs w:val="1"/>
          <w:color w:val="auto"/>
        </w:rPr>
        <w:t>ITEM 1A.</w:t>
      </w:r>
      <w:r>
        <w:rPr>
          <w:sz w:val="20"/>
          <w:szCs w:val="20"/>
          <w:color w:val="auto"/>
        </w:rPr>
        <w:tab/>
      </w:r>
      <w:r>
        <w:rPr>
          <w:rFonts w:ascii="Arial" w:cs="Arial" w:eastAsia="Arial" w:hAnsi="Arial"/>
          <w:sz w:val="19"/>
          <w:szCs w:val="19"/>
          <w:b w:val="1"/>
          <w:bCs w:val="1"/>
          <w:color w:val="auto"/>
        </w:rPr>
        <w:t>Risk Factors</w:t>
      </w:r>
    </w:p>
    <w:p>
      <w:pPr>
        <w:spacing w:after="0" w:line="2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231F20"/>
        </w:rPr>
        <w:t xml:space="preserve">You should </w:t>
      </w:r>
      <w:r>
        <w:rPr>
          <w:rFonts w:ascii="Arial" w:cs="Arial" w:eastAsia="Arial" w:hAnsi="Arial"/>
          <w:sz w:val="18"/>
          <w:szCs w:val="18"/>
          <w:i w:val="1"/>
          <w:iCs w:val="1"/>
          <w:color w:val="000000"/>
        </w:rPr>
        <w:t>be aware that the occurrence of any of the events described in this section and elsewhere in this report or in any other of our filings with the</w:t>
      </w:r>
      <w:r>
        <w:rPr>
          <w:rFonts w:ascii="Arial" w:cs="Arial" w:eastAsia="Arial" w:hAnsi="Arial"/>
          <w:sz w:val="18"/>
          <w:szCs w:val="18"/>
          <w:i w:val="1"/>
          <w:iCs w:val="1"/>
          <w:color w:val="231F20"/>
        </w:rPr>
        <w:t xml:space="preserve"> </w:t>
      </w:r>
      <w:r>
        <w:rPr>
          <w:rFonts w:ascii="Arial" w:cs="Arial" w:eastAsia="Arial" w:hAnsi="Arial"/>
          <w:sz w:val="18"/>
          <w:szCs w:val="18"/>
          <w:i w:val="1"/>
          <w:iCs w:val="1"/>
          <w:color w:val="000000"/>
        </w:rPr>
        <w:t xml:space="preserve">SEC could have a material adverse effect on our business, financial position, results of operations and cash flows. In evaluating us, you should consider carefully, among other things, the risks described below. </w:t>
      </w:r>
      <w:r>
        <w:rPr>
          <w:rFonts w:ascii="Arial" w:cs="Arial" w:eastAsia="Arial" w:hAnsi="Arial"/>
          <w:sz w:val="18"/>
          <w:szCs w:val="18"/>
          <w:i w:val="1"/>
          <w:iCs w:val="1"/>
          <w:color w:val="231F20"/>
        </w:rPr>
        <w:t>The risks and uncertainties described below are not the only ones we face, but do represent those</w:t>
      </w:r>
      <w:r>
        <w:rPr>
          <w:rFonts w:ascii="Arial" w:cs="Arial" w:eastAsia="Arial" w:hAnsi="Arial"/>
          <w:sz w:val="18"/>
          <w:szCs w:val="18"/>
          <w:i w:val="1"/>
          <w:iCs w:val="1"/>
          <w:color w:val="000000"/>
        </w:rPr>
        <w:t xml:space="preserve"> </w:t>
      </w:r>
      <w:r>
        <w:rPr>
          <w:rFonts w:ascii="Arial" w:cs="Arial" w:eastAsia="Arial" w:hAnsi="Arial"/>
          <w:sz w:val="18"/>
          <w:szCs w:val="18"/>
          <w:i w:val="1"/>
          <w:iCs w:val="1"/>
          <w:color w:val="231F20"/>
        </w:rPr>
        <w:t>risks and uncertainties that we believe are material to us. Additional risks and uncertainties not presently known to us or that, as of the date of this Annual Report on Form 10-K, we deem immaterial may also harm our business. Some statements included in this Annual Report on Form 10-K, including statements in the following risk factors, constitute forward-looking statements. Please refer to the section entitled “Cautionary Note Regarding Forward-Looking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Operations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and will always be significantly dependent on our tenants for our revenues. An event that has a material adverse effect on any of our significant tenants’ businesses, financial condition, liquidity, results of operations or prospects could have a material adverse effect on our business, financial condition, liquidity, results of operations and prospects.</w:t>
      </w:r>
    </w:p>
    <w:p>
      <w:pPr>
        <w:spacing w:after="0" w:line="13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depend on our tenants to operate the properties that we own in a manner that generates revenues sufficient to allow the tenants to meet their obligations to us. Currently, a significant percentage of our revenue comes from Caesars, comprising 84% of our total revenues for the year ended December 31, 2021 (and, following the closing of the Venetian Acquisition and the completion of the pending MGP Transactions, from Caesars and MGM, with Caesars representing approximately 42% of total estimated annualized cash rent and MGM representing approximately 36% of total estimated annualized cash rent, after taking into account MGM’s pending sale of the operations of The Mirage Hotel &amp; Casino in Las Vegas). Because the leases are triple-net leases, in addition to the rent payment obligations for these tenants, we will depend on these tenants to pay substantially all insurance, taxes, utilities and maintenance and repair expenses in connection with these leased properties and to indemnify, defend and hold us harmless from and against various claims, litigation and liabilities arising in connection with their businesses. There can be no assurance that our significant tenants will have sufficient assets, income or access to financing to enable them to satisfy their payment and other obligations under their leases with us, or that the applicable guarantor will be able to satisfy its guarantee of the applicable tenant’s obligations.</w:t>
      </w:r>
    </w:p>
    <w:p>
      <w:pPr>
        <w:spacing w:after="0" w:line="1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tenants rely on the properties they or their respective subsidiaries own and/or operate for income to satisfy their obligations, including their debt service requirements and rental and other payments due to us or others. For example, Caesars relies on our properties, the Caesars Forum Convention Center and their other operations to satisfy their payment obligations under the Caesars Lease Agreements and the Forum Convention Center Mortgage Loan. If income at these properties were to decline for any reason, including as a result of the COVID-19 pandemic, or if a tenant’s debt service requirements were to increase or if their creditworthiness were to become impaired for any reason, a tenant or the applicable guarantor may become unable or unwilling to satisfy its payment and other obligations under their leases or other agreements with us. The inability or unwillingness of a significant tenant to meet its payment or other obligations under a lease or other payment obligation with us could materially and adversely affect our business, financial condition, liquidity, results of operations and prospects, including our ability to make distributions to our stockholders.</w:t>
      </w:r>
    </w:p>
    <w:p>
      <w:pPr>
        <w:spacing w:after="0" w:line="1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gaming and entertainment industry is highly competitive and our tenants’ failure to continue to compete successfully could adversely affect their businesses, financial conditions, results of operations, and cash flows. In particular, our tenants’ businesses may be adversely impacted by the reinvestment and expansion by competitors in existing jurisdictions, an expansion of gaming in existing jurisdictions or into new jurisdictions in which gaming was not previously permitted, which would result in increased competition in these jurisdictions. Additionally, the casino entertainment industry represents a significant source of tax revenues to the various jurisdictions in which casinos operate. From time to time, various state and federal legislators and officials have proposed changes in tax laws, or in the administration of such laws, including increases in tax rates, which would affect the industry. If adopted, such changes could adversely impact the business, financial condition, and results of operations of our significant tenants.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our dependence on rental and other payments from our significant tenants as our primary source of revenue, we may be limited in our ability to enforce our rights under our leases or other agreements with our significant tenants or terminate such</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 agreements or, due to our predominantly master lease structure, certain leases with respect to any particular property. Failure by our significant tenants to comply with the terms of their respective leases or to comply with the gaming regulations to which the leased properties are subject could result in, among other things, the termination of an applicable ground lease, requiring us to find another tenant for such property, to the extent possible, and there could be a decrease or cessation of rental payments by such tenants, as the case may be. In such event, we may lose our interest in a property subject to an applicable ground lease or be unable to locate a suitable, creditworthy tenant at similar rental rates or at all, which would have the effect of reducing our rental revenues and could have a material adverse effect on us.</w:t>
      </w:r>
    </w:p>
    <w:p>
      <w:pPr>
        <w:spacing w:after="0" w:line="138"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The COVID-19 pandemic has adversely impacted our tenants’ operations and financial performance, as well as global and U.S. economic activity and market performance, which could have a material adverse impact on our business, financial condition, liquidity, results of operations and prospects.</w:t>
      </w:r>
    </w:p>
    <w:p>
      <w:pPr>
        <w:spacing w:after="0" w:line="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Since the emergence of the COVID-19 pandemic in early 2020, COVID-19 has spread globally and created considerable health risks in the United States and around the world, resulting in severely adversely impacted global, national and regional economic activity. Several countries, including the United States, have instituted and continue to institute various restrictions on travel and large gatherings. In connection with these actions, state governments and/or regulatory authorities issued various directives, mandates, orders or similar actions, which resulted in temporary closures of our tenants’ operations at all of our properties and our golf course operations. Relevant authorities may issue additional directives, mandates, orders or similar actions, which could result in additional closures of our tenants’ operations and our golf course operations.</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our tenants have experienced a substantial number of cancellations and reductions in events and reservations in connection with the ongoing pandemic, including as a result of the most recent emergence of new variants, and may in the future experience similar cancellations and reductions. This reduced customer activity adversely affected our tenants’ financial performance, and any similar future impacts could be material to us depending on the ultimate duration of the pandemic and the magnitude of any future reductions in our tenants’ customer activity and engagement.</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all of our leased properties and our golf courses are currently open and operating, without restriction in some jurisdictions, they remain subject to any current or future operating limitations, restrictions or closures imposed by state and local governments and/or regulatory authorities. While our tenants’ recent performance at many of our leased properties has been at or above pre-pandemic levels, our tenants may continue to face additional challenges and uncertainty due to the impact of the COVID-19 pandemic, such as complying with operational and capacity restrictions, ensuring sufficient employee staffing and service levels, and maintaining improved operating margins and financial performance. The ongoing nature of the pandemic, including the impact of emerging variants, may further adversely affect our tenants’ businesses and, accordingly, our business and financial performance could be adversely affected in the future.</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cannot predict with confidence whether government or regulatory orders, or travel and other restrictions, including orders and restrictions re-imposed in connection with the increase in the COVID-19 infection rate that began in late 2021 and early 2022 as a result of an emerging variant, will end or whether such regulations and restrictions will affect our tenants’ performance. In addition, due to the current volatility in the debt and equity markets, we may be unable to obtain financing for future acquisitions on satisfactory terms, or at all. Increased disruption and instability in the global financial markets or a deterioration in credit and financing conditions may affect our access to debt and equity capital in order to fund business operations, if necessary, or address maturing liabilities on a timely basis, as well as our tenants’ ability to fund their business operations, meet their obligations to us, and secure financing for any future or pending transactions.</w:t>
      </w:r>
    </w:p>
    <w:p>
      <w:pPr>
        <w:spacing w:after="0" w:line="14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full extent to which our business and results of operations will ultimately be affected by the COVID-19 pandemic and any resulting negative economic impacts, and the extent to which such factors continue to adversely affect our tenants, will largely depend on future developments, including the duration of the pandemic, the actions taken to contain the pandemic or mitigate its impact, including the availability, distribution and efficacy of one or more vaccines, new or mutated strains of COVID-19 or a similar virus (including vaccine-resistant strains), and the direct and indirect economic effects of the pandemic and containment measures on our tenants, including the length of time our tenants’ operations at our properties remain restricted or whether the properties are required to partially or fully close again in the future, and our tenants’ financial performance while open and during any such closures. In addition, new information may continue to emerge concerning the COVID-19 pandemic, and actions required or recommended to be undertaken to contain the COVID-19 pandemic or address its future impact, including the response of the U.S. and global economies and the short- and long-term impact of the COVID-19 pandemic on our tenants’ operations at our properties, could further materially and adversely impact our business and results and operations.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occurrence of any of the foregoing events or any other related matters could materially and adversely affect our business, financial condition, liquidity, results of operations, prospects and the value of our common stock.</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Because a concentrated portion of our revenues are generated from the Las Vegas Strip, we are subject to greater risks than a company that is more geographically diversified.</w:t>
      </w:r>
    </w:p>
    <w:p>
      <w:pPr>
        <w:spacing w:after="0" w:line="11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properties on the Las Vegas Strip generated approximately 32% of our total revenues for the year ended December 31, 2021 (and subsequent to the Venetian Acquisition and MGP Transactions, are expected to generate approximately 45% of our total estimated annualized cash rent) and we expect this concentration to continue in the foreseeable future. Therefore, our business may be significantly affected by risks common to the Las Vegas tourism industry. For example, the cost and availability of air services and the impact of any events that disrupt air travel to and from Las Vegas, including the impact of measures implemented to address the COVID-19 pandemic, can adversely affect the business of our tenants. We cannot control the number or frequency of flights to or from Las Vegas, but our largest tenant, Caesars, relies on air traffic for a significant portion of their visitors to these properties. Reductions in flights by major airlines as a result of higher fuel prices, lower demand, labor shortages or public health considerations, including as a result of the COVID-19 pandemic, has impacted and may continue to impact the number of visitors to our properties. Additionally, there is one principal interstate highway between Las Vegas and Southern California, where a large number of the customers that frequent our properties on the Las Vegas Strip reside. Any limitations on travel from Southern California to our properties on the Las Vegas Strip, such as capacity constraints of that highway or any other traffic disruptions, may also affect the number of customers who visit our facilities. Moreover, due to the importance of our three properties (and, following the completion of the pending MGP Transactions, ten properties) on the Las Vegas Strip, we may be disproportionately affected by general risks such as acts of terrorism, natural disasters, including major fires, floods and earthquakes, and severe or inclement weather, including as a result of climate change, should such developments occur in or nearby Las Vegas. In addition, a material adverse impact on Caesars (and, following the completion of the pending MGP Transactions, MGM), even unrelated to their operations in Las Vegas, that negatively affects their financial condition, could materially and adversely affect us, given our reliance on their performance as tenants in our properties on the Las Vegas Strip.</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significant tenants and their subsidiaries are required to pay a significant portion of their cash flow from operations to us pursuant to, and subject to the terms and conditions of, our respective Lease Agreements and loan and other agreements with them, as well as interest payments on their outstanding indebtedness, which could adversely affect our significant tenants’ business and operating condition, as well as their ability to satisfy their contractual payment obligations to us.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significant tenants are obligated to pay us rent under our Lease Agreements for the duration of the respective terms. For example, Caesars, which is our largest tenant (and, subsequent to the MGP Transactions, will be one of our largest tenants with MGM), is obligated to pay us in the aggregate approximately $5.7 billion in fixed annual rents under the Caesars Lease Agreements, payments under the Forum Convention Center Mortgage Loan and golf course membership fees under the Golf Course Use Agreement over the next five years, subject to certain escalators and adjustments under the applicable agreements.</w:t>
      </w:r>
    </w:p>
    <w:p>
      <w:pPr>
        <w:spacing w:after="0" w:line="134" w:lineRule="exact"/>
        <w:rPr>
          <w:sz w:val="20"/>
          <w:szCs w:val="20"/>
          <w:color w:val="auto"/>
        </w:rPr>
      </w:pPr>
    </w:p>
    <w:p>
      <w:pPr>
        <w:jc w:val="both"/>
        <w:spacing w:after="0" w:line="269" w:lineRule="auto"/>
        <w:rPr>
          <w:rFonts w:ascii="Arial" w:cs="Arial" w:eastAsia="Arial" w:hAnsi="Arial"/>
          <w:sz w:val="17"/>
          <w:szCs w:val="17"/>
          <w:color w:val="0000FF"/>
        </w:rPr>
      </w:pPr>
      <w:r>
        <w:rPr>
          <w:rFonts w:ascii="Arial" w:cs="Arial" w:eastAsia="Arial" w:hAnsi="Arial"/>
          <w:sz w:val="17"/>
          <w:szCs w:val="17"/>
          <w:color w:val="auto"/>
        </w:rPr>
        <w:t xml:space="preserve">In addition, annual rent escalations under our Lease Agreements over specified periods will continue to apply regardless of the amount of cash flows generated by the properties that are subject to such Lease Agreements. Through our Partner Property Growth Fund, we may also agree with our tenants to fund capital improvements in exchange for increased rent under the applicable Lease Agreement, which would increase the amount of such tenant’s rent obligations to us in accordance with the terms of the funding. Accordingly, if the cash flows generated by such properties decrease, do not increase at the same rate as the rent escalations, or do not increase as anticipated in connection with any such capital improvements, the rents payable under such Lease Agreements will comprise a higher percentage of the cash flows generated by the applicable tenant and its subsidiaries, which could make it more difficult for the applicable subsidiaries to meet their payment obligations to us under the Lease Agreements and could ultimately adversely affect the applicable guarantor’s ability to satisfy their respective obligations to us under the related guarantees. See </w:t>
      </w:r>
      <w:hyperlink w:anchor="page8">
        <w:r>
          <w:rPr>
            <w:rFonts w:ascii="Arial" w:cs="Arial" w:eastAsia="Arial" w:hAnsi="Arial"/>
            <w:sz w:val="17"/>
            <w:szCs w:val="17"/>
            <w:u w:val="single" w:color="auto"/>
            <w:color w:val="0000FF"/>
          </w:rPr>
          <w:t>Item 1 “Business-Our Lease Agreements”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w:t>
      </w:r>
      <w:hyperlink w:anchor="page8">
        <w:r>
          <w:rPr>
            <w:rFonts w:ascii="Arial" w:cs="Arial" w:eastAsia="Arial" w:hAnsi="Arial"/>
            <w:sz w:val="17"/>
            <w:szCs w:val="17"/>
            <w:u w:val="single" w:color="auto"/>
            <w:color w:val="0000FF"/>
          </w:rPr>
          <w:t>Item 1</w:t>
        </w:r>
      </w:hyperlink>
      <w:r>
        <w:rPr>
          <w:rFonts w:ascii="Arial" w:cs="Arial" w:eastAsia="Arial" w:hAnsi="Arial"/>
          <w:sz w:val="17"/>
          <w:szCs w:val="17"/>
          <w:color w:val="auto"/>
        </w:rPr>
        <w:t xml:space="preserve"> </w:t>
      </w:r>
      <w:hyperlink w:anchor="page8">
        <w:r>
          <w:rPr>
            <w:rFonts w:ascii="Arial" w:cs="Arial" w:eastAsia="Arial" w:hAnsi="Arial"/>
            <w:sz w:val="17"/>
            <w:szCs w:val="17"/>
            <w:u w:val="single" w:color="auto"/>
            <w:color w:val="0000FF"/>
          </w:rPr>
          <w:t>“Business-Our Relationship with Caesars”</w:t>
        </w:r>
        <w:r>
          <w:rPr>
            <w:rFonts w:ascii="Arial" w:cs="Arial" w:eastAsia="Arial" w:hAnsi="Arial"/>
            <w:sz w:val="17"/>
            <w:szCs w:val="17"/>
            <w:color w:val="0000FF"/>
          </w:rPr>
          <w:t xml:space="preserve"> </w:t>
        </w:r>
      </w:hyperlink>
      <w:r>
        <w:rPr>
          <w:rFonts w:ascii="Arial" w:cs="Arial" w:eastAsia="Arial" w:hAnsi="Arial"/>
          <w:sz w:val="17"/>
          <w:szCs w:val="17"/>
          <w:color w:val="000000"/>
        </w:rPr>
        <w:t>for</w:t>
      </w:r>
      <w:r>
        <w:rPr>
          <w:rFonts w:ascii="Arial" w:cs="Arial" w:eastAsia="Arial" w:hAnsi="Arial"/>
          <w:sz w:val="17"/>
          <w:szCs w:val="17"/>
          <w:color w:val="0000FF"/>
        </w:rPr>
        <w:t xml:space="preserve"> </w:t>
      </w:r>
      <w:r>
        <w:rPr>
          <w:rFonts w:ascii="Arial" w:cs="Arial" w:eastAsia="Arial" w:hAnsi="Arial"/>
          <w:sz w:val="17"/>
          <w:szCs w:val="17"/>
          <w:color w:val="000000"/>
        </w:rPr>
        <w:t>additional information regarding such agreements. If our significant tenants’ businesses and properties fail to</w:t>
      </w:r>
      <w:r>
        <w:rPr>
          <w:rFonts w:ascii="Arial" w:cs="Arial" w:eastAsia="Arial" w:hAnsi="Arial"/>
          <w:sz w:val="17"/>
          <w:szCs w:val="17"/>
          <w:color w:val="0000FF"/>
        </w:rPr>
        <w:t xml:space="preserve"> </w:t>
      </w:r>
      <w:r>
        <w:rPr>
          <w:rFonts w:ascii="Arial" w:cs="Arial" w:eastAsia="Arial" w:hAnsi="Arial"/>
          <w:sz w:val="17"/>
          <w:szCs w:val="17"/>
          <w:color w:val="000000"/>
        </w:rPr>
        <w:t>generate sufficient earnings, they may be unable to satisfy their (or their subsidiaries’) obligations under their respective Lease Agreements and loan and other agreements, including related guarantees.</w:t>
      </w:r>
    </w:p>
    <w:p>
      <w:pPr>
        <w:spacing w:after="0" w:line="128" w:lineRule="exact"/>
        <w:rPr>
          <w:rFonts w:ascii="Arial" w:cs="Arial" w:eastAsia="Arial" w:hAnsi="Arial"/>
          <w:sz w:val="17"/>
          <w:szCs w:val="17"/>
          <w:color w:val="auto"/>
        </w:rPr>
      </w:pPr>
    </w:p>
    <w:p>
      <w:pPr>
        <w:jc w:val="both"/>
        <w:spacing w:after="0" w:line="273" w:lineRule="auto"/>
        <w:rPr>
          <w:sz w:val="20"/>
          <w:szCs w:val="20"/>
          <w:color w:val="auto"/>
        </w:rPr>
      </w:pPr>
      <w:r>
        <w:rPr>
          <w:rFonts w:ascii="Arial" w:cs="Arial" w:eastAsia="Arial" w:hAnsi="Arial"/>
          <w:sz w:val="17"/>
          <w:szCs w:val="17"/>
          <w:color w:val="auto"/>
        </w:rPr>
        <w:t>Additionally, these obligations may limit our significant tenants’ ability to fund their operations or development projects, raise capital, make acquisitions, and otherwise respond to competitive and economic changes by making investments to maintain and grow their portfolio of businesses and properties, which may adversely affect their competitiveness and the ability of their applicable subsidiaries and guarantors to satisfy their obligations to us under the applicable Lease Agreements and the related guarantees, respectively. Moreover, given the importance of our significant tenants to our business, a failure on the part of a significant tenant to maintain its business performance or experience any deterioration of its creditworthiness could materially and adversely affect us, even in the absence of a default under our agreements with such tenant.</w:t>
      </w:r>
    </w:p>
    <w:p>
      <w:pPr>
        <w:spacing w:after="0" w:line="124" w:lineRule="exact"/>
        <w:rPr>
          <w:rFonts w:ascii="Arial" w:cs="Arial" w:eastAsia="Arial" w:hAnsi="Arial"/>
          <w:sz w:val="17"/>
          <w:szCs w:val="17"/>
          <w:color w:val="auto"/>
        </w:rPr>
      </w:pPr>
    </w:p>
    <w:p>
      <w:pPr>
        <w:jc w:val="both"/>
        <w:spacing w:after="0" w:line="263" w:lineRule="auto"/>
        <w:rPr>
          <w:sz w:val="20"/>
          <w:szCs w:val="20"/>
          <w:color w:val="auto"/>
        </w:rPr>
      </w:pPr>
      <w:r>
        <w:rPr>
          <w:rFonts w:ascii="Arial" w:cs="Arial" w:eastAsia="Arial" w:hAnsi="Arial"/>
          <w:sz w:val="18"/>
          <w:szCs w:val="18"/>
          <w:color w:val="auto"/>
        </w:rPr>
        <w:t>In addition, our significant tenants’ indebtedness and the fact that a significant portion of their cash flow may be used to make interest payments could adversely affect their ability to satisfy their obligations to us under the applicable Lease Agreements and other agreements. For example, as disclosed in Caesars’ Quarterly Report on Form 10-Q for the quarter ended September</w:t>
      </w:r>
    </w:p>
    <w:p>
      <w:pPr>
        <w:spacing w:after="0" w:line="200" w:lineRule="exact"/>
        <w:rPr>
          <w:rFonts w:ascii="Arial" w:cs="Arial" w:eastAsia="Arial" w:hAnsi="Arial"/>
          <w:sz w:val="17"/>
          <w:szCs w:val="17"/>
          <w:color w:val="auto"/>
        </w:rPr>
      </w:pPr>
    </w:p>
    <w:p>
      <w:pPr>
        <w:spacing w:after="0" w:line="362"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30, 2021, Caesars’ consolidated estimated debt service (including principal and interest) for 2022 will be approximately $880 million and $17.8 billion thereafter to maturity. As a result, a significant portion of Caesars’ liquidity needs are for debt service, including significant interest payments. Such substantial indebtedness and the restrictive covenants under the agreements governing such indebtedness could limit the ability of the applicable tenants and borrower to satisfy their respective obligations to us under the applicable Lease Agreements and other agreements with us, such as the Forum Convention Center Mortgage Loan, and the ability of the guarantors of our significant tenants to satisfy their obligations under the related guarantees.</w:t>
      </w:r>
    </w:p>
    <w:p>
      <w:pPr>
        <w:spacing w:after="0" w:line="10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are dependent on the gaming industry and may be susceptible to the risks associated with it, including due to the impact of the COVID-19 pandemic, which could materially and adversely affect our business, financial condition, liquidity, results of operations and prospects.</w:t>
      </w:r>
    </w:p>
    <w:p>
      <w:pPr>
        <w:spacing w:after="0" w:line="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the landlord and owner of gaming facilities, we are impacted by the risks associated with the gaming industry. Therefore, so long as our investments are concentrated in gaming-related assets, our success is dependent on the gaming industry, which could be adversely affected by economic conditions in general, changes in consumer trends and preferences and other factors over which we and our tenants have no control, including the ongoing effects of the COVID-19 pandemic, such as labor shortages, travel restrictions, supply chain disruptions and property closures. As we are subject to risks inherent in substantial investments in a single industry, a decrease in the gaming business would likely have a greater adverse effect on us than if we owned a more diversified real estate portfolio, particularly because a component of the rent under the Lease Agreements will be based, over time, on the performance of the gaming facilities operated by our tenants on our properties and such effect could be material and adverse to our business, financial condition, liquidity, results of operations and prospects.</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gaming industry is characterized by a high degree of competition among a large number of participants, including land-based casinos, riverboat casinos, dockside casinos, video lottery, sweepstakes and poker machines not located in casinos, Native American gaming, emerging varieties of internet gaming, sports betting and other forms of gaming in the United States and, in a broader sense, gaming operators face competition from all manner of leisure and entertainment activities. Gaming competition is intense in most of the markets where our facilities are located. Recently, there has been additional significant competition in the gaming industry as a result of the upgrading or expansion of facilities by existing market participants, the entrance of new gaming participants into a market, internet gaming or legislative changes in various jurisdictions. As competing properties and new markets are opened, we may be negatively impacted.</w:t>
      </w:r>
    </w:p>
    <w:p>
      <w:pPr>
        <w:spacing w:after="0" w:line="14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the COVID-19 pandemic has had a severe and unprecedented impact on the gaming industry. During this period, many gaming companies have faced heightened financial uncertainty or generated substantially reduced revenue and have sought or taken measures intended to maintain liquidity and solvency, including employee furloughs and layoffs, reduced operating and capital expenditure budgets, and contractual relief or other accommodations sought with creditors, lenders and other counterparties. There is no guarantee that existing government-imposed restrictions on travel and social gatherings, including restrictions imposed in late 2021 in response to an emerging variant, will be lifted in the near term, that additional government-imposed restrictions will not be implemented, or that previous restrictions that were lifted or modified will not be reinstated. Moreover, the ultimate impact of the COVID-19 pandemic on the gaming industry, the timing and extent of government-imposed restrictions and the performance of gaming facilities is highly uncertain and cannot be predicted with confidence.</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Historically, economic indicators such as GDP growth, consumer confidence and employment are correlated with demand for gaming, entertainment and leisure properties, such as casinos and racetracks, and economic recessions, contractions or slowdowns have generally led to a decrease in discretionary spending on associated leisure activities. Long-term impacts of the COVID-19 pandemic, such as decreases in discretionary spending or changing consumer preferences brought about by global public health concerns and instability in global, national and regional economic activity and financial markets, could have a long-term material adverse effect on leisure and business travel, discretionary spending and other areas of economic behavior that directly impact the gaming industry. Additionally, decreases in discretionary consumer spending brought about by weakened general economic conditions such as, but not limited to, the impact of the COVID-19 pandemic, lackluster recoveries from recessions, contractions, high unemployment levels, higher income taxes, inflation, low levels of consumer confidence, weakness in the housing market, cultural and demographic changes and increased stock market volatility may negatively impact our revenues and operating cash flows. Because we are dependent on the gaming industry, the immediate and long-term effects of the COVID-19 pandemic on the gaming industry could be material and adverse to our business, financial condition, liquidity, results of operations and prospects.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and our tenants face extensive regulation from gaming and other regulatory authorities, and our charter provides that any of our shares held by investors who are found to be unsuitable by state gaming regulatory authorities are subject to redemption.</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ownership, operation, and management of gaming and racing facilities are subject to extensive regulation by one or more gaming authorities in each applicable jurisdiction where gaming and racing facilities are permitted. These gaming and racing regulations impact our gaming and racing tenants and persons associated with our gaming and racing facilities, which in many jurisdictions include us as the landlord and owner of the real estate. Certain gaming authorities in the jurisdictions in which we hold properties may require us and/or our affiliates to maintain a license as a principal, key business entity or supplier because of our status as landlord. Gaming authorities also retain great discretion to require us to be found suitable as a landlord, and certain of our stockholders, officers and directors may be required to be found suitable as well. Regulatory authorities also have broad powers with respect to the licensing of casino operations, and may revoke, suspend, condition or limit the gaming or other licenses of our tenants, impose substantial fines or take other actions, any one of which could adversely impact the business, financial condition and results of operations of our tenants. In addition, in many jurisdictions, licenses are granted for limited durations and require renewal from time to time.</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many jurisdictions, gaming laws can require certain of our stockholders to file an application, be investigated, and qualify or have such person or entity’s suitability determined by gaming authorities. Gaming authorities have very broad discretion in determining whether a stockholder is required to file an application and whether an applicant should be deemed suitable. Subject to certain administrative proceeding requirements, the gaming regulators have the authority to deny any application or limit, condition, restrict, revoke or suspend any license, registration, finding of suitability or approval, or fine any person licensed, registered or found suitable or approved, for any cause deemed reasonable by the gaming authorities.</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Gaming authorities may conduct investigations into the conduct or associations of our directors, officers, key employees or investors to ensure compliance with applicable standards. If we are required to be found suitable and are found suitable as a landlord, we will be registered as a public company with the gaming authorities and will be subject to disciplinary action if, after we receive notice that a person is unsuitable to be a stockholder or to have any other relationship with us, we:</w:t>
      </w:r>
    </w:p>
    <w:p>
      <w:pPr>
        <w:spacing w:after="0" w:line="133"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pay that person any distribution or interest upon any of our securities;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conferred through securities held by that person;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 or</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 to pursue all lawful efforts to require such unsuitable person to relinquish his or her securities, including, if necessary, the immediate redemption of such securities in accordance with our charter.</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Many jurisdictions also require any person who acquires beneficial ownership of more than a certain percentage of voting securities of a gaming company and, in some jurisdictions, non-voting securities, typically 5% of a publicly traded company, to report the acquisition to gaming authorities, and gaming authorities may require such holders to apply for qualification, licensure or a finding of suitability, subject to limited exceptions for “institutional investors” that hold a company’s securities for passive investment purposes only. Our outstanding shares of capital stock are held subject to applicable gaming laws. Any person owning or controlling at least 5% of the outstanding shares of any class of our capital stock is required to promptly notify us of such person’s identity and apply for qualification, licensure, finding of suitability, or an institutional investor waiver, as applicable. Some jurisdictions may also limit the number of gaming licenses in which a person may hold an ownership or a controlling interest.</w:t>
      </w:r>
    </w:p>
    <w:p>
      <w:pPr>
        <w:spacing w:after="0" w:line="12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Further, certain of our directors, officers, key employees and investors in our shares must meet approval standards of certain gaming regulatory authorities depending on the jurisdiction. If such gaming regulatory authorities were to find such a person or investor unsuitable, we may be required to sever our relationship with that person or the investor may be required to dispose of his, her or its interest in us. Our charter provides that all of our shares held by investors who are found to be unsuitable by regulatory authorities are subject to redemption upon our receipt of notice of such finding.</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Additionally, because we and our tenants are subject to regulation in numerous jurisdictions, and because regulatory agencies within each jurisdiction review compliance with gaming laws in other jurisdictions, it is possible that gaming compliance issues in one jurisdiction may lead to reviews and compliance issues in other jurisdictions. The loss of gaming licenses by our tenants could result in the cessation of operations at one or more of the facilities we lease to such tenants. The loss of gaming licenses by us could result in an event of default under certain of our indebtedness, and cross-default provisions in our debt agreements could cause an event of default under one debt agreement to trigger an event of default under our other debt agreements.</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Finally, substantially all material loans, significant acquisitions, leases, sales of securities and similar financing transactions by us and our subsidiaries must be reported to, and in some cases approved by, gaming authorities in advance of the transaction,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which may include a public offering of certain securities. Changes in control through merger, consolidation, stock or asset acquisitions, management or consulting agreements, or otherwise may be subject to receipt of prior approval of certain gaming authorities. Entities seeking to acquire control of us or one of our subsidiaries (and certain of our affiliates) must satisfy gaming authorities with respect to a variety of stringent standards prior to assuming control. Failure to satisfy the stringent licensing standards may preclude entities from acquiring an ownership or a controlling interest in us or one of our subsidiaries (and certain of our affiliates) and/or require the entities to divest such interest.</w:t>
      </w:r>
    </w:p>
    <w:p>
      <w:pPr>
        <w:spacing w:after="0" w:line="122"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Required regulatory approvals can delay or prohibit transfers of our gaming properties or the consummation of other pending transactions, including consummation of the Mergers, which could result in periods in which we are unable to receive rent for such properties or otherwise realize the benefits of such transactions, which may have a material adverse effect on our business, financial condition, liquidity, results of operations and prospects.</w:t>
      </w:r>
    </w:p>
    <w:p>
      <w:pPr>
        <w:spacing w:after="0" w:line="7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tenants are (and any pending and future tenants of our gaming properties will be) required to be licensed under applicable law in order to operate any of our properties as gaming facilities. If the Lease Agreements, or any future lease agreement we enter into, are terminated (which could be required by a regulatory agency) or expire, any new tenant must be licensed and receive other regulatory approvals to operate our properties as gaming facilities. Any delay in, or inability of, the new tenant to receive required licenses and other regulatory approvals from the applicable state and county government agencies may prolong the period during which we are unable to collect the applicable rent. Further, in the event that the Lease Agreements or future lease agreements are terminated or expire and a new tenant is not licensed or fails to receive other regulatory approvals, the properties may not be operated as gaming facilities and we will not be able to collect the applicable rent. Moreover, we may be unable to transfer or sell the affected properties as gaming facilities, which could materially and adversely affect our business, financial condition, liquidity, results of operations and prospects. In addition, given the highly regulated nature of the gaming industry, any future transactions we enter into are likely to be subject to regulatory approval in one or more jurisdictions, including with respect to any transfers in ownership, operating licensure or other regulatory considerations. If the consummation of a pending transaction (including with respect to the future entry into a new lease agreement), such as the consummation of the Mergers, is delayed or prohibited by regulatory authorities, we may be limited or otherwise unable to realize the benefits of the proposed transaction.</w:t>
      </w:r>
    </w:p>
    <w:p>
      <w:pPr>
        <w:spacing w:after="0" w:line="1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Consummation of the Mergers is conditioned on the receipt of approvals from a number of gaming regulatory authorities. Such gaming regulatory authorities may impose conditions on the granting of such approvals and findings. Such conditions and the process of obtaining such regulatory approvals could have the effect of delaying or impeding consummation of the Mergers or of imposing additional costs or limitations on us following the Mergers. In addition, to the extent any of our officers or a member of our board of directors is found unsuitable, we would need to find a replacement, which may take time and could adversely impact our financial and operational performance, including our ability to successfully consummate the Mergers and integrate MGP into VICI. Any such finding of unsuitability by regulatory authorities and resulting resignation or removal of an officer of VICI or a member of our board of directors could also impact our governance structure following the Mergers.</w:t>
      </w:r>
    </w:p>
    <w:p>
      <w:pPr>
        <w:spacing w:after="0" w:line="1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long-term, triple-net leases may not result in fair market lease rates over time, which could negatively impact our results of operations and cash flows and reduce the amount of funds available to make distributions to stockholders.</w:t>
      </w:r>
    </w:p>
    <w:p>
      <w:pPr>
        <w:spacing w:after="0" w:line="11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All of our rental revenue and a substantial majority of our total revenue is generated from the Lease Agreements, which are long-term triple-net leases and provide greater flexibility to the respective tenants related to the use of the applicable leased property than would be the case with ordinary property leases, such as the right to sublease certain portions of each leased property, to make alterations in the leased premises and to terminate the lease prior to its expiration under specified circumstances. Furthermore, consistent with typical net leases, our Lease Agreements have longer lease terms and, thus, there is an increased risk that contractual rental increases in future years will fail to result in fair market rental rates during those years. As a result, our results of operations and cash flows and distributions to our stockholders could be lower than they would otherwise be if we did not enter into long-term triple net leases. Inflation in December 2021 was at its highest level in approximately 40 years. While certain of our Lease Agreements contain escalation provisions that are tied to changes in the consumer price index (“CPI”), these escalators in some cases do not apply until the future. For example, under the Regional Master Lease Agreement, the escalator is 1.5% for the second through fifth years of the lease and for the remainder of the term, the escalator is CPI subject to a 2.0% floor. Certain of these escalators are subject to a maximum cap, which could result in lower rent escalation than any such CPI increase in a single year or over a longer period. As a result, our results of operations and cash flows and distributions to our stockholders could be lower than they would otherwise be if we did not enter into long-term triple net leases.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Tenants may choose not to renew the Lease Agreements.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enter into long-term lease agreements with our tenants, consisting of an initial lease term with the potential for the tenant to extend for multiple additional terms, which may be subject to additional terms and conditions. For example, each of the Caesars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Lease Agreements has an initial lease term of 15 years with the potential for up to four additional five-year term extensions thereafter (with the initial lease term under each of the Caesars Lease Agreements extended in connection with the Eldorado Transaction to expire in July 2035). With respect to the properties under the Regional Master Lease Agreement, the aggregate lease term, including renewals, may be cut back to the extent it would otherwise exceed 80% of the remaining useful life of the applicable leased property, solely at the option of the tenants. At the expiration of the initial lease term or of any additional renewal term thereafter, our tenants may choose not to renew the applicable Lease Agreement. If a Lease Agreement expires without renewal and we are not able to find suitable, credit-worthy tenants to replace the previous tenants on the same or more attractive terms, our business, financial condition, liquidity, results of operations and prospects may be materially and adversely affected, including our ability to make distributions to our stockholders at the then current level, or at all. In particular with respect to the coterminous nature of the Caesars Lease Agreements, this risk would be exacerbated if Caesars elected not to renew all such lease agreements at any one time.</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ability to sell or dispose of our properties may be limited by the contractual terms of our Lease Agreements or other agreements with our tenants, or otherwise impacted by matters relating to our real estate ownership.</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sell or dispose of our properties may be hindered by, among other things, the fact that such properties are subject to the Lease Agreements, as the terms of the Lease Agreements require that a purchaser assume the Lease Agreements or, in certain cases, enter into a severance lease with the tenants for the sold property on substantially the same terms as contained in the applicable Lease Agreement, which may make our properties less attractive to a potential buyer than alternative properties that may be for sale.</w:t>
      </w:r>
    </w:p>
    <w:p>
      <w:pPr>
        <w:spacing w:after="0" w:line="13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the MGP Transactions, we have agreed with MGM to enter into the MGM Tax Protection Agreement upon consummation of such transactions, pursuant to which we have agreed, subject to certain exceptions, to indemnify MGM and certain other parties for certain tax liabilities resulting from, among other things, the sale, transfer, exchange or other disposition of certain properties during a specified period. In addition, the BREIT JV previously entered into a tax protection agreement with MGM with respect to built-in gain and debt maintenance related to MGM Grand Las Vegas and Mandalay Bay, which is effective through mid-2029, and by acquiring MGP, we will bear MGP’s approximate 50.1% proportionate share in the BREIT JV of any indemnity under this existing tax protection agreement. In the event that we breach restrictions in these agreements, we will be liable for grossed-up tax amounts associated with the income or gain recognized as a result of such breach. Therefore, although it may be in the best interests of our stockholders for us to sell a certain property, it may be economically prohibitive for us to do so during the specified period because of these indemnity obligations. See “—Risks Related to an Investment in VICI Following the MGP Transactions—The MGM Tax Protection Agreement, during its term, imposes certain limits on our operations and could require New VICI Operating Company to indemnify MGM for certain tax liabilities.”</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Any improvements to a property could also cause mechanic’s liens or similar liens to attach to, and constitute liens on, our interests in the properties. To the extent that such liens are recorded against any of our current or future properties, they may restrict our ability to sell or dispose of such properties while they remain in place. In addition, the holders of such liens may enforce them by court action and courts may cause the applicable properties to be sold to satisfy such liens, which could negatively impact our revenues, results of operations, cash flows and distributions to our stockholders. Further, holders of such liens could have priority over our stockholders in the event of bankruptcy or liquidation, and as a result, a trustee in bankruptcy may have difficulty realizing or foreclosing on such properties in any such bankruptcy or liquidation, and the amount of distributions our stockholders could receive in such bankruptcy or liquidation could be reduced.</w:t>
      </w:r>
    </w:p>
    <w:p>
      <w:pPr>
        <w:spacing w:after="0" w:line="14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Caesars declares bankruptcy and such action results in a lease being re-characterized as a disguised financing transaction in its bankruptcy proceeding, our business, results of operations, financial condition and cash flows could be materially and adversely affected.</w:t>
      </w:r>
    </w:p>
    <w:p>
      <w:pPr>
        <w:spacing w:after="0" w:line="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If Caesars declares bankruptcy, our business could be materially and adversely affected if a bankruptcy court re-characterizes the CPLV Additional Rent Acquisition or the HLV Additional Rent Acquisition as a disguised financing transaction. In the event of re-characterization, our claim under a lease agreement with respect to the additional rent acquired in the HLV Additional Rent Acquisition and CPLV Additional Rent Acquisition could either be secured or unsecured. Generally, the leases permit us to take steps to create and perfect a security interest in the leased property, but such attempts could be subject to challenge by the tenant or its creditors and, with respect to the CPLV Additional Rent Acquisition and the HLV Additional Rent Acquisition, there is no assurance that a court would find that portion of our claim to be secured. The bankrupt lessee and other affiliates of Caesars and their creditors under this scenario might have the ability to restructure the terms, including the amount owed to us under the applicable lease with respect to the additional rent. If approved by the bankruptcy court, we could be bound by the new terms and prevented from collecting such additional rent acquired in the CPLV Additional Rent Acquisition and HLV Additional Rent Acquisition, and our business, results of operations, financial condition and cash flows could be materially and adversely affected.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Properties within our portfolio are, and properties that we may acquire in the future are likely to be, operated and promoted under certain trademarks and brand names that we do not own.</w:t>
      </w:r>
    </w:p>
    <w:p>
      <w:pPr>
        <w:spacing w:after="0" w:line="1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Most of the properties within our portfolio are currently operated and promoted under trademarks and brand names not owned by us, including Caesars, Harrah’s, Harvey’s, Horseshoe, Margaritaville, Greektown, JACK, Hard Rock, Century and Mountaineer. In addition, properties that we may acquire in the future may be operated and promoted under these same trademarks and brand names, or under different trademarks and brand names we do not, or will not, own. During the term that our properties are managed by our tenants, we will be reliant on our tenants to maintain and protect the trademarks, brand names and other licensed intellectual property used in the operation or promotion of the leased properties. Operation of the leased properties, as well as our business and financial condition, could be adversely impacted by infringement, invalidation, unauthorized use or litigation affecting any such intellectual property. Moreover, if any of our properties are rebranded unsuccessfully, it could have a material adverse effect on our business, financial condition, liquidity, results of operations and prospects, as we may not enjoy comparable recognition or status under a new brand. A transition of management away from one of our tenants could also have a material adverse effect on our business, financial condition, liquidity, results of operations and prospects.</w:t>
      </w:r>
    </w:p>
    <w:p>
      <w:pPr>
        <w:spacing w:after="0" w:line="1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not be able to purchase properties pursuant to our rights under certain agreements, including put-call and right of first refusal agreements, if we are unable to obtain additional financing. In addition, pursuant to one such agreement, we may be forced to dispose of Harrah’s Las Vegas to Caesars, possibly on disadvantageous terms.</w:t>
      </w:r>
    </w:p>
    <w:p>
      <w:pPr>
        <w:spacing w:after="0" w:line="13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Pursuant to the A&amp;R Convention Center Put-Call Agreement, the Caesars Indianapolis Put-Call Agreement, the Las Vegas Strip Assets ROFR Agreement, the Horseshoe Baltimore ROFR Agreement and the Danville ROFR Agreement, we have certain rights to purchase the properties subject to these agreements, subject to the terms and conditions included in each agreement with respect to each property. In order to exercise these rights and any similar rights we obtain in the future or to fulfill our obligations with respect to certain put rights, we would likely be required to secure additional financing and our substantial level of indebtedness or other factors could limit our ability to do so on attractive terms or at all. If we are unable to obtain financing on terms acceptable to us, we may not be able to exercise these rights and acquire these properties, including the Caesars Forum Convention Center, or to fulfill our obligations with respect to certain put rights. Even if financing with acceptable terms is available to us, there can be no assurance that we will exercise any of these rights. Further, each of the transactions remains subject to the terms and conditions of the applicable agreements, including with respect to due diligence, applicable regulatory approvals and customary closing conditions.</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These agreements are subject to additional terms and conditions that may impact our ability to acquire such properties. For example, the A&amp;R Convention Center Put-Call Agreement also provides that if Caesars exercises the Convention Center Put Right and, among other things, the sale of the Caesars Forum Convention Center to us does not close, under certain circumstances, a repurchase right in favor of Caesars, which, if exercised, would result in the sale of the Harrah’s Las Vegas property by us to Caesars. Such a sale may be at disadvantageous terms and could have a material adverse effect on our business, financial condition, liquidity, results of operations and prospects.</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bankruptcy or insolvency of any tenant, borrower or guarantor could result in the termination of the Lease Agreements, the related guarantees or loan agreements and material losses to us.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subject to the credit risk of our tenants and borrowers. We cannot provide assurances that our tenants and borrowers will not default on their obligations and fail to make payments to us. In particular, disruptions in the financial and credit markets, local economic conditions and other factors affecting the gaming industry, including the COVID-19 pandemic, may affect our tenants’ and borrowers’ ability to obtain financing to operate their businesses or continue to profitability execute their business plans. This, in turn, may cause our tenants and borrowers to be unable to meet their financial obligations, including making rental or loan payments to us, as applicable, which may result in their bankruptcy or insolvency. In addition, in the event of a bankruptcy of our tenants, borrowers or their respective guarantors, any claim for damages under the applicable lease, loan agreement or guarantee may not be paid in full. For these and other reasons, the bankruptcy of one or more of our tenants, borrowers or their respective guarantors could have a material adverse effect on our business, financial condition, liquidity, results of operations and prospects.</w:t>
      </w:r>
    </w:p>
    <w:p>
      <w:pPr>
        <w:spacing w:after="0" w:line="1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Furthermore, with respect to tenants whose obligations are guaranteed by a single guarantor (including Caesars and, following the closing of the MGP Transactions, MGM), although the tenants’ performance and payments are guaranteed, a default by the applicable tenant, or by the guarantor with regard to its guarantee, may cause a default under certain circumstances with regard to the entire portfolio covered by the respective Lease Agreements. In event of such a default, there can be no assurances that the tenants or the guarantor would assume the applicable Lease Agreements or the related guarantees, and if such Lease Agreements or guarantees were rejected, the tenant or the guarantor, as applicable, may not have sufficient funds to pay the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auto"/>
        </w:rPr>
        <w:t>damages that would be owed to us as a result of the rejection and we might not be able to find a replacement tenant on the same or better terms.</w:t>
      </w:r>
    </w:p>
    <w:p>
      <w:pPr>
        <w:spacing w:after="0" w:line="1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pursuit of investments in, and acquisitions of, additional properties and other strategic opportunities may be unsuccessful or fail to meet our expectations.</w:t>
      </w:r>
    </w:p>
    <w:p>
      <w:pPr>
        <w:spacing w:after="0" w:line="1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intend to continue to pursue acquisitions of additional properties and seek acquisitions, investments and other strategic opportunities. Accordingly, we may often be engaged in evaluating potential transactions and other strategic alternatives, including through discussions with potential counterparties that may result in one or more transactions. In addition, from time to time, we have entered, and may in the future enter, into strategic arrangements with counterparties, which arrangements may be non-binding or subject to conditions, including the negotiation of definitive documentation. Although there is uncertainty that any of these discussions or arrangements will result in definitive agreements, the completion of any transaction, or the realization of the anticipated benefits of any transaction, we may devote a significant amount of our management resources to such a transaction, which could negatively impact our operations. We may incur significant costs in connection with seeking acquisitions or other strategic opportunities regardless of whether the transaction is completed and, to the extent applicable, in combining our operations if such a transaction is completed.</w:t>
      </w:r>
    </w:p>
    <w:p>
      <w:pPr>
        <w:spacing w:after="0" w:line="1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operate in a highly competitive industry and face competition from other REITs, investment companies, private equity firms and hedge funds, sovereign funds, lenders, gaming companies and other investors, some of whom are significantly larger and have greater resources, access to capital and lower costs of capital. Increased competition will make it more challenging to identify and successfully capitalize on acquisition opportunities that meet our investment objectives. If we cannot identify and purchase or make investments in a sufficient quantity of gaming properties and other experiential properties at favorable prices or if we are unable to finance acquisitions on commercially favorable terms, our business, financial condition, liquidity, results of operations and prospects could be materially and adversely affected. Additionally, the fact that we must distribute 90% of our REIT taxable income in order to maintain our qualification as a REIT may limit our ability to rely upon rental payments from our leased properties or subsequently acquired properties in order to finance acquisitions. As a result, if debt or equity financing is not available on acceptable terms, further acquisitions might be limited or curtailed.</w:t>
      </w:r>
    </w:p>
    <w:p>
      <w:pPr>
        <w:spacing w:after="0" w:line="14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Investments in and acquisitions of gaming properties and other experiential properties, as well as investments in our existing properties through our Partner Property Growth Fund, entail risks associated with real estate investments generally, including that the investment’s performance will fail to meet expectations, that the cost estimates for necessary property improvements will prove inaccurate or the operator or manager will underperform. In addition, we may not realize the benefits of our Partner Property Growth Fund opportunities on a timely basis, or at all, and such opportunities may be dependent upon independent decisions made by our tenants with respect to any capital improvement projects and the source of funds for such projects, as well as the total funding ultimately requested under such arrangements. In addition, our Partner Property Growth Fund opportunities may be subject to the negotiation of definitive documentation or other conditions, or additional terms and conditions pursuant to our existing Lease Agreements or separate agreements we may enter into with our tenants with respect to such opportunities.</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Further, even if we were able to acquire or invest in additional properties in the future, there is no guarantee that such properties would be able to maintain their historical performance or achieve their projected performance, which may prevent the ability of our tenants to pay the partial or total amount of the required lease payments under the respective Lease Agreements or our borrowers to fulfill their payment obligations under the applicable agreement. In addition, our financing of these acquisitions and investments could negatively impact our cash flows and liquidity, require us to incur substantial debt or involve the issuance of substantial new equity, which would be dilutive to existing stockholders. Due to market considerations and in light of the timing typically required to obtain regulatory approvals for gaming transactions, any such financing may take place substantially in advance of closing of such transaction (and the receipt of rent or other payments under a lease or other applicable agreement) and negatively impact our operating results during such period. In addition, we cannot make assurances that we will be successful in implementing our business and growth strategies or that any expansion will improve operating results. The failure to identify and acquire or invest in new properties effectively, or the failure of any acquired properties to perform as expected, could have a material adverse effect on our business, financial condition, liquidity, results of operations and prospects and our ability to make distributions to our stockholders.</w:t>
      </w:r>
    </w:p>
    <w:p>
      <w:pPr>
        <w:spacing w:after="0" w:line="1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sell or divest different properties or assets after an evaluation of our portfolio of businesses. Such sales or divestitures could affect our costs, revenues, results of operations, financial condition and liquidity.</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may evaluate our properties and may, as a result, sell or attempt to sell, divest, or spin-off different properties or assets, subject to the terms of the Lease Agreements. For example, in 2020 and 2021, we, together with Caesars, sold Harrah’s Reno, Bally’s Atlantic City and Harrah’s Louisiana Downs. These sales or divestitures could affect our costs, revenues, results of operations, financial condition, liquidity and our ability to comply with financial covenants. Divestitures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have inherent risks, including possible delays in closing transactions (including potential difficulties in obtaining regulatory approvals), the risk of lower-than-expected sales proceeds for the divested businesses, and potential post-closing claims for indemnification. In addition, current economic conditions at the time and relatively illiquid real estate markets may result in fewer potential bidders and unsuccessful sales efforts.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properties and the properties securing our loans are subject to risks from climate change, natural disasters, such as earthquakes, hurricanes and other extreme weather conditions, and terrorist attacks or other acts of violence, the occurrence of which may adversely affect our results of operations, financial condition and liquidity.</w:t>
      </w:r>
    </w:p>
    <w:p>
      <w:pPr>
        <w:spacing w:after="0" w:line="13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Our properties and our borrowers’ properties secured as collateral are located in areas that may be subject to climate change and other natural disasters, such as earthquakes, and extreme weather conditions, including, but not limited to, hurricanes and flooding. Such natural disasters or extreme weather conditions may interrupt operations at the casinos, damage our properties, and reduce the number of customers who visit our facilities in such areas. A severe earthquake could damage or destroy our properties. In addition, our operations could be adversely impacted by a drought or other cause of water shortage. A severe drought of extensive duration experienced in Las Vegas or in the other regions in which we operate could adversely affect the business and financial results at our properties located in such regions. Although the tenants and borrowers, as applicable, are required to maintain both property and business interruption insurance coverage, such coverage is subject to deductibles and limits on maximum benefits, including limitation on the coverage period for business interruption, and we cannot make assurances that we or our tenants will be able to fully insure such losses or fully collect, if at all, on claims resulting from such climate change, natural disasters and extreme weather conditions. While the Lease Agreements and loan agreements require, and new lease agreements and loan agreements are expected to require, that comprehensive insurance and hazard insurance be maintained by the tenants and borrowers, as applicable, there are certain types of losses, generally of a catastrophic nature, such as earthquakes, hurricanes and floods, that may be uninsurable or not economically insurable. Insurance coverage may not be sufficient to pay the full current market value or current replacement cost of a loss. Inflation, changes in building codes and ordinances, environmental considerations, and other factors also might make it infeasible to use insurance proceeds to replace the property after such property has been damaged or destroyed. Under such circumstances, the insurance proceeds received might not be adequate to restore the economic position with respect to such property. If we experience a loss that is uninsured or that exceeds our policy coverage limits, we could lose the capital invested in the damaged properties as well as the anticipated future cash flows from those properties. Furthermore, under such circumstances we may be required under the terms of our debt financing agreements to contribute all or a portion of insurance proceeds to the repayment of such debt, which may prevent us from restoring such properties to their prior state. If the insurance proceeds (after any such required repayment) were insufficient to make the repairs necessary to restore the damaged properties to a condition substantially equivalent to its state immediately prior to the casualty, we may not have sufficient liquidity to otherwise fund the repairs and may be required to obtain additional financing, which could materially and adversely affect our business, financial condition, liquidity, results of operations and prospects.</w:t>
      </w:r>
    </w:p>
    <w:p>
      <w:pPr>
        <w:spacing w:after="0" w:line="12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Additionally, changes to applicable building and zoning laws, ordinances and codes since the initial construction of our properties may limit a tenant’s ability to restore the premises of a property to its previous condition in the event of a substantial casualty loss with respect to the property or the ability to refurbish, expand or renovate such property to remain compliant, or increase the cost of construction in order to comply with changes in building or zoning codes and regulations. If a tenant is unable to restore a property to its prior use after a substantial casualty loss or is required to comply with more stringent building or zoning codes and regulations, we may be unable to re-lease the space at a comparable effective rent or sell the property at an acceptable price, which may materially and adversely affect our business, financial condition, liquidity, results of operations and prospects.</w:t>
      </w:r>
    </w:p>
    <w:p>
      <w:pPr>
        <w:spacing w:after="0" w:line="11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Terrorist attacks or other acts of violence may result in declining economic activity, which could harm the demand for services offered by our tenants and the value of our properties or collateral, either generally or with respect to a specific region or property, and might adversely affect the value of an investment in our common stock. Such a resulting decrease in demand could make it difficult for us to renew or re-lease our properties to suitable, credit-worthy tenants at lease rates equal to or above historical rates. Terrorist activities or violence also could directly affect the value of our properties through damage, destruction or loss, and the availability of insurance for such acts, or of insurance generally, might be lower or cost more, which could increase our operating expenses and adversely affect our results of operations and cash flows. To the extent that any of our tenants or borrowers are affected by future terrorist attacks or violence, its business similarly could be adversely affected, including the ability of our tenants or borrowers to continue to meet their obligations to us. These events might erode business and consumer confidence and spending and might result in increased volatility in national and international financial markets and economies. Any one of these events might decrease demand for real estate, decrease or delay the occupancy of our new or redeveloped properties, and limit our access to capital or increase our cost of raising capital.</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addition, the Regional Master Lease Agreement and the Las Vegas Master Lease Agreement allow the tenant to remove a property from such lease agreement, and each of our other Lease Agreements may be terminated by the applicable tenant, if: (i) a casualty event occurs (a) in the case of the Caesars Lease Agreements, during the final two years of the term and (b) in the case of the Hard Rock Cincinnati Lease Agreement, the Century Portfolio Lease Agreement, the JACK Cleveland/Thistledown Lease Agreement and the EBCI Lease Agreement, the final year of the term, and (ii) the cost to rebuild or restore the applicable property in connection with a casualty event exceeds 25% (or, in the case of the Century Portfolio Lease Agreement and the EBCI Lease Agreement, 50%) of such property’s total property fair market value. Similarly, if a condemnation event occurs that renders a facility unsuitable for its primary intended use, (i) the applicable tenants may remove the property from the Regional Master Lease Agreement and may terminate the Las Vegas Master Lease Agreement, the Joliet Lease Agreement, the Hard Rock Cincinnati Lease Agreement, the Century Portfolio Lease Agreement, or the JACK Cleveland/Thistledown Lease Agreement, as the case may be, and (ii) the EBCI Lease Agreement shall terminate as of the date before the date of such condemnation. The Penn National Lease Agreements allows the tenants to terminate their respective leases during the final year of the lease term if 50% or more of the square feet of the improvements are destroyed by a casualty event such that the improvements are rendered substantially untenantable. If a condemnation event occurs that renders Margaritaville or Greektown reasonably uneconomical for the operation of the improvements thereon on a commercially practicable basis for their permitted use as rentable facilities capable of producing a fair and reasonable net income therefrom, the tenant may terminate the Margaritaville Lease Agreement or the Greektown Lease Agreement, respectively. If a property is removed from the Regional Master Lease Agreement or if the Las Vegas Master Lease Agreement, the Joliet Lease Agreement, the Penn National Lease Agreements, the Hard Rock Cincinnati Lease Agreement, the Century Portfolio Lease Agreement, the JACK Thistledown/Cleveland Lease Agreement, or the EBCI Lease Agreement, as the case may be, is terminated, we will lose the rent associated with the related facility, which would have a negative impact on our financial results. In this event, following termination of the lease of a property, even if we are able to restore the affected property, we could be limited to selling or leasing such property to a new tenant in order to obtain an alternate source of revenue, which may not happen on comparable terms or at all.</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may adversely affect our business.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Climate change, including rising sea levels, extreme weather and changes in precipitation and temperature, may result in physical damage to, a decrease in demand for and/or a decrease in rent from and value of our properties located in the areas affected by these conditions. For example, we own a number of assets in low-lying areas close to sea level, making those assets susceptible to damage or other negative effects resulting from a rise in sea level or acute extreme weather events, such as storms or floods. We also currently own three properties in Las Vegas (and, following the completion of the pending MGP Transactions, will own ten properties in Las Vegas), which are susceptible to any droughts, water shortages or similar conditions that may arise in the region. If either of these or other relevant eventualities were to occur, we may incur material costs to address these conditions and protect such assets (to the extent not covered by our tenants under the terms of our leases) or may sustain damage, a decrease in value or total loss of such assets.</w:t>
      </w:r>
    </w:p>
    <w:p>
      <w:pPr>
        <w:spacing w:after="0" w:line="1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climate change may result in reduced economic activity in these areas, which could harm the operations of our tenants and reduce the demand at our properties, which could reduce the rent payable to us under our triple-net leases and make it difficult for us to renew or re-lease our properties on favorable lease terms, or at all. Furthermore, our insurance premiums may increase as a result of the threat of climate change or the effects of climate change may not be covered by our insurance policies. In addition, changes in federal and state legislation and regulations on climate change could result in increased capital expenditures to improve the energy efficiency of our existing properties or other related aspects of our properties in order to comply with such regulations or otherwise adapt to climate change. Any of the above could have a material and adverse effect on our business, financial condition, liquidity, results of operations and prospects.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properties are subject to restrictions pursuant to reciprocal easement agreements, operating agreements or similar agreements.</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Many of the properties that we own or that serve as collateral under our loan agreements are, and properties that we may acquire or lend against in the future may be, subject to use restrictions and/or operational requirements imposed pursuant to ground leases, restrictive covenants or conditions, reciprocal easement agreements or operating agreements or other instruments that could, among other things, adversely affect our ability to lease space to third parties, enforce our rights as a lender and otherwise realize additional value from these properties. Such property restrictions could include the following: limitations on alterations, changes, expansions, or reconfiguration of properties; limitations on use of properties; limitations affecting parking requirements; or restrictions on exterior or interior signage or facades. In certain cases, consent of the other party or parties to such agreements may be required when altering, reconfiguring, expanding or redeveloping. Failure to secure such consents when necessary may harm our ability to execute leasing strategies, which could adversely affect us.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the services of key personnel could have a material adverse effect on our business.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success and ability to grow depends, in large part, upon the leadership and performance of our executive management team, particularly our Chief Executive Officer, our President and Chief Operating Officer, our Chief Financial Officer and our General Counsel. Any unforeseen loss of our executive officers’ services, or any negative market or industry perception with respect to them or arising from their loss, could have a material adverse effect on our business. We do not have key man or similar life insurance policies covering members of our senior management. We have employment agreements with our executive officers, but these agreements do not guarantee that any given executive will remain with us, and there can be no assurance that any such officers will remain with us. In addition, the appointment or replacement of certain key members of our executive management team is subject to regulatory approvals based upon suitability determinations by gaming regulatory authorities in the jurisdictions where our properties are located. If any of our executive officers is found unsuitable by any such gaming regulatory authorities, or if we otherwise lose their services, we would have to find alternative candidates and may not be able to successfully manage our business or achieve our business objectives, which could materially and adversely affect our financial condition, liquidity, results of operations and prospects.</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Environmental compliance costs and liabilities associated with real estate properties owned by us may materially impair the value of those investments.</w:t>
      </w:r>
    </w:p>
    <w:p>
      <w:pPr>
        <w:spacing w:after="0" w:line="20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an owner of real property, we are subject to various federal, state and local environmental and health and safety laws and regulations. Although we do not operate or manage most of our properties, as they are subject to triple-net leases, we may be held primarily or jointly and severally liable for costs relating to the investigation and clean-up of any property from which there has been a release or threatened release of a regulated material as well as other affected properties, regardless of whether we knew of or caused the release, and to preserve claims for damages. Further, some environmental laws create a lien on a contaminated site in favor of the government for damages and the costs the government incurs in connection with such contamination.</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under the Lease Agreements the tenants are required to indemnify us for certain environmental liabilities, including environmental liabilities they cause, the amount of such liabilities could exceed the financial ability of the applicable tenants or guarantors to indemnify us. In addition, the presence of contamination or the failure to remediate contamination may adversely affect our ability to sell or lease our properties or to borrow using our properties as collateral.</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our separation from CEOC, together with certain related transactions, does not qualify as a transaction that is generally tax-free for U.S. federal income tax purposes, CEOC could be subject to significant tax liabilities and, in certain circumstances, we could be required to indemnify CEOC for material taxes pursuant to indemnification obligations under the Tax Matters Agreement.</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our separation from CEOC in 2017, the IRS issued a private letter ruling with respect to certain relevant issues, including relating to the separation and certain related transactions as tax-free for U.S. federal income tax purposes under certain provisions of the Code. The IRS ruling does not address certain requirements for tax-free treatment of the separation. CEOC received from its tax advisors a tax opinion substantially to the effect that, with respect to such requirements on which the IRS did not rule, such requirements should be satisfied. The IRS ruling and the tax opinion that CEOC received relied on (among other things) certain representations, assumptions and undertakings, including those relating to the past and future conduct of our business, and the IRS ruling, and the opinion would not be valid if such representations, assumptions and undertakings were incorrect in any material respect.</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Notwithstanding the IRS ruling and the tax opinion, the IRS could determine the separation should be treated as a taxable transaction for U.S. federal income tax purposes if it determines any of the representations, assumptions or undertakings that were included in the request for the IRS ruling are false or have been violated or if it disagrees with the conclusions in the opinion that are not covered by the IRS ruling.</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the reorganization fails to qualify for tax-free treatment, in general, CEOC would be subject to tax as if it had sold our assets to us in a taxable sale for their fair market value, and CEOC’s creditors who received shares of our common stock pursuant to the Plan of Reorganization would be subject to tax as if they had received a taxable distribution in respect of their claims equal to the fair market value of such shares.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Tax Matters Agreement that we entered into with Caesars, we generally are required to indemnify Caesars against any tax resulting from the separation to the extent that such tax resulted from certain of our representations or undertakings being incorrect or violated. Our indemnification obligations to Caesars are not limited by any maximum amount. As a result, if we are required to indemnify Caesars or such other persons under the circumstances set forth in the Tax Matters Agreement, we may be subject to substantial liabilities.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 and Financing</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have a substantial amount of indebtedness, and expect to incur additional indebtedness in the future (including in connection with the consummation of the MGP Transactions). Our substantial indebtedness exposes us to the risk of default under our debt obligations, limits our operating flexibility, increases the risks associated with a downturn in our business or in the businesses of our tenants, and requires us to use a substantial portion of our cash to service our debt obligations.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 substantial amount of indebtedness and debt service requirements. As of December 31, 2021, we had approximately $4.75 billion in long-term indebtedness, consisting of:</w:t>
      </w:r>
    </w:p>
    <w:p>
      <w:pPr>
        <w:spacing w:after="0" w:line="116"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$750.0 million of outstanding 2025 Notes;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$1.25 billion of outstanding 2026 Notes;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$750.0 million of outstanding 2027 Notes;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$1.0 billion of outstanding 2029 Notes;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$1.0 billion of outstanding 2030 Notes.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connection with the MGP Transactions, we have agreed to assume approximately $5.7 billion of MGP’s outstanding indebtedness upon closing of the transaction, including the $1.5 billion pro rata share of the BREIT JV’s outstanding indebtedness. We also anticipate incurring approximately $4.4 billion in debt in connection with the redemption of a majority of New VICI Operating Company units held by MGM and/or its subsidiaries in connection with the closing of the MGP Transactions. See “Risks Related to the Company Following the MGP Transactions – Our anticipated level of indebtedness will increase upon completion of the MGP Transactions and will increase the related risks we now face.”</w:t>
      </w:r>
    </w:p>
    <w:p>
      <w:pPr>
        <w:spacing w:after="0" w:line="12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December 31, 2021, we also had $1.0 billion of available capacity to borrow under our Secured Revolving Credit Facility. Subsequent to year end, on February 8, 2022, we terminated the Secured Revolving Credit Facility and entered into the Revolving Credit Facility in an amount of $2.5 billion, which matures on March 31, 2026, and the Delayed Draw Term Loan in the amount of $1.0 billion, which matures on March 31, 2025. On February 18, 2022, we drew on the Revolving Credit Facility in the amount of $600.0 million to fund a portion of the purchase price of the Venetian Acquisition. In addition, the Credit Facilities include the option to increase commitments by up to $1.0 billion in the aggregate, for both the Revolving Credit Facility and Delayed Draw Term Loan, to the extent that any one or more lenders (from the syndicate or otherwise) agree to provide such additional credit extensions.</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Payments of principal and interest under this indebtedness, or any other instruments governing debt we may incur in the future, may leave us with insufficient cash resources to pursue our business and growth strategies or to pay the distributions currently contemplated or necessary to qualify or maintain qualification as a REIT. Our substantial outstanding indebtedness or future indebtedness, and the limitations imposed on us by our debt agreements, could have other significant adverse consequences, including the following:</w:t>
      </w:r>
    </w:p>
    <w:p>
      <w:pPr>
        <w:spacing w:after="0" w:line="133"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cash flow may be insufficient to meet our required principal and interest payments;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vulnerability to adverse economic, industry or competitive developments, including as a result of COVID-19, may be increased;</w:t>
      </w:r>
    </w:p>
    <w:p>
      <w:pPr>
        <w:spacing w:after="0" w:line="6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unable to borrow additional funds as needed or on favorable terms, which could, among other things, adversely affect our ability to capitalize upon emerging acquisition opportunities, including exercising our rights of first refusal and call rights described herein, or meet operational needs;</w:t>
      </w:r>
    </w:p>
    <w:p>
      <w:pPr>
        <w:spacing w:after="0" w:line="2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unable to refinance our indebtedness at maturity or the refinancing terms may be less favorable than the terms of our original indebtedness;</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forced to dispose of one or more of our properties if permitted under the Lease Agreements, possibly on disadvantageous terms or at a loss;</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of the Operating Partnership to distribute cash to us may be limited or prohibited, which would materially and adversely affect our ability to make distributions on our common stock;</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fail to comply with the payment and restrictive covenants in our loan documents, which would entitle the lenders to accelerate payment of outstanding loans; and</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unable to hedge floating rate debt, counterparties may fail to honor their obligations under our hedge agreements and these agreements may not effectively hedge interest rate fluctuation risk.</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any one of these events were to occur, our financial condition, results of operations, cash flows, the market price of our common stock and our ability to satisfy our debt service obligations, pay distributions to our stockholders or refinancing</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existing or future indebtedness could be materially and adversely affected. In addition, the foreclosure on our properties could create REIT taxable income without accompanying cash proceeds, which could result in entity level taxes to us or could adversely affect our ability to meet the distribution requirements necessary to qualify or maintain qualification as a REIT.</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the Code generally requires that a REIT distribute annually to its stockholders at least 90% of its REIT taxable income (with certain adjustments), determined without regard to the deduction for dividends paid and excluding net capital gains, and that it pay tax at regular corporate rates to the extent that it distributes annually less than 100% of its REIT taxable income, including capital gains. VICI Golf is also subject to U.S. federal income tax at regular corporate rates on any of its taxable income. In order to maintain our status as a REIT and avoid or otherwise minimize current entity-level U.S. federal income taxes, a substantial portion of our cash flow after operating expenses and debt service will be required to be distributed to our stockholders.</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the limitations on the amount of cash available to us after satisfying our debt service obligations and our distribution obligations to maintain our status as a REIT and avoid or otherwise minimize current entity-level U.S. federal income taxes, our ability to pursue our business and growth strategies may be limited.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changes in our credit rating may affect our borrowing capacity and borrowing terms.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outstanding debt is periodically rated by nationally recognized credit rating agencies. The credit ratings are based upon our operating performance, liquidity and leverage ratios, overall financial condition, and other factors viewed by the credit rating agencies as relevant to both our industry and the economic outlook. Our credit rating may affect the amount of capital we can access, as well as the terms of any financing we obtain. Because we rely in part on debt financing to fund growth, the absence of an investment grade credit rating or any credit rating downgrade or negative outlook may have a negative effect on our future growth by increasing our financing costs or limiting our access to financing sources. In the event that we are rated investment grade by one or more nationally recognized credit rating agencies, there is no guarantee that we will realize increased access to capital or improved terms with respect to any financing we obtain, or that we will be able to maintain such investment grade credit rating.</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have future capital needs and may not be able to obtain additional financing on favorable terms, if at all.</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expect to incur additional indebtedness in the future to refinance our existing indebtedness, to finance newly acquired assets or investments in our existing properties through our Partner Property Growth Fund, or for general corporate or other purposes. Any significant additional indebtedness could require a substantial portion of our cash flow to make interest and principal payments due on our indebtedness. Greater demands on our cash resources may reduce funds available to us to pay distributions, make capital expenditures and acquisitions, or carry out other aspects of our business and growth strategies. Increased indebtedness can also limit our ability to adjust rapidly to changing market, industry or economic conditions, limit our ability to access the capital markets to refinance maturing debt or to fund acquisitions or emerging businesses, make us more vulnerable to general adverse economic and industry conditions, including interest rate increases, and create competitive disadvantages for us compared to other companies with relatively lower debt levels. Increased future debt service obligations may limit our operational and financial flexibility. Further, to the extent we were required to incur indebtedness, our future interest costs would increase, thereby reducing our earnings and cash flows from what they otherwise would have been. The impact of any of these potential adverse consequences could have a material adverse effect on our results of operations, financial condition and liquidity</w:t>
      </w:r>
    </w:p>
    <w:p>
      <w:pPr>
        <w:spacing w:after="0" w:line="11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Moreover, our ability to obtain additional financing and satisfy our financial obligations under indebtedness outstanding from time to time will depend upon our future operating performance, which is subject to then prevailing general economic and credit market conditions, including interest rate levels and the availability of credit generally, and financial, business and other factors, many of which are beyond our control. The prolonged continuation or worsening of current credit market conditions would have a material adverse effect on our ability to obtain financing on favorable terms, if at all.</w:t>
      </w:r>
    </w:p>
    <w:p>
      <w:pPr>
        <w:spacing w:after="0" w:line="10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may be unable to obtain additional financing or financing on favorable terms or our operating cash flow may be insufficient to satisfy our financial obligations under indebtedness outstanding from time to time (if any). Among other things, the absence of an investment grade credit rating or any credit rating downgrade or negative outlook could increase our financing costs and could limit our access to financing sources. If financing is not available when needed, or is available on unfavorable terms, we may be unable to pursue our business and growth strategies or otherwise take advantage of new business opportunities or respond to competitive pressures, any of which could have a material adverse effect on our business, financial condition, liquidity, results of operations and prospects. We may raise additional funds in the future through the issuance of equity securities and, as a result, our stockholders may experience significant dilution, which may adversely affect the market price of our common stock and make it more difficult for our stockholders to sell our shares at a time and price that they deem appropriate and could impair our future ability to raise capital through an offering of our equity securities.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Covenants in our debt agreements limit our operational flexibility, and a covenant breach or default could materially and adversely affect our business, financial condition, liquidity, results of operations and prospects.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agreements governing our indebtedness contain customary covenants, including restrictions on our ability to grant liens on our assets, incur indebtedness, sell assets, make investments, engage in acquisitions, mergers or consolidations, engage in transactions with affiliates and pay certain dividends and other restricted payments. In addition, we are required to comply with certain financial maintenance covenants. A breach of any of these covenants or covenants under any other agreements governing our indebtedness could result in an event of default. Cross-default provisions in our debt agreements could cause an event of default under one debt agreement to trigger an event of default under our other debt agreements. Upon the occurrence of an event of default under any of our debt agreements, our debt holders could elect to declare all outstanding debt under such agreements to be immediately due and payable. Defaults under our debt instruments could have a material adverse effect on our business, financial condition, liquidity, results of operations and prospects.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rise in interest rates may increase our overall interest rate expense and could adversely affect our stock price.</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2022, interest rates are expected to rise from historic lows. A rise in interest rates may increase our overall interest rate expense and have an adverse impact on our ability to pay distributions to our stockholders. This risk can be managed or mitigated by utilizing interest rate protection products including interest rate swaps and forward starting interest rate swaps. Although we have previously used and currently use such products with respect to a portion of our indebtedness, there is no assurance that we will use such products in the future, we will utilize any of these products effectively or that such products will be available to us. In addition, in the event of a rise in interest rates, new debt, whether fixed or variable, is likely to be more expensive, which could, among other things, make the financing of any acquisition or investment more expensive, and we may be unable to incur new debt or replace maturing debt with new debt at equal or better interest rates.</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 the dividend yield on our common stock (i.e., the annualized distributions per share of our common stock as a percentage of the market price per share of our common stock), will influence the market price of such common stock. Thus, an increase in market interest rates may lead prospective purchasers of our common stock to expect a higher dividend yield. In addition, higher interest rates would likely increase our borrowing costs and potentially decrease our cash available for distribution. Thus, higher market interest rates could also cause the market price of shares of our common stock to decline.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engaged and may engage in hedging or other derivative transactions that may limit gains or result in losses.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use derivatives from time to time to hedge certain of our liabilities and anticipated liabilities. Although the counterparties of these arrangements are major financial institutions, we are exposed to credit risk in the event of non-performance by the counterparties. This has certain risks, including losses on a hedge position, which may reduce the return on our investments. Such losses may exceed the amount invested in such instruments. In addition, counterparties to a hedging arrangement could default on their obligations. We may have to pay certain costs, such as transaction fees or breakage costs, related to hedging transactions. Any such reduced gains or losses from these derivatives may adversely affect our business or financial condition.</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Future incurrences of debt, which would be senior to our shares of common stock upon liquidation, and/or issuance of preferred equity securities, which may be senior to our shares of common stock for purposes of distributions or upon liquidation, could adversely affect the market price of our common stock.</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Upon the consummation of the MGP Transactions, we anticipate incurring approximately $4.4 billion in debt in connection with the redemption of a majority of New VICI Operating Company units held by MGM and/or its subsidiaries, as a result of which we anticipate that our total pro forma consolidated indebtedness will be, after consummation of the MGP Transactions, approximately $15.5 billion, inclusive of $1.5 billion of our pro rata share of indebtedness of BREIT JV. We may in the future attempt to increase our capital resources by incurring additional debt, including medium-term notes, trust preferred securities and senior or subordinated notes, or issuing preferred shares. If a liquidation event were to occur, holders of our debt securities and preferred shares and lenders with respect to other borrowings will receive distributions of our available assets prior to the holders of our shares of common stock. In addition, our preferred stock, if issued, would likely limit our ability to make liquidating or other distributions to the holders of shares of our common stock under certain circumstances. Any future common stock offerings may dilute the holdings of our existing stockholders or reduce the market price of our common stock, or both. Holders of shares of our common stock are not entitled to preemptive rights or other protections against dilution. Since our decision to issue debt securities, incur other forms of indebtedness or to issue additional common stock or preferred stock in the future will depend on future developments, market conditions and other factors beyond our control, we cannot predict or estimate the amount, timing, nature or success of our future offerings. Thus, our stockholders bear the risk of our issuing senior securities, incurring other senior obligations or issuing additional common stock in the future, which may reduce the market price of shares of our common stock, reduce cash available for distribution to common stockholders or dilute their stockholdings in us.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 Following the MGP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anticipated level of indebtedness will increase upon completion of the MGP Transactions and will increase the related risks we now face.</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Contemporaneously with the execution of the MGP Master Transaction Agreement, we entered into the MGP Transactions Commitment Letter with the MGP Transactions Bridge Lender pursuant to which it has committed to provide the Operating Partnership with bridge financing for the MGP Transactions in the amount of $5.0 billion, after taking into account the termination of $4.2 billion in committed financing representing the second tranche of the MGP Transactions Bridge Facility in accordance with the terms of the MGP Transactions Commitment Letter. In connection with the MGP Transactions, we will also assume and/or refinance approximately $5.7 billion of outstanding indebtedness of MGP, including its pro rata share of $1.5 billion in indebtedness of BREIT JV. Upon the consummation of the MGP Transactions, we also anticipate incurring approximately $4.4 billion in debt in connection with the redemption of a majority of New VICI Operating Company units held by MGM and/or its subsidiaries, and as a result, we anticipate that our total pro forma consolidated indebtedness will be, after consummation of the MGP Transactions, approximately $15.5 billion, inclusive of our pro rata share of $1.5 billion in indebtedness of BREIT JV, and we will be subject to increased risks associated with debt financing, including an increased risk that our cash flow could be insufficient to meet required payments on our debt.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Our increased indebtedness could have important consequences to holders of our common stock, including:</w:t>
      </w:r>
    </w:p>
    <w:p>
      <w:pPr>
        <w:spacing w:after="0" w:line="171"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limiting our ability to obtain additional financing to fund future working capital, capital expenditures and other general corporate requirements;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 respect to floating rate indebtedness, risks associated with increases in interest rates;</w:t>
      </w:r>
    </w:p>
    <w:p>
      <w:pPr>
        <w:spacing w:after="0" w:line="63" w:lineRule="exact"/>
        <w:rPr>
          <w:rFonts w:ascii="Arial" w:cs="Arial" w:eastAsia="Arial" w:hAnsi="Arial"/>
          <w:sz w:val="18"/>
          <w:szCs w:val="18"/>
          <w:color w:val="auto"/>
        </w:rPr>
      </w:pPr>
    </w:p>
    <w:p>
      <w:pPr>
        <w:ind w:left="660" w:right="20" w:hanging="328"/>
        <w:spacing w:after="0" w:line="316" w:lineRule="auto"/>
        <w:tabs>
          <w:tab w:leader="none" w:pos="6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requiring the use of a substantial portion of our cash flow from operations for the payment of principal and interest on our indebtedness, thereby reducing our ability to use our cash flow to fund working capital, acquisitions, capital expenditures and general corporate requirements;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limiting our ability to pay dividends to our stockholders;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our industry;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putting us at a disadvantage compared to our competitors with less indebtedness.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Following the Mergers, we may be unable to realize the anticipated benefits of the MGP Transactions or do so within the anticipated timeframe.</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MGP Transactions, the Mergers involve the cessation of MGP as an independent public company and the integration of MGP’s assets into our existing operations. We are expected to benefit from the elimination of duplicative costs associated with general and administrative expenses, including those related to supporting a public company platform and the leveraging of technology and systems. However, we will be required to devote significant management attention and resources to integrating the assets and asset management functions of MGP into VICI. Potential difficulties we may encounter in the integration process include, among others, the following:</w:t>
      </w:r>
    </w:p>
    <w:p>
      <w:pPr>
        <w:spacing w:after="0" w:line="134" w:lineRule="exact"/>
        <w:rPr>
          <w:sz w:val="20"/>
          <w:szCs w:val="20"/>
          <w:color w:val="auto"/>
        </w:rPr>
      </w:pPr>
    </w:p>
    <w:p>
      <w:pPr>
        <w:ind w:left="66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to successfully integrate the assets, and associated management oversight of such assets, of MGP in a manner that permits us to realize the anticipated benefits of the MGP Transactions in the timeframe currently anticipated or at all;</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additional complexities of increasing the number of properties owned by us, all of which are operated by a new tenant, including additional time and attention required by management;</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to retain key employees of VICI;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additional complexities of integrating two companies with different histories, regulatory restrictions, markets and tenants.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all these reasons, it is possible that the integration process could result in the distraction of our management, the disruption of our ongoing business or inconsistencies in our operations, services, standards, controls, procedures and policies, any of which could adversely affect our ability to maintain relationships with tenants, partners, borrowers, and employees or to achieve the anticipated benefits of the Mergers, could otherwise adversely affect our business and financial results and may cause the market price of our stock to decline.</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we have incurred and expect to incur substantial expenses in completing the MGP Transactions and integrating the assets, business, operations and systems of MGP with our own. While we have assumed that a certain level of expenses would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be incurred, there are a number of factors beyond our control that could affect the total amount or the timing of the expenses relating to the completion of the MGP Transactions and the integration of our and MGP’s operations. Many of the expenses that will be incurred, by their nature, are difficult to estimate accurately at the present time. As a result, the expenses associated with the MGP Transactions could, particularly in the near term, reduce the savings that we expect to achieve from the elimination of duplicative expenses and the realization of economies of scale and cost savings following the completion of the MGP Transactions and impact our business and operations and the market price of our common stock.</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Counterparties to certain significant agreements with MGP may exercise contractual rights under such agreements in connection with the Mergers.</w:t>
      </w:r>
    </w:p>
    <w:p>
      <w:pPr>
        <w:spacing w:after="0" w:line="19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MGP is a party to certain agreements that give the applicable counterparty certain rights following a “change in control,” such as debt instruments and derivative arrangements. In certain of these agreements, such rights may be triggered upon the closing of the Mergers and may trigger a consent or the right to terminate the agreement. It is not a condition to completion of the Mergers that the counterparties consent to the Mergers or waive their contractual rights. Certain counterparties may also require modifications to their respective agreements or the execution of new agreements as a condition to granting a waiver or consent under their agreement. The pursuit of such rights by the counterparties may result in us suffering a loss of potential future revenue or incurring liabilities and may result in the loss or modification of rights that are material to our business. There can be no assurances that such counterparties will not exercise their rights under these agreements, including termination rights where available, or that the exercise of any such rights under, or modification of, these agreements will not adversely affect our business or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an Investment in VICI Following the MGP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Following the MGP Transactions, we may not continue to pay dividends at or above the rate we currently pay.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Following the MGP Transactions, our stockholders may not receive dividends at the same rate they received dividends as our stockholders prior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MGP Transactions for various reasons, including the following:</w:t>
      </w:r>
    </w:p>
    <w:p>
      <w:pPr>
        <w:spacing w:after="0" w:line="157" w:lineRule="exact"/>
        <w:rPr>
          <w:sz w:val="20"/>
          <w:szCs w:val="20"/>
          <w:color w:val="auto"/>
        </w:rPr>
      </w:pPr>
    </w:p>
    <w:p>
      <w:pPr>
        <w:ind w:left="6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not have enough cash to pay such dividends due to changes in our cash requirements, capital spending plans, cash flow or financial position;</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decisions on whether, when and in which amounts to make any future distributions will remain at all times entirely at the discretion of our board of directors, which reserves the right to change our current dividend practices at any time and for any reason;</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desire to retain cash to maintain or improve our credit ratings; and</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amount of dividends that our subsidiaries may distribute to us may be subject to restrictions imposed by state law and restrictions imposed by the terms of any current or future indebtedness that these subsidiaries may incur.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stockholders will have no contractual or other legal right to dividends that have not been declared by our board of directors.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MGM Tax Protection Agreement, during its term, imposes certain limits on our operations and could require New VICI Operating Company to indemnify MGM for certain tax liabilities.</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agreed with MGM to enter into the MGM Tax Protection Agreement pursuant to which New VICI Operating Company will agree, subject to certain exceptions, to indemnify the Protected Parties (as defined in the MGM Tax Protection Agreement) for certain tax liabilities resulting from, during the Protected Period (as defined in the MGM Tax Protection Agreement), (1) the sale, transfer, exchange or other disposition of Protected Property (as defined in the MGM Tax Protection Agreement), (2) a merger, consolidation, or transfer of all of the assets of, or certain other transactions undertaken by, New VICI Operating Company pursuant to which the ownership interests of the Protected Parties in New VICI Operating Company are required to be exchanged in whole or in part for cash or other property, (3) the failure of New VICI Operating Company to maintain approximately $8.5 billion of nonrecourse indebtedness allocable to the Protected Parties, which amount may be reduced over time in accordance with the MGM Tax Protection Agreement, and (4) the failure of New VICI Operating Company or us to comply with certain tax covenants that would impact the tax liabilities of the Protected Parties. In the event that we or New VICI Operating Company breach restrictions in the MGM Tax Protection Agreement, New VICI Operating Company will be liable for grossed-up tax amounts (based on an assumed effective tax rate) associated with the income or gain recognized as a result of such breach. In addition, the BREIT JV previously entered into a tax protection agreement with MGM with respect to built-in gain and debt maintenance related to MGM Grand Las Vegas and Mandalay Bay, which is effective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through mid-2029, and by acquiring MGP, we will bear MGP’s approximate 50.1% proportionate share in the BREIT JV of any indemnity under this existing tax protection agreement.</w:t>
      </w:r>
    </w:p>
    <w:p>
      <w:pPr>
        <w:spacing w:after="0" w:line="11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Therefore, although it may be in the best interests of our stockholders for us to sell a Protected Property, enter into certain significant transactions involving New VICI Operating Company, reduce nonrecourse indebtedness of New VICI Operating Company allocable to MGM or otherwise not comply with certain tax covenants, it may be economically prohibitive for us to do so during the Protected Period because of these indemnity obligations.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Mergers</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Failure to complete the Mergers in a timely manner or at all could adversely affect our business and operations and negatively affect our stock price.</w:t>
      </w:r>
    </w:p>
    <w:p>
      <w:pPr>
        <w:spacing w:after="0" w:line="20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Under the MGP Master Transaction Agreement, we are subject to certain restrictions on the conduct of our business prior to completing the Mergers. These restrictions, the waiver of which are subject to the written consent of the other party, and subject to certain exceptions and qualifications, may prevent us from pursuing certain strategic transactions, acquiring and disposing of assets, undertaking certain capital expenditure projects, undertaking certain financing transactions and otherwise pursuing other actions that are not in the ordinary course of business, even if such actions could prove beneficial. Additionally, the pendency of the Mergers may cause distractions from our strategies and day-to-day operations for employees and management.</w:t>
      </w:r>
    </w:p>
    <w:p>
      <w:pPr>
        <w:spacing w:after="0" w:line="10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Delays in completing the Mergers or the failure to complete the Mergers at all could adversely affect our business and operations, and, in that event, the market price of shares of our common stock may decline significantly, particularly to the extent that the current market price reflects a market assumption that the Mergers will be completed. If the Mergers are not completed for any reason, we will not achieve the expected benefits thereof. In addition, we will be required to pay certain costs relating to the Mergers, whether or not the Mergers are completed.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Exchange Ratio is fixed and will not be adjusted in the event of any change in the stock price of either us or MGP.</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effective time of the REIT Merger, each outstanding MGP Common Share (other than shares held by MGP or any wholly-owned subsidiary of MGP) will be converted into the right to receive the REIT Merger Consideration, consisting of 1.366 shares of our common stock, plus the right, if any, to receive cash in lieu of fractional shares of our common stock into which such MGP Common Shares would have been converted pursuant to the terms and subject to the conditions set forth in the MGP Master Transaction Agreement.</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Exchange Ratio of 1.366 shares of our common stock per MGP Common Share was fixed in the MGP Master Transaction Agreement and, except for certain adjustments on account of changes in the capitalization of us or MGP, or the payment of certain dividends by us or MGP that are necessary to maintain our or MGP’s respective status as a REIT, will not be adjusted for changes in the market prices of our common stock or MGP Common Shares. Changes in the market price of shares of our common stock prior to the Mergers will affect the market value of the REIT Merger Consideration that MGP shareholders will be entitled to receive on the closing date of the Mergers. Stock price changes may result from a variety of factors (many of which are beyond the control of us and MGP), including the following:</w:t>
      </w:r>
    </w:p>
    <w:p>
      <w:pPr>
        <w:spacing w:after="0" w:line="138"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respective businesses, operations, assets, liabilities and prospects of us and MGP;</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market assessments of the business, operations, financial position and prospects of us or MGP;</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market assessments of the likelihood that the Mergers will be completed;</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interest rates, general market and economic conditions and other factors generally affecting the market prices of our common stock and MGP Common Shares;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federal, state and local legislation, governmental regulation and legal developments in the business in which we and MGP operate; and</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factors, including those described or referred to elsewhere under this Item 1A “Risk Factors.”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market price of our common stock at the closing of the Mergers may vary from its price on the date the MGP Master Transaction Agreement was executed and on the date of the special meeting of our stockholders in connection with the Mergers, which was held on October 29, 2021, and may be greater than, less than or the same as the price per share of our common stock at each of the aforementioned times. As a result, the market value of the REIT Merger Consideration represented by the Exchange Ratio will also vary.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Because the Exchange Ratio is fixed:</w:t>
      </w:r>
    </w:p>
    <w:p>
      <w:pPr>
        <w:spacing w:after="0" w:line="171" w:lineRule="exact"/>
        <w:rPr>
          <w:sz w:val="20"/>
          <w:szCs w:val="20"/>
          <w:color w:val="auto"/>
        </w:rPr>
      </w:pPr>
    </w:p>
    <w:p>
      <w:pPr>
        <w:jc w:val="both"/>
        <w:ind w:left="660" w:hanging="328"/>
        <w:spacing w:after="0" w:line="311" w:lineRule="auto"/>
        <w:tabs>
          <w:tab w:leader="none" w:pos="655" w:val="left"/>
        </w:tabs>
        <w:numPr>
          <w:ilvl w:val="0"/>
          <w:numId w:val="35"/>
        </w:numPr>
        <w:rPr>
          <w:rFonts w:ascii="Arial" w:cs="Arial" w:eastAsia="Arial" w:hAnsi="Arial"/>
          <w:sz w:val="16"/>
          <w:szCs w:val="16"/>
          <w:color w:val="auto"/>
        </w:rPr>
      </w:pPr>
      <w:r>
        <w:rPr>
          <w:rFonts w:ascii="Arial" w:cs="Arial" w:eastAsia="Arial" w:hAnsi="Arial"/>
          <w:sz w:val="16"/>
          <w:szCs w:val="16"/>
          <w:color w:val="auto"/>
        </w:rPr>
        <w:t>if the price of our common stock increases between the date the MGP Master Transaction Agreement was executed and the closing of the Mergers, MGP shareholders will receive shares of our common stock that have a market value upon completion of the Mergers that is greater than the market value of such shares calculated pursuant to the Exchange Ratio on the date the MGP Master Transaction Agreement was executed; and</w:t>
      </w:r>
    </w:p>
    <w:p>
      <w:pPr>
        <w:spacing w:after="0" w:line="94" w:lineRule="exact"/>
        <w:rPr>
          <w:rFonts w:ascii="Arial" w:cs="Arial" w:eastAsia="Arial" w:hAnsi="Arial"/>
          <w:sz w:val="16"/>
          <w:szCs w:val="16"/>
          <w:color w:val="auto"/>
        </w:rPr>
      </w:pPr>
    </w:p>
    <w:p>
      <w:pPr>
        <w:jc w:val="both"/>
        <w:ind w:left="660" w:hanging="328"/>
        <w:spacing w:after="0" w:line="311" w:lineRule="auto"/>
        <w:tabs>
          <w:tab w:leader="none" w:pos="655" w:val="left"/>
        </w:tabs>
        <w:numPr>
          <w:ilvl w:val="0"/>
          <w:numId w:val="35"/>
        </w:numPr>
        <w:rPr>
          <w:rFonts w:ascii="Arial" w:cs="Arial" w:eastAsia="Arial" w:hAnsi="Arial"/>
          <w:sz w:val="16"/>
          <w:szCs w:val="16"/>
          <w:color w:val="auto"/>
        </w:rPr>
      </w:pPr>
      <w:r>
        <w:rPr>
          <w:rFonts w:ascii="Arial" w:cs="Arial" w:eastAsia="Arial" w:hAnsi="Arial"/>
          <w:sz w:val="16"/>
          <w:szCs w:val="16"/>
          <w:color w:val="auto"/>
        </w:rPr>
        <w:t>if the price of our common stock declines between the date the MGP Master Transaction Agreement was executed and the closing of the Mergers, MGP shareholders will receive shares of our common stock that have a market value upon the completion of the Mergers that is less than the market value of such shares calculated pursuant to the Exchange Ratio on the date the MGP Master Transaction Agreement was executed.</w:t>
      </w:r>
    </w:p>
    <w:p>
      <w:pPr>
        <w:spacing w:after="0" w:line="9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Therefore, while the number of shares of our common stock to be issued per MGP Common Share is fixed, VICI stockholders cannot be sure of the market value of the REIT Merger Consideration that MGP shareholders will receive upon the closing of the REIT Merger. The market price of our common stock is subject to general price fluctuations in the market for publicly traded equity securities and has experienced volatility in the past.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unexpected delays in the completion of the Mergers or the Mergers may not be completed at all.</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Mergers are currently expected to close in the first half of 2022, assuming that all of the conditions in the MGP Master Transaction Agreement are either satisfied or waived. The MGP Master Transaction Agreement provides that either we or MGP may terminate the MGP Master Transaction Agreement, subject to certain conditions set forth in the MGP Master Transaction Agreement, if the Mergers have not occurred on or before the fifteen month anniversary of the date of the MGP Master Transaction Agreement, which is November 4, 2022 (the “Outside Date”). Certain events may delay the completion of the Mergers or result in a termination of the MGP Master Transaction Agreement. Some of these events are outside the control of VICI and MGP.</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incur significant additional costs in connection with any delay in completing the Mergers or the termination of the MGP Master Transaction Agreement, in addition to significant transaction costs, including legal, financial advisory, accounting and other costs we have already incurred. In addition, if the Mergers are terminated under certain circumstances specified in the MGP Master Transaction Agreement, we will be required to pay to MGP a termination fee of up to $709.0 million. We cannot make assurances that the conditions to the completion of the MGP Master Transaction Agreement will be satisfied or waived or that any adverse change, effect, event, circumstance, occurrence or state of facts that could give rise to the termination of the MGP Master Transaction Agreement will not occur.</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stockholders will have a substantially smaller ownership and voting interest in VICI upon completion of the Mergers, compared to their ownership and voting interest in VICI prior to the Mergers.</w:t>
      </w:r>
    </w:p>
    <w:p>
      <w:pPr>
        <w:spacing w:after="0" w:line="116" w:lineRule="exact"/>
        <w:rPr>
          <w:sz w:val="20"/>
          <w:szCs w:val="20"/>
          <w:color w:val="auto"/>
        </w:rPr>
      </w:pPr>
    </w:p>
    <w:p>
      <w:pPr>
        <w:jc w:val="both"/>
        <w:spacing w:after="0" w:line="293" w:lineRule="auto"/>
        <w:rPr>
          <w:rFonts w:ascii="Arial" w:cs="Arial" w:eastAsia="Arial" w:hAnsi="Arial"/>
          <w:sz w:val="16"/>
          <w:szCs w:val="16"/>
          <w:color w:val="auto"/>
        </w:rPr>
      </w:pPr>
      <w:r>
        <w:rPr>
          <w:rFonts w:ascii="Arial" w:cs="Arial" w:eastAsia="Arial" w:hAnsi="Arial"/>
          <w:sz w:val="16"/>
          <w:szCs w:val="16"/>
          <w:color w:val="auto"/>
        </w:rPr>
        <w:t xml:space="preserve">Upon completion of the Mergers, based on the number of MGP Common Shares and shares of our common stock outstanding on December 31, 2021, we estimate that, after giving effect to the settlement of the March 2021 Forward Sale Agreements and the September 2021 Forward Sale Agreements (each as defined in </w:t>
      </w:r>
      <w:hyperlink w:anchor="page132">
        <w:r>
          <w:rPr>
            <w:rFonts w:ascii="Arial" w:cs="Arial" w:eastAsia="Arial" w:hAnsi="Arial"/>
            <w:sz w:val="16"/>
            <w:szCs w:val="16"/>
            <w:u w:val="single" w:color="auto"/>
            <w:color w:val="0000FF"/>
          </w:rPr>
          <w:t>Note 11 - Stockholders Equity</w:t>
        </w:r>
      </w:hyperlink>
      <w:r>
        <w:rPr>
          <w:rFonts w:ascii="Arial" w:cs="Arial" w:eastAsia="Arial" w:hAnsi="Arial"/>
          <w:sz w:val="16"/>
          <w:szCs w:val="16"/>
          <w:color w:val="auto"/>
        </w:rPr>
        <w:t>) on February 18, 2022, continuing stockholders will own approximately 78% of the issued and outstanding shares of our common stock, and former MGP shareholders will own approximately 22% of the issued and outstanding shares of our common stock. Accordingly, our current stockholders will exercise significantly less influence over us after the Mergers relative to their influence over us prior to the Mergers, and thus will have a less significant impact on the approval or rejection of our future proposals submitted to a stockholder vote.</w:t>
      </w:r>
    </w:p>
    <w:p>
      <w:pPr>
        <w:spacing w:after="0" w:line="11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There can be no assurance that we will be able to secure the financing in connection with the Redemption on acceptable terms, in a timely manner, or at all, and therefore may be compelled to consummate the MGP Transactions without obtaining financing on attractive terms.</w:t>
      </w:r>
    </w:p>
    <w:p>
      <w:pPr>
        <w:spacing w:after="0" w:line="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required to finance the cash required in connection with the Redemption with long-term debt financing or proceeds from the MGP Transactions Bridge Facility in accordance with the terms of the MGP Transactions Commitment Letter. The MGP Transactions Commitment Letter provides for funding to the Operating Partnership of up to $5,008.0 million, which can be used to fund the Redemption and pay transaction costs, following the termination of $4,242.0 million in committed financing representing the second tranche of the MGP Transactions Bridge Facility in accordance with the terms of the MGP Transactions Commitment Letter. Additionally, we may continue to evaluate alternative financing structures and amounts based on our needs and capital markets conditions. The availability of the borrowings under the MGP Transactions Bridge Facility is subject to the satisfaction of certain customary conditions, including the substantially concurrent consummation of the Mergers.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consummation of the MGP Transactions is not conditioned on our ability to obtain financing or on the consummation of the transactions contemplated by the MGP Transactions Commitment Letter. If we are unable to obtain funding contemplated by the MGP Transactions Commitment Letter from our financing sources for the cash required in connection with the Redemption, we may be compelled to specifically perform our obligations to consummate the MGP Transactions with financing that is not on attractive terms or could otherwise be subject to claims under the MGP Master Transaction Agreement, each of which could have a material adverse effect on us.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MGP Master Transaction Agreement contains provisions that could discourage a potential acquirer of the Company from making a favorable proposal, could result in any such proposal being at a lower price than it might otherwise be and, in specified circumstances, could require us to make a substantial termination payment to MGP.</w:t>
      </w:r>
    </w:p>
    <w:p>
      <w:pPr>
        <w:spacing w:after="0" w:line="13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Pursuant to the MGP Master Transaction Agreement, we and MGP have, subject to certain exceptions, agreed not to (i) solicit proposals relating to certain alternative transactions, (ii) enter into discussions or negotiations or provide non-public information concerning proposals relating to an alternative business combination transaction, (iii) approve or recommend any agreements providing for any such alternative business combination transaction, (iv) enter into any letter of intent, agreement in principle, merger agreement or other similar definitive agreements related to an alternative business combination transaction, (v) grant any waiver, amendment or release of any standstill under any standstill or confidentiality agreement or any takeover statute, or (vi) agree to do any of the foregoing. The MGP Master Transaction Agreement also provides that, in connection with the termination of the MGP Master Transaction Agreement by us under certain specified circumstances, we will be required to pay to MGP a termination fee of up to $709.0 million. These provisions could discourage a potential acquirer that might have an interest in acquiring all or a significant part of the Company from considering or proposing such an acquisition, or might result in a potential acquirer proposing to pay a lower per share value than it might otherwise have proposed to pay because of the added expense of the termination fee that may become payable in certain circumstances under the MGP Master Transaction Agreement.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Mergers are not consummated by the Outside Date, either we or MGP may terminate the MGP Master Transaction Agreement.</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Either we or MGP may terminate the MGP Master Transaction Agreement if the Mergers have not been consummated by the Outside Date, which is November 4, 2022. However, this termination right will not be available to a party if that party’s failure to comply with any provision of the MGP Master Transaction Agreement has been the principal cause of, or resulted in, the failure of the Mergers to occur by the Outside Date. In the event the MGP Master Transaction Agreement is terminated by either party due to the failure of the Mergers to close by the Outside Date, we will have incurred significant costs and will have diverted significant management focus and resources from other strategic opportunities without realizing the anticipated benefits of the Mergers.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 adverse judgment in any litigation challenging the Mergers may prevent the Mergers from becoming effective or from becoming effective within the expected timeframe.</w:t>
      </w:r>
    </w:p>
    <w:p>
      <w:pPr>
        <w:spacing w:after="0" w:line="116" w:lineRule="exact"/>
        <w:rPr>
          <w:sz w:val="20"/>
          <w:szCs w:val="20"/>
          <w:color w:val="auto"/>
        </w:rPr>
      </w:pPr>
    </w:p>
    <w:p>
      <w:pPr>
        <w:jc w:val="both"/>
        <w:spacing w:after="0" w:line="273" w:lineRule="auto"/>
        <w:rPr>
          <w:rFonts w:ascii="Arial" w:cs="Arial" w:eastAsia="Arial" w:hAnsi="Arial"/>
          <w:sz w:val="17"/>
          <w:szCs w:val="17"/>
          <w:color w:val="0000FF"/>
        </w:rPr>
      </w:pPr>
      <w:r>
        <w:rPr>
          <w:rFonts w:ascii="Arial" w:cs="Arial" w:eastAsia="Arial" w:hAnsi="Arial"/>
          <w:sz w:val="17"/>
          <w:szCs w:val="17"/>
          <w:color w:val="auto"/>
        </w:rPr>
        <w:t xml:space="preserve">Securities class action lawsuits and derivative lawsuits are often brought against companies that have entered into merger agreements or other agreements similar to the MGP Master Transaction Agreement. As of the date of this Annual Report on Form 10-K, three lawsuits were filed by purported MGP shareholders and six lawsuits were filed by purported VICI stockholders challenging the disclosures made, as applicable, in the Registration Statement on Form S-4 filed on September 8, 2021 and the Prospectus filed on September 23, 2021, each in connection with the Mergers. Additional lawsuits arising out </w:t>
      </w:r>
      <w:hyperlink w:anchor="page130">
        <w:r>
          <w:rPr>
            <w:rFonts w:ascii="Arial" w:cs="Arial" w:eastAsia="Arial" w:hAnsi="Arial"/>
            <w:sz w:val="17"/>
            <w:szCs w:val="17"/>
            <w:color w:val="auto"/>
          </w:rPr>
          <w:t>of the Mergers may be filed in the future. For a more detailed description of this litigation, see “</w:t>
        </w:r>
        <w:r>
          <w:rPr>
            <w:rFonts w:ascii="Arial" w:cs="Arial" w:eastAsia="Arial" w:hAnsi="Arial"/>
            <w:sz w:val="17"/>
            <w:szCs w:val="17"/>
            <w:u w:val="single" w:color="auto"/>
            <w:color w:val="0000FF"/>
          </w:rPr>
          <w:t>Item 3 – Legal Proceedings</w:t>
        </w:r>
        <w:r>
          <w:rPr>
            <w:rFonts w:ascii="Arial" w:cs="Arial" w:eastAsia="Arial" w:hAnsi="Arial"/>
            <w:sz w:val="17"/>
            <w:szCs w:val="17"/>
            <w:color w:val="auto"/>
          </w:rPr>
          <w:t xml:space="preserve">” and “Litigation” in </w:t>
        </w:r>
        <w:r>
          <w:rPr>
            <w:rFonts w:ascii="Arial" w:cs="Arial" w:eastAsia="Arial" w:hAnsi="Arial"/>
            <w:sz w:val="17"/>
            <w:szCs w:val="17"/>
            <w:u w:val="single" w:color="auto"/>
            <w:color w:val="0000FF"/>
          </w:rPr>
          <w:t>Note 10 -</w:t>
        </w:r>
      </w:hyperlink>
      <w:r>
        <w:rPr>
          <w:rFonts w:ascii="Arial" w:cs="Arial" w:eastAsia="Arial" w:hAnsi="Arial"/>
          <w:sz w:val="17"/>
          <w:szCs w:val="17"/>
          <w:color w:val="auto"/>
        </w:rPr>
        <w:t xml:space="preserve"> </w:t>
      </w:r>
      <w:hyperlink w:anchor="page130">
        <w:r>
          <w:rPr>
            <w:rFonts w:ascii="Arial" w:cs="Arial" w:eastAsia="Arial" w:hAnsi="Arial"/>
            <w:sz w:val="17"/>
            <w:szCs w:val="17"/>
            <w:u w:val="single" w:color="auto"/>
            <w:color w:val="0000FF"/>
          </w:rPr>
          <w:t>Commitments and Contingent Liabilities</w:t>
        </w:r>
        <w:r>
          <w:rPr>
            <w:rFonts w:ascii="Arial" w:cs="Arial" w:eastAsia="Arial" w:hAnsi="Arial"/>
            <w:sz w:val="17"/>
            <w:szCs w:val="17"/>
            <w:color w:val="0000FF"/>
          </w:rPr>
          <w:t xml:space="preserve"> </w:t>
        </w:r>
        <w:r>
          <w:rPr>
            <w:rFonts w:ascii="Arial" w:cs="Arial" w:eastAsia="Arial" w:hAnsi="Arial"/>
            <w:sz w:val="17"/>
            <w:szCs w:val="17"/>
            <w:color w:val="000000"/>
          </w:rPr>
          <w:t>to our Financial Statements included in this Annual Report.</w:t>
        </w:r>
      </w:hyperlink>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Although these nine lawsuits have each been dismissed, the parties have not resolved plaintiffs’ requests for attorneys’ fees, and thus we cannot make assurances as to the ultimate outcome of these lawsuits, or any other lawsuits that may be filed, including the amount of costs associated with defending these claims or any other liabilities that may be incurred in connection with the litigation of these claims. If any of the plaintiffs in future lawsuits are successful in obtaining an injunction prohibiting the parties from completing the MGP Transactions on the agreed-upon terms, such an injunction may delay the consummation of the MGP Transactions in the expected timeframe, or could indefinitely enjoin the MGP Transactions from being consummated altogether. Whether or not any plaintiff’s claim is successful, this type of litigation may result in significant costs and divert management’s attention and resources, which could adversely affect the operation of our business.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REIT Merger does not qualify as a reorganization there may be adverse tax consequences.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parties intend that the REIT Merger will be treated as a reorganization within the meaning of Section 368(a) of the Code, and it is a condition to the consummation of the Mergers that we and MGP receive opinions from Hogan Lovells US LLP and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Weil, Gotshal &amp; Manges LLP, respectively, to the effect that, for U.S. federal income tax purposes, the REIT Merger will constitute a reorganization within the meaning of Section 368(a) of the Code. These tax opinions represent the legal judgment of counsel rendering the opinion and are not binding on the Internal Revenue Service (the “IRS”) or the courts. If the REIT Merger were to fail to qualify as a reorganization, U.S. holders of MGP Common Shares generally would recognize gain or loss, as applicable, equal to the difference between (i) the sum of the fair market value of our common stock and the cash in lieu of fraction shares, if any, received by such holder in the REIT Merger; and (ii) such holder’s adjusted tax basis in its MGP Common Shares.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Status as a REIT</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incur adverse tax consequences if we have failed or fail (or, after consummation of the MGP Transactions, MGP has failed), to qualify as a REIT for U.S. federal income tax purposes.</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Code generally requires that a REIT distribute annually to its stockholders at least 90% of its REIT taxable income (with certain adjustments), determined without regard to the deduction for dividends paid and excluding net capital gains, and that it pay tax at regular corporate rates to the extent that it distributes annually less than 100% of its REIT taxable income, including capital gains. In addition, a REIT is required to pay a 4% nondeductible excise tax on the amount, if any, by which the distributions it makes in a calendar year are less than the sum of 85% of its ordinary income, 95% of its capital gain net income and 100% of its undistributed income from prior years. As a result, in order to avoid or otherwise minimize current entity level U.S. federal income taxes, a substantial portion of our cash flow after operating expenses and debt service will be required to be distributed to our stockholders.</w:t>
      </w:r>
    </w:p>
    <w:p>
      <w:pPr>
        <w:spacing w:after="0" w:line="11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operated in a manner that we believe has allowed us to qualify as a REIT for U.S. federal income tax purposes under the Code and intend to continue to do so through the time of the REIT Merger. Furthermore, we intend to operate in a manner that we believe allows us to qualify as a REIT after the REIT Merger. Neither we nor MGP have requested or plan to request a ruling from the IRS that we or MGP qualify as a REIT. Qualification as a REIT involves the application of highly technical and complex Code provisions for which there are only limited judicial and administrative interpretations. The complexity of these provisions and of the applicable treasury regulations that have been promulgated under the Code is greater in the case of a REIT that holds its assets through a partnership (such as we will after the Mergers). The determination of various factual matters and circumstances not entirely within the control of us or MGP may affect its ability to qualify as a REIT. In order to qualify as a REIT, each of us and MGP must satisfy a number of requirements, including requirements regarding the ownership of its stock and the composition of its gross income and assets. Also, a REIT must make distributions to stockholders aggregating annually at least 90% of its net taxable income, excluding any net capital gains.</w:t>
      </w:r>
    </w:p>
    <w:p>
      <w:pPr>
        <w:spacing w:after="0" w:line="1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lose our REIT status, or are determined to have lost our REIT status in a prior year, such loss or failure would have a material and adverse effect on us. Additionally, we will face material tax consequences that would substantially reduce our cash available for distribution, including cash available to pay dividends to our stockholders, because:</w:t>
      </w:r>
    </w:p>
    <w:p>
      <w:pPr>
        <w:spacing w:after="0" w:line="130" w:lineRule="exact"/>
        <w:rPr>
          <w:sz w:val="20"/>
          <w:szCs w:val="20"/>
          <w:color w:val="auto"/>
        </w:rPr>
      </w:pPr>
    </w:p>
    <w:p>
      <w:pPr>
        <w:jc w:val="both"/>
        <w:ind w:left="660" w:hanging="328"/>
        <w:spacing w:after="0" w:line="263"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would be subject to U.S. federal income tax and state and local income taxes on our net income at regular corporate rates for the years we did not qualify for taxation as a REIT (and, for such years, would not be allowed a deduction for dividends paid to stockholders in computing our taxable income);</w:t>
      </w:r>
    </w:p>
    <w:p>
      <w:pPr>
        <w:spacing w:after="0" w:line="2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unless we are entitled to relief under applicable statutory provisions, neither we nor any “successor” corporation, trust or association could elect to be taxed as a REIT until the fifth taxable year following the year during which we were disqualified;</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we were to re-elect REIT status, we would have to distribute all earnings and profits from non-REIT years before the end of the first new REIT taxable year; and</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 the five years following re-election of REIT status, upon a taxable disposition of an asset owned as of such re-election, we would be subject to corporate-level tax with respect to any built-in gain inherent in such asset at the time of re-election.</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Even if we retain our REIT status, if MGP loses its REIT status for a taxable year ending on or before the effective time of the REIT Merger, we would be subject to adverse tax consequences that would substantially reduce our cash available for distribution, including cash available to pay dividends to our stockholders, because:</w:t>
      </w:r>
    </w:p>
    <w:p>
      <w:pPr>
        <w:spacing w:after="0" w:line="130" w:lineRule="exact"/>
        <w:rPr>
          <w:sz w:val="20"/>
          <w:szCs w:val="20"/>
          <w:color w:val="auto"/>
        </w:rPr>
      </w:pPr>
    </w:p>
    <w:p>
      <w:pPr>
        <w:ind w:left="660" w:hanging="328"/>
        <w:spacing w:after="0" w:line="298" w:lineRule="auto"/>
        <w:tabs>
          <w:tab w:leader="none" w:pos="6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unless we are entitled to relief under applicable statutory provisions, VICI, as the “successor” by merger to MGP for U.S. federal income tax purposes, could not elect to be taxed as a REIT until the fifth taxable year following the year during which MGP was disqualified;</w:t>
      </w:r>
    </w:p>
    <w:p>
      <w:pPr>
        <w:ind w:left="660" w:hanging="328"/>
        <w:spacing w:after="0"/>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VICI, as the successor by merger to MGP, would be subject to any corporate income tax liabilities of MGP, including penalties and interest;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660" w:hanging="328"/>
        <w:spacing w:after="0" w:line="263"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assuming that we otherwise maintained our REIT qualification, we would be subject to corporate-level tax on the built-in gain in each asset of MGP existing at the time of the REIT Merger if we were to dispose of such MGP asset during the five-year period following the REIT Merger; and</w:t>
      </w:r>
    </w:p>
    <w:p>
      <w:pPr>
        <w:spacing w:after="0" w:line="21"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assuming that we otherwise maintained our REIT qualification, we would succeed to any earnings and profits accumulated by MGP for taxable periods that it did not qualify as a REIT, and we would have to pay a special dividend and/or employ applicable deficiency dividend procedures (including interest payments to the IRS) to eliminate such earnings and profits (or if we do not timely distribute those earnings and profits, we could fail to qualify as a REIT).</w:t>
      </w:r>
    </w:p>
    <w:p>
      <w:pPr>
        <w:spacing w:after="0" w:line="13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addition, if there is an adjustment to MGP’s taxable income or dividends paid deductions, we could elect to use the deficiency dividend procedure in order to maintain MGP’s REIT status. That deficiency dividend procedure could require us to make significant distributions to our stockholders and to pay significant interest to the IRS.</w:t>
      </w:r>
    </w:p>
    <w:p>
      <w:pPr>
        <w:spacing w:after="0" w:line="13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a result of these factors, our failure (before or after the REIT Merger) or MGP’s failure (before the REIT Merger) to qualify as a REIT could impair our ability after the REIT Merger to expand our business and raise capital, and would materially adversely affect the market value of our common stock.</w:t>
      </w:r>
    </w:p>
    <w:p>
      <w:pPr>
        <w:spacing w:after="0" w:line="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Qualification to be taxed as a REIT involves highly technical and complex provisions of the Code, and violations of these provisions could jeopardize our REIT qualification.</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Qualification as a REIT involves the application of highly technical and complex Code provisions for which only limited judicial and administrative authorities exist. Even a technical or inadvertent violation could jeopardize our REIT qualification. Our qualification as a REIT depends on our satisfaction of certain asset, income, organizational, distribution, stockholder ownership and other requirements on a continuing basis. In addition, our ability to satisfy the requirements to qualify as a REIT may depend in part on the actions of third parties over which we have no control or only limited influence, including in cases where we own an equity interest in an entity that is classified as a partnership for U.S. federal income tax purposes.</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in the future choose to pay dividends in the form of our own common stock, in which case stockholders may be required to pay income taxes in excess of the cash dividends they receive.</w:t>
      </w:r>
    </w:p>
    <w:p>
      <w:pPr>
        <w:spacing w:after="0" w:line="11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may seek in the future to distribute taxable dividends that are payable in cash or our common stock. Taxable stockholders receiving such dividends will be required to include the full amount of the dividend as ordinary income to the extent of our current and accumulated earnings and profits for U.S. federal income tax purposes as to which non-corporate stockholders will generally be eligible for a deduction equal to 20% of such distributions. As a result, stockholders receiving dividends in the form of common stock may be required to pay income taxes with respect to such dividends in excess of the cash dividends received, if any. If a U.S. stockholder sells the common stock that it receives as a dividend in order to pay this tax, the sales proceeds may be less than the amount included in income with respect to the dividend, depending on the market price of our common stock at the time of the sale. In addition, in such case, a U.S. stockholder could have a capital loss with respect to the common stock sold that could not be used to offset such dividend income. Moreover, with respect to certain non-U.S. stockholders, we may be required to withhold U.S. federal income tax with respect to such dividends, including in respect of all or a portion of such dividend that is payable in common stock. Furthermore, such a taxable share dividend could be viewed as equivalent to a reduction in our cash distributions, and that factor, as well as the possibility that a significant number of our stockholders determine to sell our common stock in order to pay taxes owed on dividends, may put downward pressure on the market price of our common stock.</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to the U.S. federal income tax laws, including the enactment of certain tax reform measures, could have a material and adverse effect on us.</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U.S. federal income tax laws governing REITs and other corporations and the administrative interpretations of those laws may be amended at any time, potentially with retroactive effect. Changes to the U.S. federal income tax laws, including the possibility of major tax legislation, could have a material and adverse effect on us or our stockholders. We cannot predict whether, when, to what extent or with what effective dates new U.S. federal tax laws, regulations, interpretations or rulings will be issued. Prospective investors are urged to consult their tax advisors regarding the effect of potential changes to the U.S. federal tax laws on an investment in our common stock.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fail to qualify to be taxed as a REIT if income we receive from our tenants is not treated as qualifying income.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applicable provisions of the Code, we will not be treated as a REIT unless we satisfy various requirements, including requirements relating to the sources of our gross income. The complexity of these provisions of the Code and of the applicable treasury regulations that have been promulgated under the Code is greater in the case of a REIT that holds its assets through a</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partnership (such as we will after the Mergers). Rents received or accrued by us from our tenants will not be treated as qualifying rent for purposes of these requirements if the leases are not respected as true leases for U.S. federal income tax purposes and instead are treated as service contracts, joint ventures, financings or some other type of arrangement. If some or all of our leases are not respected as true leases for U.S. federal income tax purposes, we may fail to qualify to be taxed as a REIT. Furthermore, our qualification as a REIT will depend on our satisfaction of certain asset, income, organizational, distribution, stockholder ownership and other requirements on a continuing basis. Our ability to satisfy the asset tests depends upon our analysis of the characterization and fair market values of our assets, some of which are not susceptible to a precise determination, and for which we may not obtain independent appraisals.</w:t>
      </w:r>
    </w:p>
    <w:p>
      <w:pPr>
        <w:spacing w:after="0" w:line="14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subject to certain exceptions, rents received or accrued by us from any tenant (or affiliated tenants) will not be treated as qualifying rent for purposes of these requirements if we (or an actual or constructive owner of 10% or more of our stock) actually or constructively owns 10% or more of the total combined voting power of all classes of such tenant’s stock entitled to vote or 10% or more of the total value of all classes of such tenant’s stock. Our charter provides restrictions on ownership and transfer of our shares of stock, including restrictions on such ownership or transfer that would cause the rents received or accrued by us from tenants to be treated as non-qualifying rent for purposes of the REIT gross income requirements. Nevertheless, there can be no assurance that such restrictions will be effective in ensuring that rents received or accrued by us from tenants will not be treated as qualifying rent for purposes of REIT qualification requirements.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REIT distribution requirements could adversely affect our ability to execute our business plan.</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generally must distribute annually to our stockholders at least 90% of our REIT taxable income (with certain adjustments), determined without regard to the dividends paid deduction and excluding any net capital gains, in order for us to qualify as a REIT so that U.S. federal corporate income tax does not apply to our earnings that we distribute. To the extent that we satisfy this distribution requirement and qualify for taxation as a REIT but distribute less than 100% of our REIT taxable income, determined without regard to the dividends paid deduction and including any net capital gains, we will be subject to U.S. federal corporate income tax on any undistributed portion of such taxable income. In addition, we will be subject to a 4% nondeductible excise tax if the actual amount that we distribute to our stockholders in a calendar year is less than a minimum amount specified under U.S. federal tax laws. We intend to make distributions to our stockholders to comply with the REIT requirements of the Code and to avoid or otherwise minimize paying entity level federal or excise tax (other than at any taxable REIT subsidiary of ours). We may generate taxable income greater than our income for financial reporting purposes prepared in accordance with GAAP. Further, we may generate taxable income greater than our cash flow from operations after operating expenses and debt service as a result of differences in timing between the recognition of taxable income and the actual receipt of cash or the effect of nondeductible capital expenditures, the creation of reserves or required debt or amortization payments. In order to avoid or otherwise minimize current entity level U.S. federal income taxes, we will generally be required to distribute sufficient cash flow after operating expenses and debt service payments to satisfy the REIT distribution requirements. While we intend to make distributions to our stockholders to comply with the REIT requirements of the Code, we may not have sufficient liquidity to meet the REIT distribution requirements. If our cash flow is insufficient to satisfy the REIT distribution requirements, we could be required to raise capital on unfavorable terms, sell assets at disadvantageous prices, distribute amounts that would otherwise be invested in future acquisitions or issue dividends in the form of shares of our common stock to make distributions sufficient to enable us to pay out enough of our REIT taxable income to satisfy the REIT distribution requirement and to avoid or otherwise minimize corporate income tax and the 4% excise tax in a particular year. These alternatives could increase our costs or change the value of our equity. Thus, compliance with the REIT requirements may hinder our ability to grow, which could adversely affect the market price of our common stock.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qualify as a REIT, we may face other tax liabilities that reduce our cash flow.</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Even if we qualify for taxation as a REIT, we may be subject to certain U.S. federal, state and local taxes on our income and assets, including taxes on any undistributed income and state or local income, property and transfer taxes. For example, in order to meet the REIT qualification requirements, we currently hold and expect in the future to hold some of our assets and conduct certain of our activities through one or more taxable REIT subsidiaries or other subsidiary corporations that will be subject to federal, state, and local corporate-level income taxes as regular C corporations (i.e., corporations generally subject to corporate-level income tax under Subchapter C of Chapter 1 the Code). In addition, we may incur a 100% excise tax on transactions with a taxable REIT subsidiary if they are not conducted on an arm’s length basis. Any of these taxes would decrease cash available for distribution to our stockholders.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Complying with REIT requirements may cause us to liquidate or forgo otherwise attractive opportunities and limit our expansion opportunities.</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qualify as a REIT for U.S. federal income tax purposes, we must continually satisfy tests concerning, among other things, our sources of income, the nature of our investments in real estate and related assets, the amounts we distribute to our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stockholders and the ownership of our stock. We may also be required to make distributions to stockholders at disadvantageous times or when we do not have funds readily available for distribution.</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a REIT, we must ensure that, at the end of each calendar quarter, at least 75% of the value of our assets consists of cash, cash items, government securities and “real estate assets” (as defined in the Code), including certain mortgage loans and securities. The remainder of our investments (other than government securities, qualified real estate assets and securities issued by a taxable REIT subsidiary) generally cannot include more than 10% of the outstanding voting securities of any one issuer or more than 10% of the total value of the outstanding securities of any one issuer. In addition, in general, no more than 5% of the value of our total assets (other than government securities, qualified real estate assets and securities issued by a taxable REIT subsidiary) can consist of the securities of any one issuer, and no more than 20% of the value of our total assets can be represented by securities of one or more taxable REIT subsidiaries. In addition, not more than 25% of our total assets may be represented by debt instruments issued by publicly offered REITs that are “nonqualified” debt instruments.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As a result, we may be required to liquidate from our portfolio, or contribute to a taxable REIT subsidiary, or forgo otherwise attractive investments in order to maintain our qualification as a REIT. These actions could have the effect of reducing our income and amounts available for distribution to our stockholders. In addition to the asset tests set forth above, to qualify as a REIT we must continually satisfy tests concerning, among other things, the sources of our income, the amounts we distribute to our stockholders and the ownership of our stock. We may be unable to pursue investments that would be otherwise advantageous to us in order to satisfy the source-of-income or asset-diversification requirements for qualifying as a REIT. Thus, compliance with the REIT requirements may hinder our ability to make certain attractive investments.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built-in gains tax on the disposition of certain of our properties.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If we acquire certain properties in tax-deferred transactions, which properties were held by one or more C corporations before they were held by us, we may be subject to a built-in gain tax on future disposition of such properties. This is the case with respect to all or substantially all of the properties acquired from CEOC pursuant to the formation transactions as well as certain other properties we have acquired and may acquire in the future. If we dispose of any such properties during the five-year period following acquisition of the properties from the respective C corporation (i.e., during the five-year period following ownership of such properties by a REIT), we will be subject to U.S. federal income tax (and applicable state and local taxes) at the highest corporate tax rates on any gain recognized from the disposition of such properties to the extent of the excess of the fair market value of the properties on the date that they were contributed to or acquired by us in a tax-deferred transaction over the adjusted tax basis of such properties on such date, which are referred to as built-in gains. Similarly, if we recognize certain other income considered to be built-in income during the five-year period following the property acquisitions described above, we could be subject to U.S. federal tax under the built-in-gains tax rules. We would be subject to this corporate-level tax liability (without the benefit of the deduction for dividends paid) even if we qualify and maintain our status as a REIT. Any recognized built-in gain will retain its character as ordinary income or capital gain and will be taken into account in determining REIT taxable income and the REIT distribution requirements. Any tax on the recognized built-in gain will reduce REIT taxable income. We may choose to forego otherwise attractive opportunities to sell assets in a taxable transaction during the five-year built-in-gain recognition period in order to avoid this built-in-gain tax. However, there can be no assurance that such a taxable transaction will not occur. The amount of any such built-in-gain tax could be material and the resulting tax liability could have a negative effect on our cash flow and limit our ability to pay distributions required to qualify and maintain our status as a REIT.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Complying with REIT requirements may limit our ability to hedge effectively and may cause us to incur tax liabilities.</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REIT provisions of the Code substantially limit our ability to hedge our assets and liabilities. Income from certain hedging transactions that we may enter into to manage risk of interest rate changes with respect to borrowings made or to be made to acquire or carry real estate assets or from transactions to manage risk of currency fluctuations with respect to any item of income or gain that satisfy the REIT gross income tests (including gain from the termination of such a transaction) does not constitute “gross income” for purposes of the 75% or 95% gross income tests that apply to REITs, provided that certain identification requirements are met. To the extent that we enter into other types of hedging transactions or fail to properly identify such transaction as a hedge, the income is likely to be treated as non-qualifying income for purposes of both of the gross income tests. As a result of these rules, we may be required to limit our use of advantageous hedging techniques or implement those hedges through a taxable REIT subsidiary. This could increase the cost of our hedging activities because the taxable REIT subsidiary may be subject to tax on gains or expose us to greater risks associated with changes in interest rates that we would otherwise want to bear. In addition, losses in the taxable REIT subsidiary will generally not provide any tax benefit, except that such losses could theoretically be carried back or forward against past or future taxable income of the taxable REIT subsidiary.</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required to make a purging distribution, we may pay such purging distribution in a combination of common stock and cash.</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order to qualify as a REIT, we must distribute any “earnings and profits,” as defined in the Code, accumulated by us during any period for which we did not qualify as a REIT or by any entity whose accumulated earnings and profits we acquire during any period for which such entity did not qualify as a REIT. Such distribution requirement applied to any earnings and profits that were allocated from CEOC to us in connection with the formation transactions by the end of the first taxable year in which we elected REIT status. Based on our analysis, we do not believe that any earnings and profits were allocated to us in connection with the formation transactions or any other transaction to which we are party and therefore did not make a purging distribution and do not currently intend to make any purging distribution, with respect to transactions to which we are a party. If we are required to make a purging distribution in the future, we may pay the purging distribution to our stockholders in a combination of cash and shares of our common stock. Each of our stockholders will be permitted to elect to receive the stockholder’s entire entitlement under the purging distribution in either cash or shares of our common stock, subject to a cash limitation. If our stockholders elect to receive a portion of cash in excess of the cash limitation, each such electing stockholder will receive a pro rata portion of cash corresponding to the stockholder’s respective entitlement under the purging distribution declaration. The IRS has issued a revenue procedure that provides that, so long as a REIT complied with certain provisions therein, certain distributions that are paid partly in cash and partly in stock will be treated as taxable dividends that would satisfy the REIT distribution requirements and qualify for the dividends paid deduction for U.S. federal income tax purposes. In a purging distribution, if any, a stockholder of our common stock will be required to report dividend income equal to the amount of cash and common stock received as a result of the purging distribution even though we may distribute no cash or only nominal amounts of cash to such stockholder.</w:t>
      </w:r>
    </w:p>
    <w:p>
      <w:pPr>
        <w:spacing w:after="0" w:line="1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cash available for distribution to stockholders may not be sufficient to pay dividends at expected levels, nor can we make assurances of our ability to make distributions in the future. We may use borrowed funds to make distributions.</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If cash available for distribution is less than the amount necessary to make cash distributions, our inability to make the expected distributions could result in a decrease in the market price of our common stock. All distributions will be made at the discretion of our board of directors and will depend upon various factors, including, but not limited to: our historical and projected financial condition, cash flows, results of operations and REIT taxable income, limitations contained in financing instruments, debt service requirements, operating cash inflows and outflows, including capital expenditures and acquisitions, limitations on our ability to use cash generated in one or more taxable REIT subsidiaries, if any, to fund distributions and applicable law. We may not be able to make distributions in the future. In addition, some of our distributions may include a return of capital. To the extent that we decide to make distributions in excess of our current and accumulated earnings and profits in the future, such distributions would generally be considered a return of capital for federal income tax purposes to the extent of the holder’s adjusted tax basis in their shares. A return of capital is not taxable, but it has the effect of reducing the holder’s adjusted tax basis in our common stock. To the extent that such distributions exceed the adjusted tax basis of a holder’s shares, they will be treated as gain from the sale or exchange of such stock. If we borrow to fund distributions, our future interest costs would increase, thereby reducing our earnings and cash available for distribution from what they otherwise would have been.</w:t>
      </w:r>
    </w:p>
    <w:p>
      <w:pPr>
        <w:spacing w:after="0" w:line="12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For purposes of satisfying the minimum distribution requirement to qualify for and maintain REIT status, our REIT taxable income will be calculated without reference to our cash flow. Consequently, under certain circumstances, we may not have available cash to make our required distributions, and we may need to raise additional equity or debt in order to fund our intended distributions, or we may distribute a portion of our distributions in the form of our common stock or debt instruments, which could result in dilution or higher leverage. While the IRS has issued a revenue procedure indicating that certain distributions that are made partly in cash and partly in stock will be treated as taxable dividends that would satisfy that REIT annual distribution requirement and qualify for the dividends paid deduction for U.S. federal income tax purposes, no assurance can be provided that we will be able to satisfy the requirements of the revenue procedure. Therefore, it is unclear whether and to what extent we will be able to make taxable dividends payable in-kind. In addition, to the extent we were to make distributions that include our common stock or debt instruments, a stockholder of ours will be required to report dividend income as a result of such distributions even though we distributed no cash or only nominal amounts of cash to such stockholder.</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U.S. federal income tax treatment of the cash that we might receive from cash settlement of a forward sale agreement is unclear and could jeopardize our ability to meet the REIT qualification requirements.</w:t>
      </w:r>
    </w:p>
    <w:p>
      <w:pPr>
        <w:spacing w:after="0" w:line="11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enter into forward sale agreements from time to time and, subject to certain conditions, we have the right to elect physical, cash or net share settlement under these agreements at any time and from time to time, in part or in full. In the event that we elect to settle a forward sale agreement for cash and the settlement price is below the forward sale price, we would be entitled to receive a cash payment from the applicable forward purchaser(s). Under Section 1032 of the Code, generally, no gains and losses are recognized by a corporation in dealing in its own shares, including pursuant to a “securities futures contract,” as defined in the Code by reference to the Exchange Act. Although we believe that any amount received by us in exchange for our</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shares of common stock would qualify for the exemption under Section 1032 of the Code, because it is not entirely clear whether a forward sale agreement qualifies as “securities futures contracts,” the U.S. federal income tax treatment of any cash settlement payment we receive is uncertain. In the event that we recognize a significant gain from the cash settlement of a forward sale agreement, we might not be able to satisfy the gross income requirements applicable to REITs under the Code. If we were to fail to satisfy one or both of the gross income tests for any taxable year, we may nevertheless qualify as a REIT for such year if we were entitled to relief under certain provisions of the Code. If these relief provisions were inapplicable, we would not qualify to be taxed as a REIT.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Organizational Structure</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VICI is a holding company with no direct operations and relies on distributions received from the Operating Partnership to make distributions to its stockholders.</w:t>
      </w:r>
    </w:p>
    <w:p>
      <w:pPr>
        <w:spacing w:after="0" w:line="11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VICI is a holding company and conducts its operations through subsidiaries, including the Operating Partnership and VICI Golf. VICI does not have, apart from the units that it owns in the Operating Partnership and VICI Golf, any independent operations. As a result, VICI relies on distributions from its Operating Partnership to make any distributions to its stockholders it might declare on its common stock and to meet any of its obligations, including any tax liability on taxable income allocated to it from the Operating Partnership (which might not be able to make distributions to VICI equal to the tax on such allocated taxable income). In turn, the ability of subsidiaries of the Operating Partnership to make distributions to the Operating Partnership, and therefore, the ability of the Operating Partnership to make distributions to VICI, depends on the operating results of these subsidiaries and the Operating Partnership and on the terms of any financing arrangements they have entered into. In addition, because VICI is a holding company, claims of common stockholders of VICI are structurally subordinated to all existing and future liabilities and other obligations (whether or not for borrowed money) and any preferred equity of the Operating Partnership and its subsidiaries. Therefore, in the event of our bankruptcy, liquidation or reorganization, VICI’s assets and those of the Operating Partnership and its subsidiaries will be available to satisfy the claims of VICI common stockholders only after all of VICI’s, the Operating Partnership’s and its subsidiaries’ liabilities and other obligations and any preferred equity of any of them have been paid in full.</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Operating Partnership may, in connection with its acquisition of additional properties or otherwise, issue additional common units or preferred units to third parties. Such issuances would reduce VICI’s ownership in the Operating Partnership. Because stockholders of VICI do not directly own common units or preferred units of the Operating Partnership, they do not have any voting rights with respect to any such issuances or other partnership level activities of the Operating Partnership.</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rights and the rights of our stockholders to take action against our directors and officers are limited.</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Maryland General Corporation Law (the “MGCL”) provides that a director has no liability in any action based on an act of the director if he or she has acted in good faith, in a manner he or she reasonably believes to be in the corporation’s best interests and with the care that an ordinarily prudent person in a like position would use under similar circumstances. As permitted by the MGCL, our charter limits the liability of our directors and officers to our company and our stockholders for money damages, to the maximum extent permitted by Maryland law. Under Maryland law, our present directors and officers will not have any liability to us or our stockholders for money damages other than liability resulting from:</w:t>
      </w:r>
    </w:p>
    <w:p>
      <w:pPr>
        <w:spacing w:after="0" w:line="122"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receipt of an improper benefit or profit in money, property or services; or</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final judgment based upon a finding that his or her action or failure to act was the result of active and deliberate dishonesty by the director or officer and was material to the cause of action adjudicated.</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charter provides that we have the power to obligate ourselves, and our amended and restated bylaws obligate us, to indemnify our directors and officers for actions taken by them in those capacities and to pay or reimburse their reasonable expenses in advance of final disposition of a proceeding to the maximum extent permitted by Maryland law. In addition, we have entered into indemnification agreements with our directors and executive officers that provide for indemnification and advancement of expenses to the maximum extent permitted by Maryland law. As a result, we and our stockholders may have more limited rights against our directors and officers than might otherwise exist under common law.</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charter and bylaws contain provisions that may delay, defer or prevent an acquisition of our common stock or a change in control.</w:t>
      </w:r>
    </w:p>
    <w:p>
      <w:pPr>
        <w:spacing w:after="0" w:line="1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charter and bylaws contain provisions, the exercise or existence of which could delay, defer or prevent a transaction or a change in control that might involve a premium price for our stockholders or otherwise be in their best interests, including the following:</w:t>
      </w:r>
    </w:p>
    <w:p>
      <w:pPr>
        <w:spacing w:after="0" w:line="116" w:lineRule="exact"/>
        <w:rPr>
          <w:sz w:val="20"/>
          <w:szCs w:val="20"/>
          <w:color w:val="auto"/>
        </w:rPr>
      </w:pPr>
    </w:p>
    <w:p>
      <w:pPr>
        <w:ind w:left="120" w:hanging="112"/>
        <w:spacing w:after="0"/>
        <w:tabs>
          <w:tab w:leader="none" w:pos="12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Our charter contains restrictions on the ownership and transfer of our stock.</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order for us to qualify as a REIT, no more than 50% of the value of outstanding shares of our stock may be owned, beneficially or constructively, by five or fewer individuals (or certain other persons) at any time during the last half of each taxable year (“closely held”). Subject to certain exceptions, our charter prohibits any stockholder from owning beneficially or constructively, with respect to any class or series of our capital stock, more than 9.8% (in value or by number of shares, whichever is more restrictive) of the aggregate of the outstanding shares of such class or series of our capital stock.</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constructive ownership rules under the Code are complex and may cause the outstanding stock owned by a group of related individuals or entities to be deemed to be constructively owned by one individual or entity. As a result, the acquisition of 9.8% or less of the outstanding shares of a class or series of our stock by an individual or entity could cause that individual or entity or another individual or entity to own constructively in excess of the relevant ownership limits.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Among other restrictions on ownership and transfer of shares, our charter also prohibits any person from owning shares of our stock that would result in our being “closely held” under Section 856(h) of the Code or otherwise cause us to fail to qualify as a REIT. Any attempt to own or transfer shares of our common stock or of any of our other capital stock in violation of these restrictions may result in the shares being automatically transferred to a charitable trust or may be void.</w:t>
      </w:r>
    </w:p>
    <w:p>
      <w:pPr>
        <w:spacing w:after="0" w:line="13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charter provides that our board may grant exceptions to the 9.8% ownership limit, subject in each case to certain initial and ongoing conditions designed to protect our status as a REIT. These ownership limits may prevent a third-party from acquiring control of us if our board of directors does not grant an exemption from the ownership limits, even if our stockholders believe the change in control is in their best interests. An exemption from the 9.8% ownership limit has previously been granted to certain stockholders, and our board may in the future provide exceptions to the ownership limit for other stockholders, subject to the aforementioned initial and ongoing conditions designed to protect our status as a REIT.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Our board of directors has the power to cause us to issue and authorize additional shares of our capital stock without stockholder approval.</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charter authorizes us to issue authorized but unissued shares of common or preferred stock in addition to the shares of common stock issued and outstanding. In addition, our board of directors may, without stockholder approval, amend our charter to increase the aggregate number of our shares of stock or the number of shares of stock of any class or series that we have authority to issue and classify or reclassify any unissued shares of common or preferred stock and set the preferences, rights and other terms of the classified or reclassified shares. As a result, our board of directors may establish a class or series of shares of common or preferred stock that could delay or prevent a transaction or a change in control that might involve a premium price for our shares of common stock or otherwise be in the best interests of our stockholders.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provisions of Maryland law may limit the ability of a third party to acquire control of us.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provisions of the MGCL may have the effect of inhibiting a third party from acquiring us or of impeding a change of control under circumstances that otherwise could provide our common stockholders with the opportunity to realize a premium over the then prevailing market price of such shares, including:</w:t>
      </w:r>
    </w:p>
    <w:p>
      <w:pPr>
        <w:spacing w:after="0" w:line="130" w:lineRule="exact"/>
        <w:rPr>
          <w:sz w:val="20"/>
          <w:szCs w:val="20"/>
          <w:color w:val="auto"/>
        </w:rPr>
      </w:pPr>
    </w:p>
    <w:p>
      <w:pPr>
        <w:jc w:val="both"/>
        <w:ind w:left="660" w:hanging="328"/>
        <w:spacing w:after="0" w:line="255"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“business combination” provisions that, subject to limitations, (a) prohibit certain business combinations between an “interested stockholder” (defined generally as any person who beneficially owns 10% or more of the voting power of our outstanding shares of voting stock or an affiliate or associate of ours who, at any time within the two-year period immediately prior to the date in question, was the beneficial owner of 10% or more of the voting power of our then outstanding shares of our common stock) or an affiliate of any interested stockholder and us for five years after the most recent date on which the stockholder becomes an interested stockholder, and (b) thereafter impose two super-majority stockholder voting requirements on these combinations; and</w:t>
      </w:r>
    </w:p>
    <w:p>
      <w:pPr>
        <w:spacing w:after="0" w:line="138" w:lineRule="exact"/>
        <w:rPr>
          <w:rFonts w:ascii="Arial" w:cs="Arial" w:eastAsia="Arial" w:hAnsi="Arial"/>
          <w:sz w:val="18"/>
          <w:szCs w:val="18"/>
          <w:color w:val="auto"/>
        </w:rPr>
      </w:pPr>
    </w:p>
    <w:p>
      <w:pPr>
        <w:jc w:val="both"/>
        <w:ind w:left="660" w:hanging="328"/>
        <w:spacing w:after="0" w:line="273" w:lineRule="auto"/>
        <w:tabs>
          <w:tab w:leader="none" w:pos="655"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“control share” provisions that provide that holders of “control shares” of our company (defined as voting shares of stock that, if aggregated with all other shares of stock owned or controlled by the acquirer (except solely by virtue of a revocable proxy), would entitle the acquirer to exercise one of three increasing ranges of voting power in electing directors) acquired in a “control share acquisition” (defined as the direct or indirect acquisition of ownership or control of “control shares”) have no voting rights with respect to “control shares” except to the extent approved by our stockholders by the affirmative vote of at least two-thirds of all of the votes entitled to be cast on the matter, excluding all votes entitled to be cast by the acquirer of control shares, and by any of our officers and employees who are also our directors.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charter provides that, notwithstanding any other provision of our charter or our bylaws, the Maryland Business Combination Act (Title 3, Subtitle 6 of the MGCL) does not apply to any business combination between us and any interested stockholder or any affiliate of any interested stockholder of ours and that we expressly elect not to be governed by the provisions of Section 3-602 of the MGCL in whole or in part. Pursuant to the MGCL, our bylaws contain a provision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exempting from the Maryland Control Share Acquisition Act any and all acquisitions by any person of shares of our stock. There can be no assurance that any of these provisions of our charter or bylaws will not be amended or eliminated at any time in the future.</w:t>
      </w:r>
    </w:p>
    <w:p>
      <w:pPr>
        <w:spacing w:after="0" w:line="11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Additionally, provisions of Title 3, Subtitle 8 of the MGCL permit a Maryland corporation such as the Company, by action of its board of directors and without stockholder approval and regardless of what is provided in the charter or bylaws, to elect to avail itself of certain takeover defenses, such as a classified board, unless the charter or a resolution adopted by the board of directors prohibits such election. Our charter provides that we are prohibited from making any such election unless first approved by our stockholders by the affirmative vote of a majority of all votes entitled to be cast on the matter.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risks associated with security breaches through cyber-attacks, cyber-intrusions or otherwise, as well as other significant disruptions of our information technology (IT) networks and related systems.</w:t>
      </w:r>
    </w:p>
    <w:p>
      <w:pPr>
        <w:spacing w:after="0" w:line="11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face risks associated with security breaches, whether through cyber-attacks or cyber-intrusions over the internet, malware, computer viruses, attachments to e-mails, persons inside our organization or persons with access to systems inside our organization, and other significant disruptions of our IT networks and related systems. The risk of a security breach or disruption, particularly through cyber-attack or cyber-intrusion, including by computer hackers, foreign governments and cyber terrorists, has generally increased as the number, intensity and sophistication of attempted attacks and intrusions from around the world have increased. Our IT networks and related systems are essential to the operation of our business and our ability to perform day-to-day operations, including due to increased remote access and operations of our employees and our service providers due to the impact of the COVID-19 pandemic. Although we make efforts to maintain the security and integrity of these types of IT networks and related systems and we have implemented various measures to manage the risk of a security breach or disruption, there can be no assurance that our security efforts and measures will be effective or that attempted security breaches or disruptions would not be successful or damaging. A security breach or other significant disruption involving our IT networks and related systems could, among other things, disrupt the proper functioning of our networks and systems; result in misstated financial reports, violations of loan covenants and/or missed reporting deadlines; result in our inability to monitor our compliance with the rules and regulations regarding our qualification as a REIT; result in the unauthorized access to, and destruction, loss, theft, misappropriation or release of proprietary, confidential, sensitive or otherwise valuable information of ours or others, which such unauthorized parties could use to compete against us or for disruptive, destructive or otherwise harmful purposes and outcomes; require significant management attention and resources to address or remedy any damages that result; subject us to claims for breach of contract, damages, credits, penalties or termination of certain agreements; or damage our reputation among our tenants and investors generally. Any or all of the foregoing could have a material adverse effect on our financial condition, results of operations, cash flow and ability to make distributions with respect to, and the market price of, our common stock.</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board of directors may change our major corporate policies without stockholder approval and those changes may materially and adversely affect us.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board of directors will determine and may eliminate or otherwise change our major corporate policies, including our acquisition, investment, financing, growth, operations and distribution policies. While our stockholders have the power to elect or remove directors, changes in our major corporate policies may be made by our board of directors without stockholder approval and those changes could adversely affect our business, financial condition, liquidity, results of operations and prospects, the market price of our common stock and our ability to make distributions to our stockholders and to satisfy our debt service requirements.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and trading volume of shares of our common stock may be volatile.</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market price of our common stock may be volatile. In addition, the stock markets generally may experience significant volatility, often unrelated to the operating performance of the individual companies whose securities are publicly traded. The trading volume in our common stock may fluctuate and cause significant price variations to occur. We cannot make assurances that the market price of our common stock will not fluctuate or decline significantly in the future. If the market price or trading volume of our common stock declines, you may be unable to resell your shares at a profit, or at all.</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Some of the factors, many of which are beyond our control, that could negatively affect the market price of our common stock or result in fluctuations in the price or trading volume of our common stock include:</w:t>
      </w:r>
    </w:p>
    <w:p>
      <w:pPr>
        <w:spacing w:after="0" w:line="116"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results of operations or distributions;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annual yield from distributions on our common stock as compared to yields on other financial instruments;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our earnings, revenues or adjusted funds from operations per share estimates;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ongoing adverse impact of the COVID-19 pandemic and responses thereto on us and our tenants;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publication of research reports about us, our tenants or the real estate or gaming industries;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adverse developments involving our tenants;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market interest rates or a decrease in our distributions to stockholders that may cause purchasers of our shares to demand a higher yield;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market reaction to any additional capital we raise in the future, including availability and attractiveness of long-term debt financing in connection with future acquisitions;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operating performance and the performance of other similar companies;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failure to achieve the anticipated benefits of future and pending acquisitions and other transactions, including the pending transactions described herein within the timeframe or to the extent anticipated by financial or industry analysts;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to major corporate policies made by our board of directors without stockholder approval;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to achieve the perceived benefits of the MGP Transactions as anticipated;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issuance of common stock in connection with the consummation of the Mergers;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risks relating to any existing or future forward sale agreements;</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equity issuances by us, or future sales of substantial amounts of our common stock by our existing or future stockholders, or the perception that such issuances or future sales may occur;</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stockholders after the consummation of the MGP Transactions may be different than our stockholders prior to consummation;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 actions by institutional stockholders;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securities class action litigation which could result in substantial costs and divert our management’s attention and resources;</w:t>
      </w:r>
    </w:p>
    <w:p>
      <w:pPr>
        <w:spacing w:after="0" w:line="6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strategic actions taken by us or our competitors, such as acquisitions, divestments, spin-offs, joint ventures, strategic investments or changes in business strategy;</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speculation in the press or investment community about us, our tenants, our industry or the economy in general;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publication of research reports about us or our industry by securities analysts;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new laws or regulations or new interpretations of existing laws or regulations applicable to our business and operations or the gaming industry;</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tax or accounting standards, policies, guidance, interpretations or principles;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to qualify as a REIT for U.S. federal income tax purposes;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failure to satisfy the listing requirements of the NYSE or the requirements of the Sarbanes Oxley Act of 2002, as amended;</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adverse conditions in the financial markets or general U.S. or international economic conditions, including those unrelated to our performance and those resulting from war, acts of terrorism, public health crises, and responses to such events;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occurrence of any of the other risk factors presented in this Annual Report on Form 10-K or our other SEC filings.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tabs>
          <w:tab w:leader="none" w:pos="1520" w:val="left"/>
        </w:tabs>
        <w:rPr>
          <w:sz w:val="20"/>
          <w:szCs w:val="20"/>
          <w:color w:val="auto"/>
        </w:rPr>
      </w:pPr>
      <w:r>
        <w:rPr>
          <w:rFonts w:ascii="Arial" w:cs="Arial" w:eastAsia="Arial" w:hAnsi="Arial"/>
          <w:sz w:val="22"/>
          <w:szCs w:val="22"/>
          <w:b w:val="1"/>
          <w:bCs w:val="1"/>
          <w:color w:val="auto"/>
        </w:rPr>
        <w:t>ITEM 1B.</w:t>
      </w:r>
      <w:r>
        <w:rPr>
          <w:sz w:val="20"/>
          <w:szCs w:val="20"/>
          <w:color w:val="auto"/>
        </w:rPr>
        <w:tab/>
      </w:r>
      <w:r>
        <w:rPr>
          <w:rFonts w:ascii="Arial" w:cs="Arial" w:eastAsia="Arial" w:hAnsi="Arial"/>
          <w:sz w:val="19"/>
          <w:szCs w:val="19"/>
          <w:b w:val="1"/>
          <w:bCs w:val="1"/>
          <w:color w:val="auto"/>
        </w:rPr>
        <w:t>Unresolved Staff Comments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ind w:left="20"/>
        <w:spacing w:after="0"/>
        <w:tabs>
          <w:tab w:leader="none" w:pos="152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9"/>
          <w:szCs w:val="19"/>
          <w:b w:val="1"/>
          <w:bCs w:val="1"/>
          <w:color w:val="auto"/>
        </w:rPr>
        <w:t>Properties</w:t>
      </w:r>
    </w:p>
    <w:p>
      <w:pPr>
        <w:spacing w:after="0" w:line="2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geographically diverse portfolio consists of 28 market-leading properties, including Caesars Palace Las Vegas, Harrah’s Las Vegas and the Venetian Resort, three of the most iconic entertainment facilities on the Las Vegas Strip, approximately 34 acres of undeveloped or underdeveloped land on and adjacent to the Las Vegas Strip that is leased to Caesars and four championship golf courses located near certain of our properties, two of which are in close proximity to the Las Vegas Strip.</w:t>
      </w:r>
    </w:p>
    <w:p>
      <w:pPr>
        <w:spacing w:after="0" w:line="133"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8">
        <w:r>
          <w:rPr>
            <w:rFonts w:ascii="Arial" w:cs="Arial" w:eastAsia="Arial" w:hAnsi="Arial"/>
            <w:sz w:val="18"/>
            <w:szCs w:val="18"/>
            <w:u w:val="single" w:color="auto"/>
            <w:color w:val="0000FF"/>
          </w:rPr>
          <w:t>Item 1 - “Business - Our Properties”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information pertaining to our properties.</w:t>
      </w:r>
    </w:p>
    <w:p>
      <w:pPr>
        <w:spacing w:after="0" w:line="198" w:lineRule="exact"/>
        <w:rPr>
          <w:sz w:val="20"/>
          <w:szCs w:val="20"/>
          <w:color w:val="auto"/>
        </w:rPr>
      </w:pPr>
    </w:p>
    <w:p>
      <w:pPr>
        <w:ind w:left="20"/>
        <w:spacing w:after="0"/>
        <w:tabs>
          <w:tab w:leader="none" w:pos="152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ordinary course of business, from time to time, we may be subject to legal claims and administrative proceedings. As of December 31, 2021, we are not subject to any litigation that we believe could have, individually or in the aggregate, a material adverse effect on our business, financial condition or results of operations, liquidity or cash flows.</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connection with the Mergers, three lawsuits were filed by purported MGP shareholders and six lawsuits were filed by purported VICI stockholders challenging the disclosures made, as applicable, in the Registration Statement on Form S-4 filed on September 8, 2021 and the Prospectus filed on September 23, 2021. The plaintiffs in each action sought, among other things, to enjoin the Mergers and the transactions contemplated by the MGP Master Transaction Agreement and an award of costs and attorneys’ fees. Each of the lawsuits has been dismissed pursuant to applicable litigation procedure, although additional lawsuits arising out of the MGP Transactions may be filed in the future.</w:t>
      </w:r>
    </w:p>
    <w:p>
      <w:pPr>
        <w:spacing w:after="0" w:line="149" w:lineRule="exact"/>
        <w:rPr>
          <w:sz w:val="20"/>
          <w:szCs w:val="20"/>
          <w:color w:val="auto"/>
        </w:rPr>
      </w:pPr>
    </w:p>
    <w:p>
      <w:pPr>
        <w:ind w:left="20"/>
        <w:spacing w:after="0"/>
        <w:tabs>
          <w:tab w:leader="none" w:pos="152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Mine Safety Disclosures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 xml:space="preserve">Table </w:t>
        </w:r>
      </w:hyperlink>
      <w:r>
        <w:rPr>
          <w:rFonts w:ascii="Arial" w:cs="Arial" w:eastAsia="Arial" w:hAnsi="Arial"/>
          <w:sz w:val="18"/>
          <w:szCs w:val="18"/>
          <w:u w:val="single" w:color="auto"/>
          <w:color w:val="0000FF"/>
        </w:rPr>
        <w:t xml:space="preserve">of </w:t>
      </w:r>
      <w:hyperlink w:anchor="page1">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w:t>
      </w:r>
    </w:p>
    <w:p>
      <w:pPr>
        <w:spacing w:after="0" w:line="193" w:lineRule="exact"/>
        <w:rPr>
          <w:sz w:val="20"/>
          <w:szCs w:val="20"/>
          <w:color w:val="auto"/>
        </w:rPr>
      </w:pPr>
    </w:p>
    <w:p>
      <w:pPr>
        <w:ind w:left="1520" w:right="140" w:hanging="1497"/>
        <w:spacing w:after="0" w:line="235" w:lineRule="auto"/>
        <w:tabs>
          <w:tab w:leader="none" w:pos="15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22"/>
          <w:szCs w:val="22"/>
          <w:b w:val="1"/>
          <w:bCs w:val="1"/>
          <w:color w:val="auto"/>
        </w:rPr>
        <w:t>Market for the Company’s Common Equity, Related Stockholder Matters and Issuer Purchases of Equity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1, 2018, in connection with our initial registered public offering, our common stock began trading on the New York Stock Exchange (“NYSE”) under the symbol “VICI.”</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February 22, 2022, there were 748,390,629 shares of common stock issued and outstanding that were held by 120 stockholders of record, not including beneficial owners of shares registered in nominee or street name.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Policy</w:t>
      </w:r>
    </w:p>
    <w:p>
      <w:pPr>
        <w:spacing w:after="0" w:line="171" w:lineRule="exact"/>
        <w:rPr>
          <w:sz w:val="20"/>
          <w:szCs w:val="20"/>
          <w:color w:val="auto"/>
        </w:rPr>
      </w:pPr>
    </w:p>
    <w:p>
      <w:pPr>
        <w:jc w:val="both"/>
        <w:spacing w:after="0" w:line="269" w:lineRule="auto"/>
        <w:rPr>
          <w:rFonts w:ascii="Arial" w:cs="Arial" w:eastAsia="Arial" w:hAnsi="Arial"/>
          <w:sz w:val="17"/>
          <w:szCs w:val="17"/>
          <w:color w:val="auto"/>
        </w:rPr>
      </w:pPr>
      <w:r>
        <w:rPr>
          <w:rFonts w:ascii="Arial" w:cs="Arial" w:eastAsia="Arial" w:hAnsi="Arial"/>
          <w:sz w:val="17"/>
          <w:szCs w:val="17"/>
          <w:color w:val="auto"/>
        </w:rPr>
        <w:t xml:space="preserve">We intend to make regular quarterly distributions to holders of shares of our common stock. We cannot make assurances that our estimated distributions will be made or sustained or that our board of directors will not change our distribution policy in the future. Any distributions will be at the sole discretion of our board of directors, and their form, timing and amount, if any, will depend upon a number of factors, including our actual and projected results of operations, FFO, AFFO, liquidity, cash flows and financial condition, the revenue we actually receive from our properties, our operating expenses, our debt service requirements, our capital expenditures, prohibitions and other limitations under our financing arrangements, our REIT taxable income, the annual REIT distribution requirements, applicable law and such other factors as our board of directors deems relevant. For more information regarding risk factors that could materially and adversely affect us and our ability to make cash distributions, see </w:t>
      </w:r>
      <w:hyperlink w:anchor="page25">
        <w:r>
          <w:rPr>
            <w:rFonts w:ascii="Arial" w:cs="Arial" w:eastAsia="Arial" w:hAnsi="Arial"/>
            <w:sz w:val="17"/>
            <w:szCs w:val="17"/>
            <w:u w:val="single" w:color="auto"/>
            <w:color w:val="0000FF"/>
          </w:rPr>
          <w:t>Item 1A “Risk Factors”</w:t>
        </w:r>
      </w:hyperlink>
      <w:r>
        <w:rPr>
          <w:rFonts w:ascii="Arial" w:cs="Arial" w:eastAsia="Arial" w:hAnsi="Arial"/>
          <w:sz w:val="17"/>
          <w:szCs w:val="17"/>
          <w:color w:val="auto"/>
        </w:rPr>
        <w:t>. If our operations do not generate sufficient cash flow to enable us to pay our intended or required distributions, we may be required either to fund distributions from working capital, borrow or raise equity or to reduce such distributions. In addition, our charter allows us to issue preferred stock that could have a preference on distributions and could limit our ability to make distributions to our common stockholders. Additionally, under certain circumstances, agreements relating to our indebtedness could limit our ability to make distributions to our common stockholders.</w:t>
      </w:r>
    </w:p>
    <w:p>
      <w:pPr>
        <w:spacing w:after="0" w:line="12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Federal income tax law requires that a REIT distribute annually at least 90% of its REIT taxable income (with certain adjustments), determined without regard to the dividends paid deduction and excluding any net capital gains, and that it pay tax at regular corporate rates to the extent that it annually distributes less than 100% of its REIT taxable income, determined without regard to the dividends paid deduction and including any net capital gains. In addition, a REIT will be required to pay a 4% nondeductible excise tax on the amount, if any, by which the distributions it makes in a calendar year are less than the sum of 85% of its ordinary income, 95% of its capital gain net income and 100% of its undistributed income from prior years.</w:t>
      </w:r>
    </w:p>
    <w:p>
      <w:pPr>
        <w:spacing w:after="0" w:line="10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intend to make distributions to our stockholders to comply with the REIT requirements of the Code and to avoid or otherwise minimize paying entity level federal or excise tax (other than at any TRS of ours). We may generate taxable income greater than our income for financial reporting purposes prepared in accordance with GAAP. Further, we may generate REIT taxable income greater than our cash flow from operations after operating expenses and debt service as a result of differences in timing between the recognition of REIT taxable income and the actual receipt of cash or the effect of nondeductible capital expenditures, the creation of reserves or required debt or amortization payments.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did not sell any unregistered equity securities during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 xml:space="preserve">Table </w:t>
        </w:r>
      </w:hyperlink>
      <w:r>
        <w:rPr>
          <w:rFonts w:ascii="Arial" w:cs="Arial" w:eastAsia="Arial" w:hAnsi="Arial"/>
          <w:sz w:val="18"/>
          <w:szCs w:val="18"/>
          <w:u w:val="single" w:color="auto"/>
          <w:color w:val="0000FF"/>
        </w:rPr>
        <w:t xml:space="preserve">of </w:t>
      </w:r>
      <w:hyperlink w:anchor="page1">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Repurchases of Equity Securities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December 31, 2021, certain employees surrendered shares of common stock owned by them to us to satisfy their statutory minimum federal and state income tax obligations associated with the vesting of shares of restricted common stock issued under our 2017 Stock Incentive Plan.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such common stock repurchases during the three months ended December 31, 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4"/>
              </w:rPr>
              <w:t>Total Number Of</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6"/>
              </w:rPr>
              <w:t>Maximum Number</w:t>
            </w: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8"/>
              </w:rPr>
              <w:t>Shares Purchased</w:t>
            </w:r>
          </w:p>
        </w:tc>
        <w:tc>
          <w:tcPr>
            <w:tcW w:w="19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3"/>
              </w:rPr>
              <w:t>Of Shares That</w:t>
            </w: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2"/>
              </w:rPr>
              <w:t>Total Number of</w:t>
            </w:r>
          </w:p>
        </w:tc>
        <w:tc>
          <w:tcPr>
            <w:tcW w:w="120" w:type="dxa"/>
            <w:vAlign w:val="bottom"/>
          </w:tcPr>
          <w:p>
            <w:pPr>
              <w:spacing w:after="0"/>
              <w:rPr>
                <w:sz w:val="14"/>
                <w:szCs w:val="14"/>
                <w:color w:val="auto"/>
              </w:rPr>
            </w:pPr>
          </w:p>
        </w:tc>
        <w:tc>
          <w:tcPr>
            <w:tcW w:w="15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1"/>
              </w:rPr>
              <w:t>Average Price Paid</w:t>
            </w:r>
          </w:p>
        </w:tc>
        <w:tc>
          <w:tcPr>
            <w:tcW w:w="18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4"/>
              </w:rPr>
              <w:t>As Part Of</w:t>
            </w:r>
          </w:p>
        </w:tc>
        <w:tc>
          <w:tcPr>
            <w:tcW w:w="19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May Yet Be Purchased</w:t>
            </w:r>
          </w:p>
        </w:tc>
        <w:tc>
          <w:tcPr>
            <w:tcW w:w="0" w:type="dxa"/>
            <w:vAlign w:val="bottom"/>
          </w:tcPr>
          <w:p>
            <w:pPr>
              <w:spacing w:after="0"/>
              <w:rPr>
                <w:sz w:val="1"/>
                <w:szCs w:val="1"/>
                <w:color w:val="auto"/>
              </w:rPr>
            </w:pPr>
          </w:p>
        </w:tc>
      </w:tr>
      <w:tr>
        <w:trPr>
          <w:trHeight w:val="162"/>
        </w:trPr>
        <w:tc>
          <w:tcPr>
            <w:tcW w:w="40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1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86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0"/>
              </w:rPr>
              <w:t>Publicly Announced</w:t>
            </w:r>
          </w:p>
        </w:tc>
        <w:tc>
          <w:tcPr>
            <w:tcW w:w="19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3"/>
              </w:rPr>
              <w:t>Under The Plans Or</w:t>
            </w:r>
          </w:p>
        </w:tc>
        <w:tc>
          <w:tcPr>
            <w:tcW w:w="0" w:type="dxa"/>
            <w:vAlign w:val="bottom"/>
          </w:tcPr>
          <w:p>
            <w:pPr>
              <w:spacing w:after="0"/>
              <w:rPr>
                <w:sz w:val="1"/>
                <w:szCs w:val="1"/>
                <w:color w:val="auto"/>
              </w:rPr>
            </w:pPr>
          </w:p>
        </w:tc>
      </w:tr>
      <w:tr>
        <w:trPr>
          <w:trHeight w:val="216"/>
        </w:trPr>
        <w:tc>
          <w:tcPr>
            <w:tcW w:w="4060" w:type="dxa"/>
            <w:vAlign w:val="bottom"/>
            <w:gridSpan w:val="2"/>
            <w:vMerge w:val="continue"/>
          </w:tcPr>
          <w:p>
            <w:pPr>
              <w:spacing w:after="0"/>
              <w:rPr>
                <w:sz w:val="18"/>
                <w:szCs w:val="18"/>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Shares Purchased</w:t>
            </w:r>
          </w:p>
        </w:tc>
        <w:tc>
          <w:tcPr>
            <w:tcW w:w="120" w:type="dxa"/>
            <w:vAlign w:val="bottom"/>
          </w:tcPr>
          <w:p>
            <w:pPr>
              <w:spacing w:after="0"/>
              <w:rPr>
                <w:sz w:val="18"/>
                <w:szCs w:val="18"/>
                <w:color w:val="auto"/>
              </w:rPr>
            </w:pPr>
          </w:p>
        </w:tc>
        <w:tc>
          <w:tcPr>
            <w:tcW w:w="1580" w:type="dxa"/>
            <w:vAlign w:val="bottom"/>
            <w:gridSpan w:val="2"/>
          </w:tcPr>
          <w:p>
            <w:pPr>
              <w:jc w:val="center"/>
              <w:ind w:right="220"/>
              <w:spacing w:after="0" w:line="216" w:lineRule="exact"/>
              <w:rPr>
                <w:sz w:val="20"/>
                <w:szCs w:val="20"/>
                <w:color w:val="auto"/>
              </w:rPr>
            </w:pPr>
            <w:r>
              <w:rPr>
                <w:rFonts w:ascii="Arial" w:cs="Arial" w:eastAsia="Arial" w:hAnsi="Arial"/>
                <w:sz w:val="16"/>
                <w:szCs w:val="16"/>
                <w:b w:val="1"/>
                <w:bCs w:val="1"/>
                <w:color w:val="auto"/>
                <w:w w:val="88"/>
              </w:rPr>
              <w:t xml:space="preserve">per Share </w:t>
            </w:r>
            <w:r>
              <w:rPr>
                <w:rFonts w:ascii="Arial" w:cs="Arial" w:eastAsia="Arial" w:hAnsi="Arial"/>
                <w:sz w:val="21"/>
                <w:szCs w:val="21"/>
                <w:b w:val="1"/>
                <w:bCs w:val="1"/>
                <w:i w:val="1"/>
                <w:iCs w:val="1"/>
                <w:color w:val="auto"/>
                <w:w w:val="88"/>
                <w:vertAlign w:val="superscript"/>
              </w:rPr>
              <w:t>(1)</w:t>
            </w:r>
          </w:p>
        </w:tc>
        <w:tc>
          <w:tcPr>
            <w:tcW w:w="18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Plans Or Programs</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0"/>
              </w:rPr>
              <w:t>Programs</w:t>
            </w:r>
          </w:p>
        </w:tc>
        <w:tc>
          <w:tcPr>
            <w:tcW w:w="0" w:type="dxa"/>
            <w:vAlign w:val="bottom"/>
          </w:tcPr>
          <w:p>
            <w:pPr>
              <w:spacing w:after="0"/>
              <w:rPr>
                <w:sz w:val="1"/>
                <w:szCs w:val="1"/>
                <w:color w:val="auto"/>
              </w:rPr>
            </w:pPr>
          </w:p>
        </w:tc>
      </w:tr>
      <w:tr>
        <w:trPr>
          <w:trHeight w:val="223"/>
        </w:trPr>
        <w:tc>
          <w:tcPr>
            <w:tcW w:w="3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October 1, 2021 through October 31, 2021</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gridSpan w:val="2"/>
          </w:tcPr>
          <w:p>
            <w:pPr>
              <w:ind w:left="20"/>
              <w:spacing w:after="0"/>
              <w:rPr>
                <w:sz w:val="20"/>
                <w:szCs w:val="20"/>
                <w:color w:val="auto"/>
              </w:rPr>
            </w:pPr>
            <w:r>
              <w:rPr>
                <w:rFonts w:ascii="Arial" w:cs="Arial" w:eastAsia="Arial" w:hAnsi="Arial"/>
                <w:sz w:val="18"/>
                <w:szCs w:val="18"/>
                <w:color w:val="auto"/>
              </w:rPr>
              <w:t>November 1, 2021 through November 30, 2021</w:t>
            </w:r>
          </w:p>
        </w:tc>
        <w:tc>
          <w:tcPr>
            <w:tcW w:w="1620" w:type="dxa"/>
            <w:vAlign w:val="bottom"/>
          </w:tcPr>
          <w:p>
            <w:pPr>
              <w:jc w:val="right"/>
              <w:spacing w:after="0"/>
              <w:rPr>
                <w:sz w:val="20"/>
                <w:szCs w:val="20"/>
                <w:color w:val="auto"/>
              </w:rPr>
            </w:pPr>
            <w:r>
              <w:rPr>
                <w:rFonts w:ascii="Arial" w:cs="Arial" w:eastAsia="Arial" w:hAnsi="Arial"/>
                <w:sz w:val="18"/>
                <w:szCs w:val="18"/>
                <w:color w:val="auto"/>
              </w:rPr>
              <w:t>3,123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27.81</w:t>
            </w:r>
          </w:p>
        </w:tc>
        <w:tc>
          <w:tcPr>
            <w:tcW w:w="100" w:type="dxa"/>
            <w:vAlign w:val="bottom"/>
          </w:tcPr>
          <w:p>
            <w:pPr>
              <w:spacing w:after="0"/>
              <w:rPr>
                <w:sz w:val="19"/>
                <w:szCs w:val="19"/>
                <w:color w:val="auto"/>
              </w:rPr>
            </w:pPr>
          </w:p>
        </w:tc>
        <w:tc>
          <w:tcPr>
            <w:tcW w:w="186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900" w:type="dxa"/>
            <w:vAlign w:val="bottom"/>
          </w:tcPr>
          <w:p>
            <w:pPr>
              <w:ind w:left="1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1, 2021 through December 31, 2021</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40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3,123</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27.81</w:t>
            </w:r>
          </w:p>
        </w:tc>
        <w:tc>
          <w:tcPr>
            <w:tcW w:w="100" w:type="dxa"/>
            <w:vAlign w:val="bottom"/>
          </w:tcPr>
          <w:p>
            <w:pPr>
              <w:spacing w:after="0"/>
              <w:rPr>
                <w:sz w:val="19"/>
                <w:szCs w:val="19"/>
                <w:color w:val="auto"/>
              </w:rPr>
            </w:pPr>
          </w:p>
        </w:tc>
        <w:tc>
          <w:tcPr>
            <w:tcW w:w="1780" w:type="dxa"/>
            <w:vAlign w:val="bottom"/>
            <w:tcBorders>
              <w:top w:val="single" w:sz="8" w:color="auto"/>
            </w:tcBorders>
          </w:tcPr>
          <w:p>
            <w:pPr>
              <w:ind w:left="15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1900" w:type="dxa"/>
            <w:vAlign w:val="bottom"/>
            <w:tcBorders>
              <w:top w:val="single" w:sz="8" w:color="auto"/>
            </w:tcBorders>
          </w:tcPr>
          <w:p>
            <w:pPr>
              <w:ind w:left="16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(1) The price paid per share is based on the closing price of our common stock as of the date of the determination of the statutory minimum federal income tax.</w:t>
      </w:r>
    </w:p>
    <w:p>
      <w:pPr>
        <w:spacing w:after="0" w:line="2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did not otherwise repurchase any equity securities registered pursuant to Section 12 of the Exchange Act during the three months ended December 31,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Registered Offering of Securities - Use of Proceeds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 xml:space="preserve">Table </w:t>
        </w:r>
      </w:hyperlink>
      <w:r>
        <w:rPr>
          <w:rFonts w:ascii="Arial" w:cs="Arial" w:eastAsia="Arial" w:hAnsi="Arial"/>
          <w:sz w:val="18"/>
          <w:szCs w:val="18"/>
          <w:u w:val="single" w:color="auto"/>
          <w:color w:val="0000FF"/>
        </w:rPr>
        <w:t xml:space="preserve">of </w:t>
      </w:r>
      <w:hyperlink w:anchor="page1">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graph below compares our cumulative total stockholder return for the period from October 18, 2017 to December 31, 2021 on our common stock with the cumulative total returns of the S&amp;P 500 index and the MSCI US REIT index. The graph tracks the performance of a $100 investment in our common stock and in each index (with the reinvestment of all dividends as required by the SEC) from October 18, 2017 until December 31, 2021. The return shown on the graph is not necessarily indicative of future performance.</w:t>
      </w:r>
    </w:p>
    <w:p>
      <w:pPr>
        <w:spacing w:after="0" w:line="13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following performance graph shall not be deemed to be "filed" for purposes of Section 18 of the Exchange Act, nor shall this information be incorporated by reference into any future filing under the Securities Act or the Exchange Act, except to the extent that we specifically incorporate it by reference into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91440</wp:posOffset>
            </wp:positionV>
            <wp:extent cx="5803265" cy="36347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03265" cy="363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80" w:type="dxa"/>
            <w:vAlign w:val="bottom"/>
            <w:gridSpan w:val="2"/>
          </w:tcPr>
          <w:p>
            <w:pPr>
              <w:ind w:left="20"/>
              <w:spacing w:after="0"/>
              <w:rPr>
                <w:sz w:val="20"/>
                <w:szCs w:val="20"/>
                <w:color w:val="auto"/>
              </w:rPr>
            </w:pPr>
            <w:r>
              <w:rPr>
                <w:rFonts w:ascii="Arial" w:cs="Arial" w:eastAsia="Arial" w:hAnsi="Arial"/>
                <w:sz w:val="16"/>
                <w:szCs w:val="16"/>
                <w:b w:val="1"/>
                <w:bCs w:val="1"/>
                <w:color w:val="auto"/>
              </w:rPr>
              <w:t>Company / Index</w:t>
            </w:r>
          </w:p>
        </w:tc>
        <w:tc>
          <w:tcPr>
            <w:tcW w:w="260" w:type="dxa"/>
            <w:vAlign w:val="bottom"/>
          </w:tcPr>
          <w:p>
            <w:pPr>
              <w:spacing w:after="0"/>
              <w:rPr>
                <w:sz w:val="18"/>
                <w:szCs w:val="18"/>
                <w:color w:val="auto"/>
              </w:rPr>
            </w:pPr>
          </w:p>
        </w:tc>
        <w:tc>
          <w:tcPr>
            <w:tcW w:w="1100" w:type="dxa"/>
            <w:vAlign w:val="bottom"/>
          </w:tcPr>
          <w:p>
            <w:pPr>
              <w:jc w:val="right"/>
              <w:ind w:right="292"/>
              <w:spacing w:after="0"/>
              <w:rPr>
                <w:sz w:val="20"/>
                <w:szCs w:val="20"/>
                <w:color w:val="auto"/>
              </w:rPr>
            </w:pPr>
            <w:r>
              <w:rPr>
                <w:rFonts w:ascii="Arial" w:cs="Arial" w:eastAsia="Arial" w:hAnsi="Arial"/>
                <w:sz w:val="16"/>
                <w:szCs w:val="16"/>
                <w:b w:val="1"/>
                <w:bCs w:val="1"/>
                <w:color w:val="auto"/>
              </w:rPr>
              <w:t>10/18/17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292"/>
              <w:spacing w:after="0"/>
              <w:rPr>
                <w:sz w:val="20"/>
                <w:szCs w:val="20"/>
                <w:color w:val="auto"/>
              </w:rPr>
            </w:pPr>
            <w:r>
              <w:rPr>
                <w:rFonts w:ascii="Arial" w:cs="Arial" w:eastAsia="Arial" w:hAnsi="Arial"/>
                <w:sz w:val="16"/>
                <w:szCs w:val="16"/>
                <w:b w:val="1"/>
                <w:bCs w:val="1"/>
                <w:color w:val="auto"/>
              </w:rPr>
              <w:t>12/31/17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292"/>
              <w:spacing w:after="0"/>
              <w:rPr>
                <w:sz w:val="20"/>
                <w:szCs w:val="20"/>
                <w:color w:val="auto"/>
              </w:rPr>
            </w:pPr>
            <w:r>
              <w:rPr>
                <w:rFonts w:ascii="Arial" w:cs="Arial" w:eastAsia="Arial" w:hAnsi="Arial"/>
                <w:sz w:val="16"/>
                <w:szCs w:val="16"/>
                <w:b w:val="1"/>
                <w:bCs w:val="1"/>
                <w:color w:val="auto"/>
              </w:rPr>
              <w:t>12/31/18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292"/>
              <w:spacing w:after="0"/>
              <w:rPr>
                <w:sz w:val="20"/>
                <w:szCs w:val="20"/>
                <w:color w:val="auto"/>
              </w:rPr>
            </w:pPr>
            <w:r>
              <w:rPr>
                <w:rFonts w:ascii="Arial" w:cs="Arial" w:eastAsia="Arial" w:hAnsi="Arial"/>
                <w:sz w:val="16"/>
                <w:szCs w:val="16"/>
                <w:b w:val="1"/>
                <w:bCs w:val="1"/>
                <w:color w:val="auto"/>
              </w:rPr>
              <w:t>12/31/19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12"/>
              <w:spacing w:after="0"/>
              <w:rPr>
                <w:sz w:val="20"/>
                <w:szCs w:val="20"/>
                <w:color w:val="auto"/>
              </w:rPr>
            </w:pPr>
            <w:r>
              <w:rPr>
                <w:rFonts w:ascii="Arial" w:cs="Arial" w:eastAsia="Arial" w:hAnsi="Arial"/>
                <w:sz w:val="16"/>
                <w:szCs w:val="16"/>
                <w:b w:val="1"/>
                <w:bCs w:val="1"/>
                <w:color w:val="auto"/>
              </w:rPr>
              <w:t>12/31/20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12"/>
              <w:spacing w:after="0"/>
              <w:rPr>
                <w:sz w:val="20"/>
                <w:szCs w:val="20"/>
                <w:color w:val="auto"/>
              </w:rPr>
            </w:pPr>
            <w:r>
              <w:rPr>
                <w:rFonts w:ascii="Arial" w:cs="Arial" w:eastAsia="Arial" w:hAnsi="Arial"/>
                <w:sz w:val="16"/>
                <w:szCs w:val="16"/>
                <w:b w:val="1"/>
                <w:bCs w:val="1"/>
                <w:color w:val="auto"/>
              </w:rPr>
              <w:t>12/31/21</w:t>
            </w:r>
          </w:p>
        </w:tc>
      </w:tr>
      <w:tr>
        <w:trPr>
          <w:trHeight w:val="225"/>
        </w:trPr>
        <w:tc>
          <w:tcPr>
            <w:tcW w:w="25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VICI Properties Inc.</w:t>
            </w: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152.9</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162.0</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200.5</w:t>
            </w:r>
          </w:p>
        </w:tc>
      </w:tr>
      <w:tr>
        <w:trPr>
          <w:trHeight w:val="230"/>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MSCI US REIT Index</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111.0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158.9</w:t>
            </w:r>
          </w:p>
        </w:tc>
      </w:tr>
      <w:tr>
        <w:trPr>
          <w:trHeight w:val="230"/>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S&amp;P 500</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156.0</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200.7</w:t>
            </w:r>
          </w:p>
        </w:tc>
      </w:tr>
    </w:tbl>
    <w:p>
      <w:pPr>
        <w:spacing w:after="0" w:line="324" w:lineRule="exact"/>
        <w:rPr>
          <w:sz w:val="20"/>
          <w:szCs w:val="20"/>
          <w:color w:val="auto"/>
        </w:rPr>
      </w:pPr>
    </w:p>
    <w:p>
      <w:pPr>
        <w:ind w:left="20"/>
        <w:spacing w:after="0"/>
        <w:tabs>
          <w:tab w:leader="none" w:pos="152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Selected Financial Data</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 xml:space="preserve">Table </w:t>
        </w:r>
      </w:hyperlink>
      <w:r>
        <w:rPr>
          <w:rFonts w:ascii="Arial" w:cs="Arial" w:eastAsia="Arial" w:hAnsi="Arial"/>
          <w:sz w:val="18"/>
          <w:szCs w:val="18"/>
          <w:u w:val="single" w:color="auto"/>
          <w:color w:val="0000FF"/>
        </w:rPr>
        <w:t xml:space="preserve">of </w:t>
      </w:r>
      <w:hyperlink w:anchor="page1">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tabs>
          <w:tab w:leader="none" w:pos="152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19"/>
          <w:szCs w:val="19"/>
          <w:b w:val="1"/>
          <w:bCs w:val="1"/>
          <w:color w:val="auto"/>
        </w:rPr>
        <w:t>Management’s Discussion and Analysis of Financial Condition and Results of Operations</w:t>
      </w:r>
    </w:p>
    <w:p>
      <w:pPr>
        <w:spacing w:after="0" w:line="273" w:lineRule="exact"/>
        <w:rPr>
          <w:sz w:val="20"/>
          <w:szCs w:val="20"/>
          <w:color w:val="auto"/>
        </w:rPr>
      </w:pPr>
    </w:p>
    <w:p>
      <w:pPr>
        <w:jc w:val="both"/>
        <w:spacing w:after="0" w:line="272" w:lineRule="auto"/>
        <w:rPr>
          <w:rFonts w:ascii="Arial" w:cs="Arial" w:eastAsia="Arial" w:hAnsi="Arial"/>
          <w:sz w:val="17"/>
          <w:szCs w:val="17"/>
          <w:i w:val="1"/>
          <w:iCs w:val="1"/>
          <w:color w:val="0000FF"/>
        </w:rPr>
      </w:pPr>
      <w:r>
        <w:rPr>
          <w:rFonts w:ascii="Arial" w:cs="Arial" w:eastAsia="Arial" w:hAnsi="Arial"/>
          <w:sz w:val="17"/>
          <w:szCs w:val="17"/>
          <w:i w:val="1"/>
          <w:iCs w:val="1"/>
          <w:color w:val="auto"/>
        </w:rPr>
        <w:t xml:space="preserve">The following discussion and analysis of our financial condition and results of operations should be read in conjunction with the audited consolidated Financial Statements and notes thereto of VICI Properties Inc. and other financial information included elsewhere in this Annual Report on Form 10-K. Some of the information contained in this discussion and analysis or set forth elsewhere in this Annual Report on Form 10-K, including information with respect to our business and growth strategies, statements regarding the industry outlook and our expectations regarding the future performance of our business contained herein are forward-looking statements. See “Cautionary Note Regarding Forward-Looking Statements.” You should also review the </w:t>
      </w:r>
      <w:hyperlink w:anchor="page25">
        <w:r>
          <w:rPr>
            <w:rFonts w:ascii="Arial" w:cs="Arial" w:eastAsia="Arial" w:hAnsi="Arial"/>
            <w:sz w:val="17"/>
            <w:szCs w:val="17"/>
            <w:i w:val="1"/>
            <w:iCs w:val="1"/>
            <w:u w:val="single" w:color="auto"/>
            <w:color w:val="0000FF"/>
          </w:rPr>
          <w:t>“Risk Factors”</w:t>
        </w:r>
        <w:r>
          <w:rPr>
            <w:rFonts w:ascii="Arial" w:cs="Arial" w:eastAsia="Arial" w:hAnsi="Arial"/>
            <w:sz w:val="17"/>
            <w:szCs w:val="17"/>
            <w:i w:val="1"/>
            <w:iCs w:val="1"/>
            <w:color w:val="0000FF"/>
          </w:rPr>
          <w:t xml:space="preserve"> </w:t>
        </w:r>
      </w:hyperlink>
      <w:r>
        <w:rPr>
          <w:rFonts w:ascii="Arial" w:cs="Arial" w:eastAsia="Arial" w:hAnsi="Arial"/>
          <w:sz w:val="17"/>
          <w:szCs w:val="17"/>
          <w:i w:val="1"/>
          <w:iCs w:val="1"/>
          <w:color w:val="000000"/>
        </w:rPr>
        <w:t>section</w:t>
      </w:r>
      <w:r>
        <w:rPr>
          <w:rFonts w:ascii="Arial" w:cs="Arial" w:eastAsia="Arial" w:hAnsi="Arial"/>
          <w:sz w:val="17"/>
          <w:szCs w:val="17"/>
          <w:i w:val="1"/>
          <w:iCs w:val="1"/>
          <w:color w:val="0000FF"/>
        </w:rPr>
        <w:t xml:space="preserve"> </w:t>
      </w:r>
      <w:r>
        <w:rPr>
          <w:rFonts w:ascii="Arial" w:cs="Arial" w:eastAsia="Arial" w:hAnsi="Arial"/>
          <w:sz w:val="17"/>
          <w:szCs w:val="17"/>
          <w:i w:val="1"/>
          <w:iCs w:val="1"/>
          <w:color w:val="000000"/>
        </w:rPr>
        <w:t>in Item 1A of this Annual Report on Form 10-K for a discussion of important factors that could cause actual results to differ</w:t>
      </w:r>
      <w:r>
        <w:rPr>
          <w:rFonts w:ascii="Arial" w:cs="Arial" w:eastAsia="Arial" w:hAnsi="Arial"/>
          <w:sz w:val="17"/>
          <w:szCs w:val="17"/>
          <w:i w:val="1"/>
          <w:iCs w:val="1"/>
          <w:color w:val="0000FF"/>
        </w:rPr>
        <w:t xml:space="preserve"> </w:t>
      </w:r>
      <w:r>
        <w:rPr>
          <w:rFonts w:ascii="Arial" w:cs="Arial" w:eastAsia="Arial" w:hAnsi="Arial"/>
          <w:sz w:val="17"/>
          <w:szCs w:val="17"/>
          <w:i w:val="1"/>
          <w:iCs w:val="1"/>
          <w:color w:val="000000"/>
        </w:rPr>
        <w:t>materially from the results described in or implied by such forward-looking statements</w:t>
      </w:r>
      <w:r>
        <w:rPr>
          <w:rFonts w:ascii="Arial" w:cs="Arial" w:eastAsia="Arial" w:hAnsi="Arial"/>
          <w:sz w:val="17"/>
          <w:szCs w:val="17"/>
          <w:color w:val="000000"/>
        </w:rPr>
        <w: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OVERVIEW</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an owner and acquirer of experiential real estate assets across leading gaming, hospitality, entertainment and leisure destinations. Our national, geographically diverse portfolio currently consists of 28 market-leading properties, including Caesars Palace Las Vegas, Harrah’s Las Vegas and the Venetian Resort, three of the most iconic entertainment facilities on the Las Vegas Strip. Our entertainment facilities are leased to leading brands that seek to drive consumer loyalty and value with guests through superior services, experiences, products and continuous innovation. Across over 62 million square feet, our well-maintained properties are currently located across urban, destination and drive-to markets in twelve states, contain approximately 25,000 hotel rooms and feature over 250 restaurants, bars and nightclubs. Subsequent to the closing of the MGP Transactions, which we anticipate will occur in the first half of 2022, we will have 43 market leading properties, 10 of which will be located on the Las Vegas Strip, consisting of 117 million square feet, 57,500 hotel rooms and featuring over 730 restaurants, bars and nightclubs across our portfolio.</w:t>
      </w:r>
    </w:p>
    <w:p>
      <w:pPr>
        <w:spacing w:after="0" w:line="111"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Our portfolio also includes three real estate loans, which we have originated for strategic reasons in connection with transactions that may provide the potential to convert our investment into the ownership of certain of the underlying real estate in the future. In addition, we own approximately 34 acres of undeveloped or underdeveloped land on and adjacent to the Las Vegas Strip that is leased to Caesars, which we may look to monetize as appropriate. We also own and operate four championship golf courses located near certain of our properties, two of which are in close proximity to the Las Vegas Strip.</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 our operations as a REIT for U.S. federal income tax purposes. We generally will not be subject to U.S. federal income taxes on our taxable income to the extent that we annually distribute all of our net taxable income to stockholders and maintain our qualification as a REIT. We believe our election of REIT status, combined with the income generation from the Lease Agreements, will enhance our ability to make distributions to our stockholders, providing investors with current income as well as long-term growth, subject to the macroeconomic impact of the COVID-19 pandemic and market conditions more broadly. We conduct our real property business through our Operating Partnership and our golf course business through a TRS, VICI Golf.</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 on Our Business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Since the emergence of the COVID-19 pandemic in early 2020, among the broader public health, societal and global impacts, the pandemic has resulted in governmental and/or regulatory actions imposing temporary closures or restrictions from time to time on our tenants’ operations at our properties and our golf course operations. Although all of our leased properties and our golf courses are currently open and operating, without restriction in some jurisdictions, they remain subject to any current or future operating limitations, restrictions or closures imposed by governments and/or regulatory authorities. While our tenants’ recent performance at many of our leased properties has been at or above pre-pandemic levels, our tenants may continue to face challenges and additional uncertainty due to the impact of the COVID-19 pandemic, such as complying with operational and capacity restrictions and ensuring sufficient employee staffing and service levels, and the sustainability of maintaining improved operating margins and financial performance. The ongoing nature of the pandemic, including the impact of emerging variants, may further adversely affect our tenants’ businesses and, accordingly, our business and financial performance could be adversely affected in the future.</w:t>
      </w:r>
    </w:p>
    <w:p>
      <w:pPr>
        <w:spacing w:after="0" w:line="12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All of our tenants have fulfilled their rent obligations through February 2022 and we regularly engage with our tenants in connection with their business performance, operations, liquidity and financial results. As a triple-net lessor, we believe we are generally in a strong creditor position and structurally insulated from operational and performance impacts of our tenants, both positive and negative. However, the full extent to which the COVID-19 pandemic continues to adversely affect our tenants, and ultimately impacts us, depends on future developments which cannot be predicted with confidence, including the actions taken to contain the pandemic or mitigate its impact, including the availability, distribution, public acceptance and efficacy of</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 xml:space="preserve">Table </w:t>
        </w:r>
      </w:hyperlink>
      <w:r>
        <w:rPr>
          <w:rFonts w:ascii="Arial" w:cs="Arial" w:eastAsia="Arial" w:hAnsi="Arial"/>
          <w:sz w:val="18"/>
          <w:szCs w:val="18"/>
          <w:u w:val="single" w:color="auto"/>
          <w:color w:val="0000FF"/>
        </w:rPr>
        <w:t xml:space="preserve">of </w:t>
      </w:r>
      <w:hyperlink w:anchor="page1">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3" w:lineRule="auto"/>
        <w:rPr>
          <w:rFonts w:ascii="Arial" w:cs="Arial" w:eastAsia="Arial" w:hAnsi="Arial"/>
          <w:sz w:val="18"/>
          <w:szCs w:val="18"/>
          <w:color w:val="auto"/>
        </w:rPr>
      </w:pPr>
      <w:r>
        <w:rPr>
          <w:rFonts w:ascii="Arial" w:cs="Arial" w:eastAsia="Arial" w:hAnsi="Arial"/>
          <w:sz w:val="18"/>
          <w:szCs w:val="18"/>
          <w:color w:val="auto"/>
        </w:rPr>
        <w:t>approved vaccines, new or mutated variants of COVID-19 (including vaccine-resistant variants) or a similar virus, the direct and indirect economic effects of the pandemic and containment measures on our tenants, our tenants’ financial performance and any future operating limitations or closures. For more information, refer to “</w:t>
      </w:r>
      <w:hyperlink w:anchor="page25">
        <w:r>
          <w:rPr>
            <w:rFonts w:ascii="Arial" w:cs="Arial" w:eastAsia="Arial" w:hAnsi="Arial"/>
            <w:sz w:val="18"/>
            <w:szCs w:val="18"/>
            <w:u w:val="single" w:color="auto"/>
            <w:color w:val="0000FF"/>
          </w:rPr>
          <w:t>Part I – Item 1A. Risk Factors</w:t>
        </w:r>
      </w:hyperlink>
      <w:r>
        <w:rPr>
          <w:rFonts w:ascii="Arial" w:cs="Arial" w:eastAsia="Arial" w:hAnsi="Arial"/>
          <w:sz w:val="18"/>
          <w:szCs w:val="18"/>
          <w:color w:val="auto"/>
        </w:rPr>
        <w:t>” included in this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2021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Results</w:t>
      </w:r>
    </w:p>
    <w:p>
      <w:pPr>
        <w:spacing w:after="0" w:line="117"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Collected 100% of rent in cash.</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Total revenues increased 23.2% year-over-year to $1.5 billion.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Net income attributable to common stockholders was $1,013.9 million, or $1.76 per diluted share.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AFFO increased 25.3% year-over-year to $1,047.4 million and AFFO per diluted share increased 11.0% to $1.82.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Achievements</w:t>
      </w:r>
    </w:p>
    <w:p>
      <w:pPr>
        <w:spacing w:after="0" w:line="117"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Announced over $21.3 billion in transaction activity, including:</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The MGP Transactions for approximately $17.2 billion, which upon closing will add $1,009.0 million of annualized rent to our portfolio;</w:t>
      </w:r>
    </w:p>
    <w:p>
      <w:pPr>
        <w:spacing w:after="0" w:line="86" w:lineRule="exact"/>
        <w:rPr>
          <w:rFonts w:ascii="Arial" w:cs="Arial" w:eastAsia="Arial" w:hAnsi="Arial"/>
          <w:sz w:val="16"/>
          <w:szCs w:val="16"/>
          <w:color w:val="auto"/>
        </w:rPr>
      </w:pPr>
    </w:p>
    <w:p>
      <w:pPr>
        <w:ind w:left="1300" w:right="20" w:hanging="320"/>
        <w:spacing w:after="0" w:line="277" w:lineRule="auto"/>
        <w:tabs>
          <w:tab w:leader="none" w:pos="131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Venetian Acquisition for total consideration of $4.0 billion, which upon closing on February 23, 2022, added $250.0 million of annualized rent to our portfolio; and</w:t>
      </w:r>
    </w:p>
    <w:p>
      <w:pPr>
        <w:spacing w:after="0" w:line="8" w:lineRule="exact"/>
        <w:rPr>
          <w:rFonts w:ascii="Arial" w:cs="Arial" w:eastAsia="Arial" w:hAnsi="Arial"/>
          <w:sz w:val="18"/>
          <w:szCs w:val="18"/>
          <w:color w:val="auto"/>
        </w:rPr>
      </w:pPr>
    </w:p>
    <w:p>
      <w:pPr>
        <w:ind w:left="1300" w:hanging="320"/>
        <w:spacing w:after="0"/>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Great Wolf Mezzanine Loan, with a total commitment of $79.5 million and interest rate of 8.0%.</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Announced an increase in our quarterly cash dividend to $0.36 per share (or $1.44 per share on an annualized basis), representing a 9.1% increase compared to our previous quarterly dividend.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Completed two equity offerings with an aggregate offering value of $5.4 billion.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Settled the remaining 26,900,000 shares of the June 2020 Forward Sale Agreement for net proceeds of approximately $526.9 million.</w:t>
      </w:r>
    </w:p>
    <w:p>
      <w:pPr>
        <w:spacing w:after="0" w:line="74"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Used the proceeds from the September 2021 equity offering and settlement of the June 2020 Forward Sale Agreement to repay in full the $2.1 billion secured Term Loan B Facility and settle the outstanding interest rate swap agreements.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SUMMARY OF SIGNIFICANT 2021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Investment Activity</w:t>
      </w:r>
    </w:p>
    <w:p>
      <w:pPr>
        <w:spacing w:after="0" w:line="171" w:lineRule="exact"/>
        <w:rPr>
          <w:sz w:val="20"/>
          <w:szCs w:val="20"/>
          <w:color w:val="auto"/>
        </w:rPr>
      </w:pPr>
    </w:p>
    <w:p>
      <w:pPr>
        <w:jc w:val="both"/>
        <w:ind w:left="660" w:hanging="328"/>
        <w:spacing w:after="0" w:line="269" w:lineRule="auto"/>
        <w:tabs>
          <w:tab w:leader="none" w:pos="655" w:val="left"/>
        </w:tabs>
        <w:numPr>
          <w:ilvl w:val="0"/>
          <w:numId w:val="4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MGP Transactions. </w:t>
      </w:r>
      <w:r>
        <w:rPr>
          <w:rFonts w:ascii="Arial" w:cs="Arial" w:eastAsia="Arial" w:hAnsi="Arial"/>
          <w:sz w:val="17"/>
          <w:szCs w:val="17"/>
          <w:color w:val="auto"/>
        </w:rPr>
        <w:t>On August 4, 2021, we, MGP and MGM, MGP’s controlling shareholder, announced that we entered into the MGP Master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Transaction Agreement, pursuant to which we will acquire MGP for total consideration of $17.2 billion, inclusive of the assumption of approximately $5.7 billion of debt. MGP is a publicly traded gaming REIT and the transaction will add $1,009.0 million of annualized rent to our portfolio from 15 Class A entertainment casino resort properties (including the Mirage) spread across nine regions and comprising 33,000 hotel rooms, 3.6 million square feet of meeting and convention space and hundreds of food, beverage and entertainment venues. Under the terms of the MGP Master Transaction Agreement, holders of MGP Common Shares will receive 1.366 shares of our newly issued common stock in exchange for each Class A common share of MGP. The fixed Exchange Ratio represents an agreed upon price of $43.00 per share of MGP Class A common shares based on our trailing 5-day volume weighted average price of $31.47 as of July 30, 2021. MGM will receive $43.00 per unit in cash for the redemption of the majority of its MGP Operating Partnership units that it holds for total cash consideration of approximately $4.404 billion and will also retain approximately 12.0 million units in a newly formed operating partnership of VICI Properties. The MGP Class B share that is held by MGM will be cancelled and cease to exist.</w:t>
      </w:r>
    </w:p>
    <w:p>
      <w:pPr>
        <w:spacing w:after="0" w:line="127" w:lineRule="exact"/>
        <w:rPr>
          <w:rFonts w:ascii="Arial" w:cs="Arial" w:eastAsia="Arial" w:hAnsi="Arial"/>
          <w:sz w:val="17"/>
          <w:szCs w:val="17"/>
          <w:b w:val="1"/>
          <w:bCs w:val="1"/>
          <w:i w:val="1"/>
          <w:iCs w:val="1"/>
          <w:color w:val="auto"/>
        </w:rPr>
      </w:pPr>
    </w:p>
    <w:p>
      <w:pPr>
        <w:jc w:val="both"/>
        <w:ind w:left="660"/>
        <w:spacing w:after="0" w:line="254" w:lineRule="auto"/>
        <w:rPr>
          <w:rFonts w:ascii="Arial" w:cs="Arial" w:eastAsia="Arial" w:hAnsi="Arial"/>
          <w:sz w:val="17"/>
          <w:szCs w:val="17"/>
          <w:b w:val="1"/>
          <w:bCs w:val="1"/>
          <w:i w:val="1"/>
          <w:iCs w:val="1"/>
          <w:color w:val="auto"/>
        </w:rPr>
      </w:pPr>
      <w:r>
        <w:rPr>
          <w:rFonts w:ascii="Arial" w:cs="Arial" w:eastAsia="Arial" w:hAnsi="Arial"/>
          <w:sz w:val="18"/>
          <w:szCs w:val="18"/>
          <w:color w:val="auto"/>
        </w:rPr>
        <w:t>Simultaneous with the closing of the transaction, we will enter into the MGM Master Lease Agreement with MGM. The MGM Master Lease Agreement will have an initial term of 25 years, with three 10-year tenant renewal options and will have an initial total annual rent of $860.0 million, which will be reduced by $90.0 million to $770.0 million, subject to the pending sale of the Mirage (although, in connection with such sale, we agreed to enter into a new separate lease with Hard Rock related to the land and real estate assets of the Mirage which will have initial annual base rent of $90.0 million with other economic terms substantially similar to the MGM Master Lease Agreement, as further described below). Rent under the MGM Master Lease Agreement will escalate at a rate of 2.0% per annum for the first 10 years and thereafter at the greater of 2.0% per annum and the annual increase in the CPI, subject to a 3.0% cap. Additionally, we will retain MGP’s existing 50.1% ownership stake in the BREIT JV, which owns the real estate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 xml:space="preserve">Table </w:t>
        </w:r>
      </w:hyperlink>
      <w:r>
        <w:rPr>
          <w:rFonts w:ascii="Arial" w:cs="Arial" w:eastAsia="Arial" w:hAnsi="Arial"/>
          <w:sz w:val="18"/>
          <w:szCs w:val="18"/>
          <w:u w:val="single" w:color="auto"/>
          <w:color w:val="0000FF"/>
        </w:rPr>
        <w:t xml:space="preserve">of </w:t>
      </w:r>
      <w:hyperlink w:anchor="page1">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assets of MGM Grand Las Vegas and Mandalay Bay. The BREIT JV lease will remain unchanged and provides for current annual base rent of approximately $298.0 million, of which approximately $149.0 million is attributable to MGP’s investment in the BREIT JV, and an initial term of 30 years, with two 10-year tenant renewal options. Rent under the BREIT JV lease escalates at a rate of 2.0% per annum for the first 15 years and thereafter at the greater of 2.0% per annum and the annual increase in CPI, subject to a 3.0% cap. On a combined basis, the MGM Master Lease Agreement and BREIT JV lease will deliver initial attributable rent to us of approximately $1,009.0 million (which will be reduced to approximately $919.0 million upon closing of the sale of the Mirage). The tenant’s obligations under the MGM Master Lease and BREIT JV lease will continue to be guaranteed by MGM.</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expect the MGP Transactions, subject to regulatory approvals and customary closing conditions, to be completed in the first half of 2022.</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However, we can provide no assurances that the MGP Transactions will close in the anticipated timeframe, on the contemplated terms or at all.</w:t>
      </w:r>
    </w:p>
    <w:p>
      <w:pPr>
        <w:spacing w:after="0" w:line="180" w:lineRule="exact"/>
        <w:rPr>
          <w:sz w:val="20"/>
          <w:szCs w:val="20"/>
          <w:color w:val="auto"/>
        </w:rPr>
      </w:pPr>
    </w:p>
    <w:p>
      <w:pPr>
        <w:jc w:val="both"/>
        <w:ind w:left="660" w:hanging="328"/>
        <w:spacing w:after="0" w:line="288" w:lineRule="auto"/>
        <w:tabs>
          <w:tab w:leader="none" w:pos="655" w:val="left"/>
        </w:tabs>
        <w:numPr>
          <w:ilvl w:val="0"/>
          <w:numId w:val="4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Venetian Acquisition. </w:t>
      </w:r>
      <w:r>
        <w:rPr>
          <w:rFonts w:ascii="Arial" w:cs="Arial" w:eastAsia="Arial" w:hAnsi="Arial"/>
          <w:sz w:val="16"/>
          <w:szCs w:val="16"/>
          <w:color w:val="auto"/>
        </w:rPr>
        <w:t>Subsequent to year end, on February 23, 2022, we closed on the previously announced transaction to acquire all of the land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real estate assets associated with the Venetian Resort from LVS for $4.0 billion in cash, and the Venetian Tenant acquired the operating assets of the Venetian Resort for $2.25 billion, of which $1.2 billion is in the form of a secured term loan from LVS and the remainder was paid in cash. We funded the Venetian Acquisition with (i) $3.2 billion in net proceeds from the physical settlement of the March 2021 Forward Sale Agreements and the September 2021 Forward Sale Agreements, (ii) an initial draw on the Revolving Credit Facility of $600.0 million, and (iii) cash on hand. Simultaneous with the closing of the Venetian Acquisition, we entered into the Venetian Lease Agreement with the Venetian Tenant. The Venetian Lease Agreement has an initial total annual rent of $250.0 million and an initial term of 30 years, with two ten-year tenant renewal options. The annual rent is subject to escalation equal to the greater of 2.0% and the increase in the CPI, capped at 3.0%, beginning in the earlier of (i) the beginning of the third lease year, and (ii) the month following the month in which the net revenue generated by the Venetian Resort returns to its 2019 level (the year immediately prior to the onset of the COVID-19 pandemic) on a trailing twelve-month basis.</w:t>
      </w:r>
    </w:p>
    <w:p>
      <w:pPr>
        <w:spacing w:after="0" w:line="114" w:lineRule="exact"/>
        <w:rPr>
          <w:rFonts w:ascii="Arial" w:cs="Arial" w:eastAsia="Arial" w:hAnsi="Arial"/>
          <w:sz w:val="16"/>
          <w:szCs w:val="16"/>
          <w:color w:val="auto"/>
        </w:rPr>
      </w:pPr>
    </w:p>
    <w:p>
      <w:pPr>
        <w:jc w:val="both"/>
        <w:ind w:left="660"/>
        <w:spacing w:after="0" w:line="257" w:lineRule="auto"/>
        <w:rPr>
          <w:rFonts w:ascii="Arial" w:cs="Arial" w:eastAsia="Arial" w:hAnsi="Arial"/>
          <w:sz w:val="16"/>
          <w:szCs w:val="16"/>
          <w:color w:val="auto"/>
        </w:rPr>
      </w:pPr>
      <w:r>
        <w:rPr>
          <w:rFonts w:ascii="Arial" w:cs="Arial" w:eastAsia="Arial" w:hAnsi="Arial"/>
          <w:sz w:val="18"/>
          <w:szCs w:val="18"/>
          <w:color w:val="auto"/>
        </w:rPr>
        <w:t>In connection with the Venetian Acquisition, we entered into a Property Growth Fund Agreement (“Venetian PGFA”) with the Venetian Tenant. Under the Venetian PGFA, we agreed to provide up to $1.0 billion for various development and construction projects affecting the Venetian Resort to be identified by the Venetian Tenant and that satisfy certain criteria more particularly set forth in the Venetian PGFA, in consideration of additional incremental rent to be paid by the Venetian Tenant under the Venetian Lease Agreement and calculated in accordance with a formula set forth in the Venetian PGFA.</w:t>
      </w:r>
    </w:p>
    <w:p>
      <w:pPr>
        <w:spacing w:after="0" w:line="133" w:lineRule="exact"/>
        <w:rPr>
          <w:rFonts w:ascii="Arial" w:cs="Arial" w:eastAsia="Arial" w:hAnsi="Arial"/>
          <w:sz w:val="16"/>
          <w:szCs w:val="16"/>
          <w:color w:val="auto"/>
        </w:rPr>
      </w:pPr>
    </w:p>
    <w:p>
      <w:pPr>
        <w:jc w:val="both"/>
        <w:ind w:left="660"/>
        <w:spacing w:after="0" w:line="269" w:lineRule="auto"/>
        <w:rPr>
          <w:rFonts w:ascii="Arial" w:cs="Arial" w:eastAsia="Arial" w:hAnsi="Arial"/>
          <w:sz w:val="16"/>
          <w:szCs w:val="16"/>
          <w:color w:val="auto"/>
        </w:rPr>
      </w:pPr>
      <w:r>
        <w:rPr>
          <w:rFonts w:ascii="Arial" w:cs="Arial" w:eastAsia="Arial" w:hAnsi="Arial"/>
          <w:sz w:val="17"/>
          <w:szCs w:val="17"/>
          <w:color w:val="auto"/>
        </w:rPr>
        <w:t>In addition, LVS agreed with the Venetian Tenant pursuant to an agreement (the “Contingent Lease Support Agreement”) entered into simultaneously with the closing of the Venetian Acquisition to provide lease payment support designed to guarantee the Venetian Tenant’s rent obligations under the Venetian Lease Agreement through 2023, subject to early termination if EBITDAR (as defined in such agreement) generated by the Venetian Resort in 2022 equals or exceeds $550.0 million, or a tenant change of control occurs. We are a third-party beneficiary of the Contingent Lease Support Agreement and have certain enforcement rights pursuant thereto. The Contingent Lease Support Agreement is limited to coverage of the Venetian Tenant’s rent obligations and does not cover any environmental expenses, litigation claims, or any cure or enforcement costs. The obligations of the Venetian Tenant under the Venetian Lease Agreement are not guaranteed by Apollo or any of its affiliates. After the termination of the Contingent Lease Support Agreement, the Venetian Tenant will be required to provide a letter of credit to secure seven and one-half months of the rent, real estate taxes and assessments and insurance obligations of the Venetian Tenant if the operating results from the Venetian Resort do not exceed certain thresholds.</w:t>
      </w:r>
    </w:p>
    <w:p>
      <w:pPr>
        <w:spacing w:after="0" w:line="131" w:lineRule="exact"/>
        <w:rPr>
          <w:rFonts w:ascii="Arial" w:cs="Arial" w:eastAsia="Arial" w:hAnsi="Arial"/>
          <w:sz w:val="16"/>
          <w:szCs w:val="16"/>
          <w:color w:val="auto"/>
        </w:rPr>
      </w:pPr>
    </w:p>
    <w:p>
      <w:pPr>
        <w:jc w:val="both"/>
        <w:ind w:left="660" w:hanging="328"/>
        <w:spacing w:after="0" w:line="270" w:lineRule="auto"/>
        <w:tabs>
          <w:tab w:leader="none" w:pos="655" w:val="left"/>
        </w:tabs>
        <w:numPr>
          <w:ilvl w:val="0"/>
          <w:numId w:val="4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BigShots Strategic Arrangement. </w:t>
      </w:r>
      <w:r>
        <w:rPr>
          <w:rFonts w:ascii="Arial" w:cs="Arial" w:eastAsia="Arial" w:hAnsi="Arial"/>
          <w:sz w:val="17"/>
          <w:szCs w:val="17"/>
          <w:color w:val="auto"/>
        </w:rPr>
        <w:t>On September 15, 2021, we and ClubCorp Holdings, Inc. (“ClubCorp”), a portfolio company of Apollo,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announced that we entered into a strategic arrangement to grow their BigShots golf subsidiary (“BigShots Golf”), whereby we may provide up to $80.0 million of mortgage financing for the construction of up to 5 new BigShots Golf facilities throughout the United States. As part of the non-binding arrangement, we will have a call right to acquire the real estate assets associated with any BigShots Golf facility financed by us, which transaction will be structured as a sale leaseback. In addition, for so long as the mortgage financing remains outstanding and we continue to hold a majority interest therein, we will have a right of first offer on any additional mortgage, mezzanine, preferred equity, or other similar financing that is treated as debt to be obtained by BigShots Golf (or any of its affiliates) for any multisite financing related to the development of BigShots Golf’s extensive existing and growing pipeline of facilities. Pursuant to the non-binding letter agreement, the terms and conditions of any transaction between the parties will be set forth in definitive documentation.</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 xml:space="preserve">Table </w:t>
        </w:r>
      </w:hyperlink>
      <w:r>
        <w:rPr>
          <w:rFonts w:ascii="Arial" w:cs="Arial" w:eastAsia="Arial" w:hAnsi="Arial"/>
          <w:sz w:val="18"/>
          <w:szCs w:val="18"/>
          <w:u w:val="single" w:color="auto"/>
          <w:color w:val="0000FF"/>
        </w:rPr>
        <w:t xml:space="preserve">of </w:t>
      </w:r>
      <w:hyperlink w:anchor="page1">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660" w:hanging="328"/>
        <w:spacing w:after="0" w:line="293" w:lineRule="auto"/>
        <w:tabs>
          <w:tab w:leader="none" w:pos="655"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Great Wolf Mezzanine Loan. </w:t>
      </w:r>
      <w:r>
        <w:rPr>
          <w:rFonts w:ascii="Arial" w:cs="Arial" w:eastAsia="Arial" w:hAnsi="Arial"/>
          <w:sz w:val="16"/>
          <w:szCs w:val="16"/>
          <w:color w:val="auto"/>
        </w:rPr>
        <w:t>On June 16, 2021, we entered into a mezzanine loan agreement (the “Great Wolf Mezzanine Loan”) with an affiliate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Great Wolf Resorts, Inc. (“Great Wolf”) to provide up to $79.5 million to partially fund the development of the Great Wolf Lodge Maryland, a 48-acre indoor water park resort located in Perryville, MD. The Great Wolf Mezzanine Loan bears interest at a rate of 8.0% per annum and has an initial term of 3 years with two successive 12-month extension options, subject to certain conditions. Our commitment will be funded subject to customary terms and conditions in disbursements to the borrower based upon construction of the development and, as of December 31, 2021, approximately $33.6 million of funds have been disbursed. We expect to fund our entire $79.5 million commitment by mid-2022.</w:t>
      </w:r>
    </w:p>
    <w:p>
      <w:pPr>
        <w:spacing w:after="0" w:line="110"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In addition, pursuant to a non-binding letter agreement, we will have the opportunity for a period of up to five years to provide up to a total of $300.0 million of mezzanine financing, inclusive of the $79.5 million related to the Great Wolf Lodge Maryland, for the development and construction of Great Wolf’s extensive domestic and international indoor water park resort pipeline.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Activity</w:t>
      </w:r>
    </w:p>
    <w:p>
      <w:pPr>
        <w:spacing w:after="0" w:line="117" w:lineRule="exact"/>
        <w:rPr>
          <w:sz w:val="20"/>
          <w:szCs w:val="20"/>
          <w:color w:val="auto"/>
        </w:rPr>
      </w:pPr>
    </w:p>
    <w:p>
      <w:pPr>
        <w:jc w:val="both"/>
        <w:ind w:left="660" w:hanging="328"/>
        <w:spacing w:after="0" w:line="263" w:lineRule="auto"/>
        <w:tabs>
          <w:tab w:leader="none" w:pos="655" w:val="left"/>
        </w:tabs>
        <w:numPr>
          <w:ilvl w:val="0"/>
          <w:numId w:val="4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Sale of Louisiana Downs. </w:t>
      </w:r>
      <w:r>
        <w:rPr>
          <w:rFonts w:ascii="Arial" w:cs="Arial" w:eastAsia="Arial" w:hAnsi="Arial"/>
          <w:sz w:val="18"/>
          <w:szCs w:val="18"/>
          <w:color w:val="auto"/>
        </w:rPr>
        <w:t>On November 1, 2021, we and Caesars closed on the previously announced transaction to sell Harrah’s Louisiana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Downs to Rubico Acquisition Corp. for proceeds of $5.5 million to us. The annual base rent payments under the Regional Master Lease Agreement remained unchanged following completion of the disposition.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Portfolio Activity</w:t>
      </w:r>
    </w:p>
    <w:p>
      <w:pPr>
        <w:spacing w:after="0" w:line="117" w:lineRule="exact"/>
        <w:rPr>
          <w:sz w:val="20"/>
          <w:szCs w:val="20"/>
          <w:color w:val="auto"/>
        </w:rPr>
      </w:pPr>
    </w:p>
    <w:p>
      <w:pPr>
        <w:jc w:val="both"/>
        <w:ind w:left="660" w:hanging="328"/>
        <w:spacing w:after="0" w:line="287" w:lineRule="auto"/>
        <w:tabs>
          <w:tab w:leader="none" w:pos="655" w:val="left"/>
        </w:tabs>
        <w:numPr>
          <w:ilvl w:val="0"/>
          <w:numId w:val="5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Mirage Severance Lease. </w:t>
      </w:r>
      <w:r>
        <w:rPr>
          <w:rFonts w:ascii="Arial" w:cs="Arial" w:eastAsia="Arial" w:hAnsi="Arial"/>
          <w:sz w:val="16"/>
          <w:szCs w:val="16"/>
          <w:color w:val="auto"/>
        </w:rPr>
        <w:t>On December 13, 2021, we announced that in connection with MGM’s agreement to sell the operations of the Mirage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Hotel &amp; Casino to Hard Rock, we agreed to enter into a new separate lease with Hard Rock related to the land and real estate assets of the Mirage (the “Mirage Lease”), and enter into an amendment to the MGM Master Lease Agreement to reflect the sale of the Mirage. The Mirage Lease will have initial annual base rent of $90.0 million with other economic terms substantially similar to the MGM Master Lease Agreement, including a base term of 25 years with three 10-year tenant renewal options, escalation of 2.0% per annum (with escalation of the greater of 2.0% and the increase in the CPI, capped at 3.0%, beginning in lease year 11) and minimum capital expenditure requirements of 1.0% of annual net revenue. Upon closing of the transaction, the MGM Master Lease Agreement will be amended to account for MGM’s divestiture of the Mirage operations and will result in a reduction of the initial annual base rent under the MGM Master Lease Agreement by $90.0 million. We expect these transactions to be completed in the second half of 2022, and they remain subject to customary closing conditions, regulatory approvals and the closing of the MGP Transactions. Additionally, subject to certain conditions, we may fund up to $1.5 billion of improvements for the Mirage through our Partner Property Growth Fund in connection with Hard Rock’s redevelopment plan if Hard Rock elects to seek third-party financing for such redevelopment. Specific terms of the redevelopment and related funding remain under discussion and subject to final documentation.</w:t>
      </w:r>
    </w:p>
    <w:p>
      <w:pPr>
        <w:spacing w:after="0" w:line="59" w:lineRule="exact"/>
        <w:rPr>
          <w:rFonts w:ascii="Arial" w:cs="Arial" w:eastAsia="Arial" w:hAnsi="Arial"/>
          <w:sz w:val="16"/>
          <w:szCs w:val="16"/>
          <w:b w:val="1"/>
          <w:bCs w:val="1"/>
          <w:i w:val="1"/>
          <w:iCs w:val="1"/>
          <w:color w:val="auto"/>
        </w:rPr>
      </w:pPr>
    </w:p>
    <w:p>
      <w:pPr>
        <w:jc w:val="both"/>
        <w:ind w:left="660" w:hanging="328"/>
        <w:spacing w:after="0" w:line="271" w:lineRule="auto"/>
        <w:tabs>
          <w:tab w:leader="none" w:pos="655" w:val="left"/>
        </w:tabs>
        <w:numPr>
          <w:ilvl w:val="0"/>
          <w:numId w:val="5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Caesars Southern Indiana Lease Agreement. </w:t>
      </w:r>
      <w:r>
        <w:rPr>
          <w:rFonts w:ascii="Arial" w:cs="Arial" w:eastAsia="Arial" w:hAnsi="Arial"/>
          <w:sz w:val="17"/>
          <w:szCs w:val="17"/>
          <w:color w:val="auto"/>
        </w:rPr>
        <w:t>On September 3, 2021, in connection and concurrent with EBCI’s acquisition of the operations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Caesars Southern Indiana from Caesars, we entered into the EBCI Lease Agreement with a subsidiary of EBCI with respect to the real property associated with Caesars Southern Indiana. Initial total annual rent under the lease with EBCI is $32.5 million. The lease has an initial term of 15 years, with four 5-year tenant renewal options. The tenant’s obligations under the lease are guaranteed by EBCI. Annual base rent payments under the Regional Master Lease Agreement were reduced by $32.5 million upon completion of EBCI’s acquisition of the operations of Caesars Southern Indiana and the execution of the EBCI Lease between us and the tenant. In addition, as part of the transaction, we, EBCI and Caesars entered into the Danville ROFR Agreement pursuant to which we have the first right to enter into a sale leaseback transaction with respect to the real property associated with the development of a new casino resort in Danville, Virginia.</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and Capital Markets Activity</w:t>
      </w:r>
    </w:p>
    <w:p>
      <w:pPr>
        <w:spacing w:after="0" w:line="117" w:lineRule="exact"/>
        <w:rPr>
          <w:sz w:val="20"/>
          <w:szCs w:val="20"/>
          <w:color w:val="auto"/>
        </w:rPr>
      </w:pPr>
    </w:p>
    <w:p>
      <w:pPr>
        <w:jc w:val="both"/>
        <w:ind w:left="660" w:hanging="328"/>
        <w:spacing w:after="0" w:line="290" w:lineRule="auto"/>
        <w:tabs>
          <w:tab w:leader="none" w:pos="655" w:val="left"/>
        </w:tabs>
        <w:numPr>
          <w:ilvl w:val="0"/>
          <w:numId w:val="5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Entry into New Unsecured Credit Agreement. </w:t>
      </w:r>
      <w:r>
        <w:rPr>
          <w:rFonts w:ascii="Arial" w:cs="Arial" w:eastAsia="Arial" w:hAnsi="Arial"/>
          <w:sz w:val="16"/>
          <w:szCs w:val="16"/>
          <w:color w:val="auto"/>
        </w:rPr>
        <w:t>Subsequent to year end, on February 8, 2022, we entered into the Credit Facilities pursuant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Credit Agreement, comprised of (i) the Revolving Credit Facility in the amount of $2.5 billion scheduled to mature on March 31, 2026 and (ii) the Delayed Draw Term Loan in the amount of $1.0 billion scheduled to mature on March 31, 2025. Concurrently, we terminated our Secured Revolving Credit Facility (including the first priority lien on substantially all of VICI PropCo’s and its existing and subsequently acquired wholly owned material domestic restricted subsidiaries’ material assets) and Existing Credit Agreement (as defined in </w:t>
      </w:r>
      <w:hyperlink w:anchor="page122">
        <w:r>
          <w:rPr>
            <w:rFonts w:ascii="Arial" w:cs="Arial" w:eastAsia="Arial" w:hAnsi="Arial"/>
            <w:sz w:val="16"/>
            <w:szCs w:val="16"/>
            <w:u w:val="single" w:color="auto"/>
            <w:color w:val="0000FF"/>
          </w:rPr>
          <w:t>Note 7 - Debt</w:t>
        </w:r>
      </w:hyperlink>
      <w:r>
        <w:rPr>
          <w:rFonts w:ascii="Arial" w:cs="Arial" w:eastAsia="Arial" w:hAnsi="Arial"/>
          <w:sz w:val="16"/>
          <w:szCs w:val="16"/>
          <w:color w:val="auto"/>
        </w:rPr>
        <w:t>). The Credit Facilities include the option to increase the revolving loan commitments by up to $1.0 billion in the aggregate and increase the delayed draw term loan commitments or add one or more new tranches of term loans by up to $1.0 billion in the aggregate, in each case, to the extent that any one or more lenders (from the syndicate or otherwise) agree to provide such additional credit extensions. Borrowings under the Credit Facilities will</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 xml:space="preserve">Table </w:t>
        </w:r>
      </w:hyperlink>
      <w:r>
        <w:rPr>
          <w:rFonts w:ascii="Arial" w:cs="Arial" w:eastAsia="Arial" w:hAnsi="Arial"/>
          <w:sz w:val="18"/>
          <w:szCs w:val="18"/>
          <w:u w:val="single" w:color="auto"/>
          <w:color w:val="0000FF"/>
        </w:rPr>
        <w:t xml:space="preserve">of </w:t>
      </w:r>
      <w:hyperlink w:anchor="page1">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bear interest, at the Operating Partnership’s option, (i) with respect to the Revolving Credit Facility, at a rate based on SOFR (including a credit spread adjustment) plus a margin ranging from 0.775% to 1.325% or a base rate plus a margin ranging from 0.00% to 0.325%, in each case, with the actual margin determined according to the Operating Partnership’s debt ratings, and (ii) with respect to the Delayed Draw Term Loan, at a rate based on SOFR (including a credit spread adjustment) plus a margin ranging from 0.85% to 1.60% or a base rate plus a margin ranging from 0.00% to 0.60%, in each case, with the actual margin determined according to the Operating Partnership’s debt ratings. On February 18, 2022, we drew on the Revolving Credit Facility in the amount of $600.0 million to fund a portion of the purchase price of the Venetian Acquisition.</w:t>
      </w:r>
    </w:p>
    <w:p>
      <w:pPr>
        <w:spacing w:after="0" w:line="56" w:lineRule="exact"/>
        <w:rPr>
          <w:sz w:val="20"/>
          <w:szCs w:val="20"/>
          <w:color w:val="auto"/>
        </w:rPr>
      </w:pPr>
    </w:p>
    <w:p>
      <w:pPr>
        <w:jc w:val="both"/>
        <w:ind w:left="660" w:hanging="328"/>
        <w:spacing w:after="0" w:line="257" w:lineRule="auto"/>
        <w:tabs>
          <w:tab w:leader="none" w:pos="655" w:val="left"/>
        </w:tabs>
        <w:numPr>
          <w:ilvl w:val="0"/>
          <w:numId w:val="5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Entry into Forward-Starting Interest Rate Swap Agreement. </w:t>
      </w:r>
      <w:r>
        <w:rPr>
          <w:rFonts w:ascii="Arial" w:cs="Arial" w:eastAsia="Arial" w:hAnsi="Arial"/>
          <w:sz w:val="18"/>
          <w:szCs w:val="18"/>
          <w:color w:val="auto"/>
        </w:rPr>
        <w:t>On December 23, 2021, we entered into a forward-starting interest rate swap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with a third-party financial institution having an aggregate notional amount of $500.0 million. Subsequent to year end, we have entered into three additional forward-starting interest rate swap agreements with third-party financial institutions having an aggregate notional amount of $1.5 billion. The interest rate swap transactions are intended to reduce the variability in the forecasted interest expense related to the fixed-rate debt we expect to incur in connection with closing the MGP Transactions.</w:t>
      </w:r>
    </w:p>
    <w:p>
      <w:pPr>
        <w:spacing w:after="0" w:line="79" w:lineRule="exact"/>
        <w:rPr>
          <w:rFonts w:ascii="Arial" w:cs="Arial" w:eastAsia="Arial" w:hAnsi="Arial"/>
          <w:sz w:val="18"/>
          <w:szCs w:val="18"/>
          <w:b w:val="1"/>
          <w:bCs w:val="1"/>
          <w:i w:val="1"/>
          <w:iCs w:val="1"/>
          <w:color w:val="auto"/>
        </w:rPr>
      </w:pPr>
    </w:p>
    <w:p>
      <w:pPr>
        <w:jc w:val="both"/>
        <w:ind w:left="660" w:hanging="328"/>
        <w:spacing w:after="0" w:line="255"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Exchange Offers and Consent Solicitations. </w:t>
      </w:r>
      <w:r>
        <w:rPr>
          <w:rFonts w:ascii="Arial" w:cs="Arial" w:eastAsia="Arial" w:hAnsi="Arial"/>
          <w:sz w:val="18"/>
          <w:szCs w:val="18"/>
          <w:color w:val="auto"/>
        </w:rPr>
        <w:t>On September 27, 2021, we announced the successful early tender and participation results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Exchange Offers and Consent Solicitations (each, as defined in </w:t>
      </w:r>
      <w:hyperlink w:anchor="page103">
        <w:r>
          <w:rPr>
            <w:rFonts w:ascii="Arial" w:cs="Arial" w:eastAsia="Arial" w:hAnsi="Arial"/>
            <w:sz w:val="18"/>
            <w:szCs w:val="18"/>
            <w:u w:val="single" w:color="auto"/>
            <w:color w:val="0000FF"/>
          </w:rPr>
          <w:t>Note 3 - Property Transactions</w:t>
        </w:r>
      </w:hyperlink>
      <w:r>
        <w:rPr>
          <w:rFonts w:ascii="Arial" w:cs="Arial" w:eastAsia="Arial" w:hAnsi="Arial"/>
          <w:sz w:val="18"/>
          <w:szCs w:val="18"/>
          <w:color w:val="auto"/>
        </w:rPr>
        <w:t>). Following the successful Consent Solicitations, the MGP Issuers executed the MGP OP Supplemental Indentures to each of the MGP OP Notes Indentures in order to, among other things, eliminate or modify certain of the covenants, restrictions, provisions and events of default in each of the indentures. The MGP OP Supplemental Indentures will become operative upon settlement of the Exchange Offers and the Consent Solicitations, which are expected to occur on or about the closing date of the MGP Transactions.</w:t>
      </w:r>
    </w:p>
    <w:p>
      <w:pPr>
        <w:spacing w:after="0" w:line="84"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Repayment of Term Loan B Facility and Settlement of Interest Rate Swaps. </w:t>
      </w:r>
      <w:r>
        <w:rPr>
          <w:rFonts w:ascii="Arial" w:cs="Arial" w:eastAsia="Arial" w:hAnsi="Arial"/>
          <w:sz w:val="18"/>
          <w:szCs w:val="18"/>
          <w:color w:val="auto"/>
        </w:rPr>
        <w:t>On September 15, 2021, we used $2,102.5 million of proceeds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September 2021 equity offering and settlement of the June 2020 Forward Sale Agreement (as defined in </w:t>
      </w:r>
      <w:hyperlink w:anchor="page132">
        <w:r>
          <w:rPr>
            <w:rFonts w:ascii="Arial" w:cs="Arial" w:eastAsia="Arial" w:hAnsi="Arial"/>
            <w:sz w:val="18"/>
            <w:szCs w:val="18"/>
            <w:u w:val="single" w:color="auto"/>
            <w:color w:val="0000FF"/>
          </w:rPr>
          <w:t>Note 11 - Stockholders Equity</w:t>
        </w:r>
      </w:hyperlink>
      <w:r>
        <w:rPr>
          <w:rFonts w:ascii="Arial" w:cs="Arial" w:eastAsia="Arial" w:hAnsi="Arial"/>
          <w:sz w:val="18"/>
          <w:szCs w:val="18"/>
          <w:color w:val="auto"/>
        </w:rPr>
        <w:t>) to repay in full the Term Loan B Facility. In connection with the payoff of the Term Loan B Facility, the related interest rate swap agreements were unwound and settled and VICI PropCo incurred swap breakage costs of approximately $64.2 million and an accrued interest payment of approximately $2.7 million.</w:t>
      </w:r>
    </w:p>
    <w:p>
      <w:pPr>
        <w:spacing w:after="0" w:line="79"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5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September 2021 Equity Offering. </w:t>
      </w:r>
      <w:r>
        <w:rPr>
          <w:rFonts w:ascii="Arial" w:cs="Arial" w:eastAsia="Arial" w:hAnsi="Arial"/>
          <w:sz w:val="18"/>
          <w:szCs w:val="18"/>
          <w:color w:val="auto"/>
        </w:rPr>
        <w:t>On September 14, 2021, we completed a primary follow-on offering of 115,000,000 shares of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consisting of (i) 65,000,000 shares of common stock (inclusive of 15,000,000 shares sold pursuant to the exercise in full of the underwriters’ option to purchase additional common stock) and (ii) 50,000,000 shares of common stock that are subject to forward sale agreements (the “September 2021 Forward Sale Agreements”) to be settled by September 9, 2022, in each case at a public offering price of $29.50 per share for an aggregate offering value of $3.4 billion. We received net proceeds of $1,859.0 million from the sale of the 65,000,000 shares and did not initially receive any proceeds from the sale of the 50,000,000 shares subject to the September 2021 Forward Sale Agreements, which were sold to the underwriters by the forward purchasers or their respective affiliates. On February 18, 2022, we physically settled the September 2021 Forward Sale Agreements in exchange for total net proceeds of approximately $1,390.6 million, which were used to pay for a portion of the purchase price of the Venetian Acquisition.</w:t>
      </w:r>
    </w:p>
    <w:p>
      <w:pPr>
        <w:spacing w:after="0" w:line="88" w:lineRule="exact"/>
        <w:rPr>
          <w:rFonts w:ascii="Arial" w:cs="Arial" w:eastAsia="Arial" w:hAnsi="Arial"/>
          <w:sz w:val="18"/>
          <w:szCs w:val="18"/>
          <w:b w:val="1"/>
          <w:bCs w:val="1"/>
          <w:i w:val="1"/>
          <w:iCs w:val="1"/>
          <w:color w:val="auto"/>
        </w:rPr>
      </w:pPr>
    </w:p>
    <w:p>
      <w:pPr>
        <w:jc w:val="both"/>
        <w:ind w:left="660" w:hanging="328"/>
        <w:spacing w:after="0" w:line="263" w:lineRule="auto"/>
        <w:tabs>
          <w:tab w:leader="none" w:pos="655"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Settlement of June 2020 Forward Sale Agreement. </w:t>
      </w:r>
      <w:r>
        <w:rPr>
          <w:rFonts w:ascii="Arial" w:cs="Arial" w:eastAsia="Arial" w:hAnsi="Arial"/>
          <w:sz w:val="18"/>
          <w:szCs w:val="18"/>
          <w:color w:val="auto"/>
        </w:rPr>
        <w:t>On September 9, 2021, we fully settled the remaining shares outstanding under the June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Forward Sale Agreement by delivering 26,900,000 shares of our common stock to the forward purchaser in exchange for total net proceeds of approximately $526.9 million.</w:t>
      </w:r>
    </w:p>
    <w:p>
      <w:pPr>
        <w:spacing w:after="0" w:line="75" w:lineRule="exact"/>
        <w:rPr>
          <w:rFonts w:ascii="Arial" w:cs="Arial" w:eastAsia="Arial" w:hAnsi="Arial"/>
          <w:sz w:val="18"/>
          <w:szCs w:val="18"/>
          <w:b w:val="1"/>
          <w:bCs w:val="1"/>
          <w:color w:val="auto"/>
        </w:rPr>
      </w:pPr>
    </w:p>
    <w:p>
      <w:pPr>
        <w:jc w:val="both"/>
        <w:ind w:left="660" w:hanging="328"/>
        <w:spacing w:after="0" w:line="272" w:lineRule="auto"/>
        <w:tabs>
          <w:tab w:leader="none" w:pos="655" w:val="left"/>
        </w:tabs>
        <w:numPr>
          <w:ilvl w:val="0"/>
          <w:numId w:val="5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March 2021 Equity Offering. </w:t>
      </w:r>
      <w:r>
        <w:rPr>
          <w:rFonts w:ascii="Arial" w:cs="Arial" w:eastAsia="Arial" w:hAnsi="Arial"/>
          <w:sz w:val="17"/>
          <w:szCs w:val="17"/>
          <w:color w:val="auto"/>
        </w:rPr>
        <w:t>On March 4, 2021, we completed a primary follow-on offering of 69,000,000 shares of common stock (inclusive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9,000,000 shares sold pursuant to the exercise in full of the underwriters’ option to purchase additional common stock) at a public offering price of $29.00 per share for an aggregate offering value of $2,001.0 million, all of which are subject to forward sale agreements (the “March 2021 Forward Sale Agreements”) to be settled by March 4, 2022. We did not initially receive any proceeds from the sale of the shares of common stock in the offering, which were sold to the underwriters by the forward purchasers or their respective affiliates. On February 18, 2022, we physically settled the March 2021 Forward Sale Agreements in exchange for total net proceeds of approximately $1,828.6 million, which were used to pay for a portion of the purchase price of the Venetian Acquisition.</w:t>
      </w:r>
    </w:p>
    <w:p>
      <w:pPr>
        <w:spacing w:after="0" w:line="200" w:lineRule="exact"/>
        <w:rPr>
          <w:rFonts w:ascii="Arial" w:cs="Arial" w:eastAsia="Arial" w:hAnsi="Arial"/>
          <w:sz w:val="18"/>
          <w:szCs w:val="18"/>
          <w:b w:val="1"/>
          <w:bCs w:val="1"/>
          <w:i w:val="1"/>
          <w:iCs w:val="1"/>
          <w:color w:val="auto"/>
        </w:rPr>
      </w:pPr>
    </w:p>
    <w:p>
      <w:pPr>
        <w:spacing w:after="0" w:line="355" w:lineRule="exact"/>
        <w:rPr>
          <w:rFonts w:ascii="Arial" w:cs="Arial" w:eastAsia="Arial" w:hAnsi="Arial"/>
          <w:sz w:val="18"/>
          <w:szCs w:val="18"/>
          <w:b w:val="1"/>
          <w:bCs w:val="1"/>
          <w:i w:val="1"/>
          <w:iCs w:val="1"/>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 xml:space="preserve">Table </w:t>
        </w:r>
      </w:hyperlink>
      <w:r>
        <w:rPr>
          <w:rFonts w:ascii="Arial" w:cs="Arial" w:eastAsia="Arial" w:hAnsi="Arial"/>
          <w:sz w:val="18"/>
          <w:szCs w:val="18"/>
          <w:u w:val="single" w:color="auto"/>
          <w:color w:val="0000FF"/>
        </w:rPr>
        <w:t xml:space="preserve">of </w:t>
      </w:r>
      <w:hyperlink w:anchor="page1">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KEY TRENDS THAT MAY AFFECT OUR BUSINESS</w:t>
      </w:r>
    </w:p>
    <w:p>
      <w:pPr>
        <w:spacing w:after="0" w:line="224" w:lineRule="exact"/>
        <w:rPr>
          <w:sz w:val="20"/>
          <w:szCs w:val="20"/>
          <w:color w:val="auto"/>
        </w:rPr>
      </w:pPr>
    </w:p>
    <w:p>
      <w:pPr>
        <w:jc w:val="both"/>
        <w:spacing w:after="0" w:line="284" w:lineRule="auto"/>
        <w:rPr>
          <w:rFonts w:ascii="Arial" w:cs="Arial" w:eastAsia="Arial" w:hAnsi="Arial"/>
          <w:sz w:val="16"/>
          <w:szCs w:val="16"/>
          <w:color w:val="auto"/>
        </w:rPr>
      </w:pPr>
      <w:r>
        <w:rPr>
          <w:rFonts w:ascii="Arial" w:cs="Arial" w:eastAsia="Arial" w:hAnsi="Arial"/>
          <w:sz w:val="16"/>
          <w:szCs w:val="16"/>
          <w:color w:val="auto"/>
        </w:rPr>
        <w:t xml:space="preserve">Subsidiaries of Caesars, Penn National, Seminole Hard Rock, Century Casino, JACK Entertainment, and EBCI are the lessees of all of our properties pursuant to the Lease Agreements, and Caesars, Penn National, Seminole Hard Rock, Century Casinos, Rock Ohio Ventures LLC and EBCI guarantee the obligations of their respective subsidiary tenants under the Lease Agreements. The Lease Agreements account for a substantial majority of our revenues. Additionally, we expect to realize organic growth in rental revenue through annual rent escalators in our Lease Agreements. Accordingly, we are dependent on our tenants, the gaming industry and the health of the economies in the areas where our properties are located for the foreseeable future, and an event that has a material adverse effect on any of our tenant’s business, financial condition, liquidity, results of operations or prospects, such as the ongoing COVID-19 pandemic, would have a material adverse effect on our business, financial condition, liquidity, results of operations and prospects. See </w:t>
      </w:r>
      <w:hyperlink w:anchor="page25">
        <w:r>
          <w:rPr>
            <w:rFonts w:ascii="Arial" w:cs="Arial" w:eastAsia="Arial" w:hAnsi="Arial"/>
            <w:sz w:val="16"/>
            <w:szCs w:val="16"/>
            <w:u w:val="single" w:color="auto"/>
            <w:color w:val="0000FF"/>
          </w:rPr>
          <w:t>Item 1A</w:t>
        </w:r>
      </w:hyperlink>
    </w:p>
    <w:p>
      <w:pPr>
        <w:spacing w:after="0" w:line="2" w:lineRule="exact"/>
        <w:rPr>
          <w:sz w:val="20"/>
          <w:szCs w:val="20"/>
          <w:color w:val="auto"/>
        </w:rPr>
      </w:pPr>
    </w:p>
    <w:p>
      <w:pPr>
        <w:ind w:left="120" w:hanging="112"/>
        <w:spacing w:after="0"/>
        <w:tabs>
          <w:tab w:leader="none" w:pos="120" w:val="left"/>
        </w:tabs>
        <w:numPr>
          <w:ilvl w:val="0"/>
          <w:numId w:val="53"/>
        </w:numPr>
        <w:rPr>
          <w:rFonts w:ascii="Arial" w:cs="Arial" w:eastAsia="Arial" w:hAnsi="Arial"/>
          <w:sz w:val="16"/>
          <w:szCs w:val="16"/>
          <w:color w:val="0000FF"/>
        </w:rPr>
      </w:pPr>
      <w:hyperlink w:anchor="page8">
        <w:r>
          <w:rPr>
            <w:rFonts w:ascii="Arial" w:cs="Arial" w:eastAsia="Arial" w:hAnsi="Arial"/>
            <w:sz w:val="16"/>
            <w:szCs w:val="16"/>
            <w:u w:val="single" w:color="auto"/>
            <w:color w:val="0000FF"/>
          </w:rPr>
          <w:t>“Risk Factors—Risks Related to Our Business and Operations.”</w:t>
        </w:r>
        <w:r>
          <w:rPr>
            <w:rFonts w:ascii="Arial" w:cs="Arial" w:eastAsia="Arial" w:hAnsi="Arial"/>
            <w:sz w:val="16"/>
            <w:szCs w:val="16"/>
            <w:color w:val="000000"/>
          </w:rPr>
          <w:t>. For a full discussion on the impact of the COVID-19 Pandemic on our business see</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Item</w:t>
        </w:r>
      </w:hyperlink>
    </w:p>
    <w:p>
      <w:pPr>
        <w:spacing w:after="0" w:line="32" w:lineRule="exact"/>
        <w:rPr>
          <w:rFonts w:ascii="Arial" w:cs="Arial" w:eastAsia="Arial" w:hAnsi="Arial"/>
          <w:sz w:val="16"/>
          <w:szCs w:val="16"/>
          <w:color w:val="0000FF"/>
        </w:rPr>
      </w:pPr>
    </w:p>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1 - “Business—Impact of the COVID-19 Pandemic on Our Business.”</w:t>
        </w:r>
      </w:hyperlink>
    </w:p>
    <w:p>
      <w:pPr>
        <w:spacing w:after="0" w:line="157" w:lineRule="exact"/>
        <w:rPr>
          <w:rFonts w:ascii="Arial" w:cs="Arial" w:eastAsia="Arial" w:hAnsi="Arial"/>
          <w:sz w:val="16"/>
          <w:szCs w:val="16"/>
          <w:u w:val="single" w:color="auto"/>
          <w:color w:val="0000FF"/>
        </w:rPr>
      </w:pPr>
    </w:p>
    <w:p>
      <w:pPr>
        <w:jc w:val="both"/>
        <w:spacing w:after="0" w:line="289" w:lineRule="auto"/>
        <w:rPr>
          <w:sz w:val="20"/>
          <w:szCs w:val="20"/>
          <w:color w:val="auto"/>
        </w:rPr>
      </w:pPr>
      <w:r>
        <w:rPr>
          <w:rFonts w:ascii="Arial" w:cs="Arial" w:eastAsia="Arial" w:hAnsi="Arial"/>
          <w:sz w:val="16"/>
          <w:szCs w:val="16"/>
          <w:color w:val="auto"/>
        </w:rPr>
        <w:t>We actively seek to grow our portfolio through acquisitions of, and investments in, experiential real estate in geographically diverse dynamic markets spanning hospitality, entertainment, food and beverage, leisure and gaming properties. We expect to grow our portfolio through a mix of acquisitions with new tenants and by pursuing opportunities to execute sale leaseback transactions with our existing tenants pursuant to our right of first refusal agreements and put-call agreements, as well as the funding of “same store” capital improvements with certain of our tenants at our leased properties in exchange for increased rent pursuant to the terms of our existing Lease Agreements with such tenants through our Partner Property Growth Fund. Finally, we believe the approximately 34 acres of undeveloped or underdeveloped land on and adjacent to the Las Vegas Strip that we own may provide attractive opportunities for potential future expansion and development. In pursuing external growth initiatives, we will generally seek to acquire or invest in properties that can generate stable revenue through long-term leases with tenants with established operating histories, and we will consider various factors when evaluating acquisitions and other investments, including the ability to continue to diversify our tenant base and increasing our geographic diversification.</w:t>
      </w:r>
    </w:p>
    <w:p>
      <w:pPr>
        <w:spacing w:after="0" w:line="112" w:lineRule="exact"/>
        <w:rPr>
          <w:rFonts w:ascii="Arial" w:cs="Arial" w:eastAsia="Arial" w:hAnsi="Arial"/>
          <w:sz w:val="16"/>
          <w:szCs w:val="16"/>
          <w:u w:val="single" w:color="auto"/>
          <w:color w:val="0000FF"/>
        </w:rPr>
      </w:pPr>
    </w:p>
    <w:p>
      <w:pPr>
        <w:jc w:val="both"/>
        <w:spacing w:after="0" w:line="267" w:lineRule="auto"/>
        <w:rPr>
          <w:sz w:val="20"/>
          <w:szCs w:val="20"/>
          <w:color w:val="auto"/>
        </w:rPr>
      </w:pPr>
      <w:r>
        <w:rPr>
          <w:rFonts w:ascii="Arial" w:cs="Arial" w:eastAsia="Arial" w:hAnsi="Arial"/>
          <w:sz w:val="17"/>
          <w:szCs w:val="17"/>
          <w:color w:val="auto"/>
        </w:rPr>
        <w:t>Our operating and financial performance in the future will be significantly influenced by the success of our acquisition strategy, and the timing and the availability and terms of financing of any acquisitions that we may complete, as well as broader macroeconomic and other conditions that affect our tenants’ operating and financial performance, including the impact of the COVID-19 pandemic, such as inflation, labor shortages, travel restrictions and supply chain disruptions. We can provide no assurance that we will exercise any of our contractual rights to purchase one or more properties from Caesars, that Caesars or EBCI, as applicable, will trigger the rights of first offer under the Las Vegas Strip ROFR Agreement, Horseshoe Baltimore ROFR Agreement or Danville ROFR Agreement, as applicable, that we will otherwise be successful in acquiring any properties (whether subject to the Las Vegas Strip ROFR Agreement, the Horseshoe Baltimore ROFR Agreement, the Danville ROFR Agreement, or otherwise), or that our tenants will utilize any available financing opportunities under the Partner Property Growth Fund. Additionally, our ability to successfully implement our acquisition and investment strategy will depend upon the availability and terms of financing, including debt and equity capital. Further, the pricing of any acquisitions or other investments we may consummate and the terms of any leases that we may enter into will significantly impact our future results. Competition to enter into transactions, including sale leaseback transactions, with attractive properties and desirable tenants is intense, and we can provide no assurance that any future acquisitions, investments or leases will be on terms as favorable to us as those relating to recent or historical transactions. We anticipate that we would seek to finance these acquisitions with a combination of debt and equity, although no assurance can be given that we would be able to issue equity in such amounts on favorable terms, or at all, or that we would not determine to incur more debt on a relative basis at the relevant time due to market conditions or otherwise. In addition to rent, our current Lease Agreements require our tenants to pay the following: (1) all facility maintenance; (2) all insurance required in connection with the leased properties and the business conducted on the leased properties; (3) taxes levied on or with respect to the leased properties (other than taxes on our income); and (4) all utilities and other services necessary or appropriate for the leased properties and the business conducted on the leased properties. Accordingly, due to the “triple-net” structure of our leases, we do not expect to incur significant property-level expenses.</w:t>
      </w:r>
    </w:p>
    <w:p>
      <w:pPr>
        <w:spacing w:after="0" w:line="200" w:lineRule="exact"/>
        <w:rPr>
          <w:rFonts w:ascii="Arial" w:cs="Arial" w:eastAsia="Arial" w:hAnsi="Arial"/>
          <w:sz w:val="16"/>
          <w:szCs w:val="16"/>
          <w:u w:val="single" w:color="auto"/>
          <w:color w:val="0000FF"/>
        </w:rPr>
      </w:pPr>
    </w:p>
    <w:p>
      <w:pPr>
        <w:spacing w:after="0" w:line="366" w:lineRule="exact"/>
        <w:rPr>
          <w:rFonts w:ascii="Arial" w:cs="Arial" w:eastAsia="Arial" w:hAnsi="Arial"/>
          <w:sz w:val="16"/>
          <w:szCs w:val="16"/>
          <w:u w:val="single" w:color="auto"/>
          <w:color w:val="0000FF"/>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 xml:space="preserve">Table </w:t>
        </w:r>
      </w:hyperlink>
      <w:r>
        <w:rPr>
          <w:rFonts w:ascii="Arial" w:cs="Arial" w:eastAsia="Arial" w:hAnsi="Arial"/>
          <w:sz w:val="18"/>
          <w:szCs w:val="18"/>
          <w:u w:val="single" w:color="auto"/>
          <w:color w:val="0000FF"/>
        </w:rPr>
        <w:t xml:space="preserve">of </w:t>
      </w:r>
      <w:hyperlink w:anchor="page1">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780"/>
        <w:spacing w:after="0"/>
        <w:rPr>
          <w:sz w:val="20"/>
          <w:szCs w:val="20"/>
          <w:color w:val="auto"/>
        </w:rPr>
      </w:pPr>
      <w:r>
        <w:rPr>
          <w:rFonts w:ascii="Arial" w:cs="Arial" w:eastAsia="Arial" w:hAnsi="Arial"/>
          <w:sz w:val="20"/>
          <w:szCs w:val="20"/>
          <w:b w:val="1"/>
          <w:bCs w:val="1"/>
          <w:color w:val="auto"/>
        </w:rPr>
        <w:t>DISCUSSION OF OPERATING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2021 and December 31, 2020</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48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ind w:right="630"/>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ind w:right="650"/>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gridSpan w:val="2"/>
          </w:tcPr>
          <w:p>
            <w:pPr>
              <w:ind w:left="220"/>
              <w:spacing w:after="0"/>
              <w:rPr>
                <w:sz w:val="20"/>
                <w:szCs w:val="20"/>
                <w:color w:val="auto"/>
              </w:rPr>
            </w:pPr>
            <w:r>
              <w:rPr>
                <w:rFonts w:ascii="Arial" w:cs="Arial" w:eastAsia="Arial" w:hAnsi="Arial"/>
                <w:sz w:val="16"/>
                <w:szCs w:val="16"/>
                <w:b w:val="1"/>
                <w:bCs w:val="1"/>
                <w:color w:val="auto"/>
              </w:rPr>
              <w:t>Variance</w:t>
            </w:r>
          </w:p>
        </w:tc>
      </w:tr>
      <w:tr>
        <w:trPr>
          <w:trHeight w:val="20"/>
        </w:trPr>
        <w:tc>
          <w:tcPr>
            <w:tcW w:w="40" w:type="dxa"/>
            <w:vAlign w:val="bottom"/>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0" w:type="dxa"/>
            <w:vAlign w:val="bottom"/>
            <w:tcBorders>
              <w:right w:val="single" w:sz="8" w:color="CCEEFF"/>
            </w:tcBorders>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Revenues</w:t>
            </w: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4880" w:type="dxa"/>
            <w:vAlign w:val="bottom"/>
            <w:gridSpan w:val="2"/>
          </w:tcPr>
          <w:p>
            <w:pPr>
              <w:ind w:left="200"/>
              <w:spacing w:after="0"/>
              <w:rPr>
                <w:sz w:val="20"/>
                <w:szCs w:val="20"/>
                <w:color w:val="auto"/>
              </w:rPr>
            </w:pPr>
            <w:r>
              <w:rPr>
                <w:rFonts w:ascii="Arial" w:cs="Arial" w:eastAsia="Arial" w:hAnsi="Arial"/>
                <w:sz w:val="18"/>
                <w:szCs w:val="18"/>
                <w:color w:val="auto"/>
              </w:rPr>
              <w:t>Income from sales-type and direct financing leases</w:t>
            </w:r>
          </w:p>
        </w:tc>
        <w:tc>
          <w:tcPr>
            <w:tcW w:w="11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1,167,972</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1,007,508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160,464</w:t>
            </w:r>
          </w:p>
        </w:tc>
        <w:tc>
          <w:tcPr>
            <w:tcW w:w="20" w:type="dxa"/>
            <w:vAlign w:val="bottom"/>
          </w:tcPr>
          <w:p>
            <w:pPr>
              <w:spacing w:after="0"/>
              <w:rPr>
                <w:sz w:val="19"/>
                <w:szCs w:val="19"/>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4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from operating leases</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(25,464)</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880" w:type="dxa"/>
            <w:vAlign w:val="bottom"/>
            <w:gridSpan w:val="2"/>
          </w:tcPr>
          <w:p>
            <w:pPr>
              <w:ind w:left="200"/>
              <w:spacing w:after="0"/>
              <w:rPr>
                <w:sz w:val="20"/>
                <w:szCs w:val="20"/>
                <w:color w:val="auto"/>
              </w:rPr>
            </w:pPr>
            <w:r>
              <w:rPr>
                <w:rFonts w:ascii="Arial" w:cs="Arial" w:eastAsia="Arial" w:hAnsi="Arial"/>
                <w:sz w:val="18"/>
                <w:szCs w:val="18"/>
                <w:color w:val="auto"/>
              </w:rPr>
              <w:t>Income from lease financing receivables and loans</w:t>
            </w: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283,242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153,017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130,225</w:t>
            </w:r>
          </w:p>
        </w:tc>
        <w:tc>
          <w:tcPr>
            <w:tcW w:w="20" w:type="dxa"/>
            <w:vAlign w:val="bottom"/>
          </w:tcPr>
          <w:p>
            <w:pPr>
              <w:spacing w:after="0"/>
              <w:rPr>
                <w:sz w:val="19"/>
                <w:szCs w:val="19"/>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4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income</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12,015</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88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Golf revenues</w:t>
            </w:r>
          </w:p>
        </w:tc>
        <w:tc>
          <w:tcPr>
            <w:tcW w:w="7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30,546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23,792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6,754</w:t>
            </w:r>
          </w:p>
        </w:tc>
        <w:tc>
          <w:tcPr>
            <w:tcW w:w="20" w:type="dxa"/>
            <w:vAlign w:val="bottom"/>
          </w:tcPr>
          <w:p>
            <w:pPr>
              <w:spacing w:after="0"/>
              <w:rPr>
                <w:sz w:val="19"/>
                <w:szCs w:val="19"/>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4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revenues</w:t>
            </w:r>
          </w:p>
        </w:tc>
        <w:tc>
          <w:tcPr>
            <w:tcW w:w="7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1,509,568</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1,225,574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283,994</w:t>
            </w:r>
          </w:p>
        </w:tc>
        <w:tc>
          <w:tcPr>
            <w:tcW w:w="20" w:type="dxa"/>
            <w:vAlign w:val="bottom"/>
          </w:tcPr>
          <w:p>
            <w:pPr>
              <w:spacing w:after="0"/>
              <w:rPr>
                <w:sz w:val="19"/>
                <w:szCs w:val="19"/>
                <w:color w:val="auto"/>
              </w:rPr>
            </w:pPr>
          </w:p>
        </w:tc>
      </w:tr>
      <w:tr>
        <w:trPr>
          <w:trHeight w:val="250"/>
        </w:trPr>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880" w:type="dxa"/>
            <w:vAlign w:val="bottom"/>
            <w:gridSpan w:val="2"/>
          </w:tcPr>
          <w:p>
            <w:pPr>
              <w:ind w:left="200"/>
              <w:spacing w:after="0"/>
              <w:rPr>
                <w:sz w:val="20"/>
                <w:szCs w:val="20"/>
                <w:color w:val="auto"/>
              </w:rPr>
            </w:pPr>
            <w:r>
              <w:rPr>
                <w:rFonts w:ascii="Arial" w:cs="Arial" w:eastAsia="Arial" w:hAnsi="Arial"/>
                <w:sz w:val="18"/>
                <w:szCs w:val="18"/>
                <w:color w:val="auto"/>
              </w:rPr>
              <w:t>General and administrative</w:t>
            </w: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33,122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30,661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2,461</w:t>
            </w:r>
          </w:p>
        </w:tc>
        <w:tc>
          <w:tcPr>
            <w:tcW w:w="20" w:type="dxa"/>
            <w:vAlign w:val="bottom"/>
          </w:tcPr>
          <w:p>
            <w:pPr>
              <w:spacing w:after="0"/>
              <w:rPr>
                <w:sz w:val="19"/>
                <w:szCs w:val="19"/>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4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880" w:type="dxa"/>
            <w:vAlign w:val="bottom"/>
            <w:gridSpan w:val="2"/>
          </w:tcPr>
          <w:p>
            <w:pPr>
              <w:ind w:left="200"/>
              <w:spacing w:after="0"/>
              <w:rPr>
                <w:sz w:val="20"/>
                <w:szCs w:val="20"/>
                <w:color w:val="auto"/>
              </w:rPr>
            </w:pPr>
            <w:r>
              <w:rPr>
                <w:rFonts w:ascii="Arial" w:cs="Arial" w:eastAsia="Arial" w:hAnsi="Arial"/>
                <w:sz w:val="18"/>
                <w:szCs w:val="18"/>
                <w:color w:val="auto"/>
              </w:rPr>
              <w:t>Other expenses</w:t>
            </w: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27,808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15,793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12,015</w:t>
            </w:r>
          </w:p>
        </w:tc>
        <w:tc>
          <w:tcPr>
            <w:tcW w:w="20" w:type="dxa"/>
            <w:vAlign w:val="bottom"/>
          </w:tcPr>
          <w:p>
            <w:pPr>
              <w:spacing w:after="0"/>
              <w:rPr>
                <w:sz w:val="19"/>
                <w:szCs w:val="19"/>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4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Golf expenses</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4880" w:type="dxa"/>
            <w:vAlign w:val="bottom"/>
            <w:gridSpan w:val="2"/>
          </w:tcPr>
          <w:p>
            <w:pPr>
              <w:ind w:left="200"/>
              <w:spacing w:after="0"/>
              <w:rPr>
                <w:sz w:val="20"/>
                <w:szCs w:val="20"/>
                <w:color w:val="auto"/>
              </w:rPr>
            </w:pPr>
            <w:r>
              <w:rPr>
                <w:rFonts w:ascii="Arial" w:cs="Arial" w:eastAsia="Arial" w:hAnsi="Arial"/>
                <w:sz w:val="18"/>
                <w:szCs w:val="18"/>
                <w:color w:val="auto"/>
              </w:rPr>
              <w:t>Change in allowance for credit losses</w:t>
            </w: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(19,554)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244,517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(264,071)</w:t>
            </w:r>
          </w:p>
        </w:tc>
        <w:tc>
          <w:tcPr>
            <w:tcW w:w="20" w:type="dxa"/>
            <w:vAlign w:val="bottom"/>
          </w:tcPr>
          <w:p>
            <w:pPr>
              <w:spacing w:after="0"/>
              <w:rPr>
                <w:sz w:val="19"/>
                <w:szCs w:val="19"/>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4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Transaction and acquisition expenses</w:t>
            </w:r>
          </w:p>
        </w:tc>
        <w:tc>
          <w:tcPr>
            <w:tcW w:w="7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880" w:type="dxa"/>
            <w:vAlign w:val="bottom"/>
            <w:tcBorders>
              <w:bottom w:val="single" w:sz="8" w:color="CCEEFF"/>
            </w:tcBorders>
            <w:gridSpan w:val="2"/>
          </w:tcPr>
          <w:p>
            <w:pPr>
              <w:ind w:left="480"/>
              <w:spacing w:after="0"/>
              <w:rPr>
                <w:sz w:val="20"/>
                <w:szCs w:val="20"/>
                <w:color w:val="auto"/>
              </w:rPr>
            </w:pPr>
            <w:r>
              <w:rPr>
                <w:rFonts w:ascii="Arial" w:cs="Arial" w:eastAsia="Arial" w:hAnsi="Arial"/>
                <w:sz w:val="18"/>
                <w:szCs w:val="18"/>
                <w:color w:val="auto"/>
              </w:rPr>
              <w:t>Total operating expenses</w:t>
            </w:r>
          </w:p>
        </w:tc>
        <w:tc>
          <w:tcPr>
            <w:tcW w:w="7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75,631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321,018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(245,387)</w:t>
            </w:r>
          </w:p>
        </w:tc>
        <w:tc>
          <w:tcPr>
            <w:tcW w:w="20" w:type="dxa"/>
            <w:vAlign w:val="bottom"/>
          </w:tcPr>
          <w:p>
            <w:pPr>
              <w:spacing w:after="0"/>
              <w:rPr>
                <w:sz w:val="19"/>
                <w:szCs w:val="19"/>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7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40" w:type="dxa"/>
            <w:vAlign w:val="bottom"/>
          </w:tcPr>
          <w:p>
            <w:pPr>
              <w:spacing w:after="0"/>
              <w:rPr>
                <w:sz w:val="19"/>
                <w:szCs w:val="19"/>
                <w:color w:val="auto"/>
              </w:rPr>
            </w:pPr>
          </w:p>
        </w:tc>
        <w:tc>
          <w:tcPr>
            <w:tcW w:w="4880" w:type="dxa"/>
            <w:vAlign w:val="bottom"/>
            <w:gridSpan w:val="2"/>
          </w:tcPr>
          <w:p>
            <w:pPr>
              <w:ind w:left="200"/>
              <w:spacing w:after="0"/>
              <w:rPr>
                <w:sz w:val="20"/>
                <w:szCs w:val="20"/>
                <w:color w:val="auto"/>
              </w:rPr>
            </w:pPr>
            <w:r>
              <w:rPr>
                <w:rFonts w:ascii="Arial" w:cs="Arial" w:eastAsia="Arial" w:hAnsi="Arial"/>
                <w:sz w:val="18"/>
                <w:szCs w:val="18"/>
                <w:color w:val="auto"/>
              </w:rPr>
              <w:t>Interest expense</w:t>
            </w: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(392,390)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(308,605)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(83,785)</w:t>
            </w:r>
          </w:p>
        </w:tc>
        <w:tc>
          <w:tcPr>
            <w:tcW w:w="20" w:type="dxa"/>
            <w:vAlign w:val="bottom"/>
          </w:tcPr>
          <w:p>
            <w:pPr>
              <w:spacing w:after="0"/>
              <w:rPr>
                <w:sz w:val="19"/>
                <w:szCs w:val="19"/>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4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(6,675)</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880" w:type="dxa"/>
            <w:vAlign w:val="bottom"/>
            <w:gridSpan w:val="2"/>
          </w:tcPr>
          <w:p>
            <w:pPr>
              <w:ind w:left="200"/>
              <w:spacing w:after="0"/>
              <w:rPr>
                <w:sz w:val="20"/>
                <w:szCs w:val="20"/>
                <w:color w:val="auto"/>
              </w:rPr>
            </w:pPr>
            <w:r>
              <w:rPr>
                <w:rFonts w:ascii="Arial" w:cs="Arial" w:eastAsia="Arial" w:hAnsi="Arial"/>
                <w:sz w:val="18"/>
                <w:szCs w:val="18"/>
                <w:color w:val="auto"/>
              </w:rPr>
              <w:t>Loss from extinguishment of debt</w:t>
            </w: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(15,622)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(39,059)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23,437</w:t>
            </w:r>
          </w:p>
        </w:tc>
        <w:tc>
          <w:tcPr>
            <w:tcW w:w="20" w:type="dxa"/>
            <w:vAlign w:val="bottom"/>
          </w:tcPr>
          <w:p>
            <w:pPr>
              <w:spacing w:after="0"/>
              <w:rPr>
                <w:sz w:val="19"/>
                <w:szCs w:val="19"/>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4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Gain upon lease modification</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(333,352)</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76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1,026,045</w:t>
            </w: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897,039</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129,006</w:t>
            </w:r>
          </w:p>
        </w:tc>
        <w:tc>
          <w:tcPr>
            <w:tcW w:w="20" w:type="dxa"/>
            <w:vAlign w:val="bottom"/>
          </w:tcPr>
          <w:p>
            <w:pPr>
              <w:spacing w:after="0"/>
              <w:rPr>
                <w:sz w:val="19"/>
                <w:szCs w:val="19"/>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4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tax expense</w:t>
            </w:r>
          </w:p>
        </w:tc>
        <w:tc>
          <w:tcPr>
            <w:tcW w:w="7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1,023,158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896,208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126,950</w:t>
            </w:r>
          </w:p>
        </w:tc>
        <w:tc>
          <w:tcPr>
            <w:tcW w:w="20" w:type="dxa"/>
            <w:vAlign w:val="bottom"/>
          </w:tcPr>
          <w:p>
            <w:pPr>
              <w:spacing w:after="0"/>
              <w:rPr>
                <w:sz w:val="19"/>
                <w:szCs w:val="19"/>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4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Less: Net income attributable to non-controlling interest</w:t>
            </w:r>
          </w:p>
        </w:tc>
        <w:tc>
          <w:tcPr>
            <w:tcW w:w="7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(4,773)</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Net income attributable to common stockholders</w:t>
            </w:r>
          </w:p>
        </w:tc>
        <w:tc>
          <w:tcPr>
            <w:tcW w:w="76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1,013,851</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891,674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122,177</w:t>
            </w:r>
          </w:p>
        </w:tc>
        <w:tc>
          <w:tcPr>
            <w:tcW w:w="2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85"/>
        </w:trPr>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180" w:type="dxa"/>
            <w:vAlign w:val="bottom"/>
            <w:gridSpan w:val="2"/>
          </w:tcPr>
          <w:p>
            <w:pPr>
              <w:jc w:val="right"/>
              <w:ind w:right="290"/>
              <w:spacing w:after="0"/>
              <w:rPr>
                <w:sz w:val="20"/>
                <w:szCs w:val="20"/>
                <w:color w:val="auto"/>
              </w:rPr>
            </w:pPr>
            <w:r>
              <w:rPr>
                <w:rFonts w:ascii="Arial" w:cs="Arial" w:eastAsia="Arial" w:hAnsi="Arial"/>
                <w:sz w:val="18"/>
                <w:szCs w:val="18"/>
                <w:color w:val="auto"/>
              </w:rPr>
              <w:t>62</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 xml:space="preserve">Table </w:t>
        </w:r>
      </w:hyperlink>
      <w:r>
        <w:rPr>
          <w:rFonts w:ascii="Arial" w:cs="Arial" w:eastAsia="Arial" w:hAnsi="Arial"/>
          <w:sz w:val="18"/>
          <w:szCs w:val="18"/>
          <w:u w:val="single" w:color="auto"/>
          <w:color w:val="0000FF"/>
        </w:rPr>
        <w:t xml:space="preserve">of </w:t>
      </w:r>
      <w:hyperlink w:anchor="page1">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2021 and 2020, our revenue was comprised of the following items:</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64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420" w:type="dxa"/>
            <w:vAlign w:val="bottom"/>
          </w:tcPr>
          <w:p>
            <w:pPr>
              <w:spacing w:after="0"/>
              <w:rPr>
                <w:sz w:val="16"/>
                <w:szCs w:val="16"/>
                <w:color w:val="auto"/>
              </w:rPr>
            </w:pPr>
          </w:p>
        </w:tc>
        <w:tc>
          <w:tcPr>
            <w:tcW w:w="1360" w:type="dxa"/>
            <w:vAlign w:val="bottom"/>
          </w:tcPr>
          <w:p>
            <w:pPr>
              <w:jc w:val="right"/>
              <w:ind w:right="63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ind w:right="65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tcPr>
          <w:p>
            <w:pPr>
              <w:jc w:val="right"/>
              <w:ind w:right="492"/>
              <w:spacing w:after="0"/>
              <w:rPr>
                <w:sz w:val="20"/>
                <w:szCs w:val="20"/>
                <w:color w:val="auto"/>
              </w:rPr>
            </w:pPr>
            <w:r>
              <w:rPr>
                <w:rFonts w:ascii="Arial" w:cs="Arial" w:eastAsia="Arial" w:hAnsi="Arial"/>
                <w:sz w:val="16"/>
                <w:szCs w:val="16"/>
                <w:b w:val="1"/>
                <w:bCs w:val="1"/>
                <w:color w:val="auto"/>
              </w:rPr>
              <w:t>Variance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3"/>
        </w:trPr>
        <w:tc>
          <w:tcPr>
            <w:tcW w:w="5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Leasing revenue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1,410,980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1,170,316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240,664</w:t>
            </w:r>
          </w:p>
        </w:tc>
      </w:tr>
      <w:tr>
        <w:trPr>
          <w:trHeight w:val="230"/>
        </w:trPr>
        <w:tc>
          <w:tcPr>
            <w:tcW w:w="5640" w:type="dxa"/>
            <w:vAlign w:val="bottom"/>
            <w:gridSpan w:val="3"/>
          </w:tcPr>
          <w:p>
            <w:pPr>
              <w:ind w:left="20"/>
              <w:spacing w:after="0"/>
              <w:rPr>
                <w:sz w:val="20"/>
                <w:szCs w:val="20"/>
                <w:color w:val="auto"/>
              </w:rPr>
            </w:pPr>
            <w:r>
              <w:rPr>
                <w:rFonts w:ascii="Arial" w:cs="Arial" w:eastAsia="Arial" w:hAnsi="Arial"/>
                <w:sz w:val="18"/>
                <w:szCs w:val="18"/>
                <w:color w:val="auto"/>
              </w:rPr>
              <w:t>Income from loans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40,234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15,673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24,561</w:t>
            </w:r>
          </w:p>
        </w:tc>
      </w:tr>
      <w:tr>
        <w:trPr>
          <w:trHeight w:val="229"/>
        </w:trPr>
        <w:tc>
          <w:tcPr>
            <w:tcW w:w="5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12,015</w:t>
            </w:r>
          </w:p>
        </w:tc>
      </w:tr>
      <w:tr>
        <w:trPr>
          <w:trHeight w:val="229"/>
        </w:trPr>
        <w:tc>
          <w:tcPr>
            <w:tcW w:w="56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Golf revenues</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30,546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23,792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1,509,568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1,225,574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283,994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Leasing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income from sales-type, direct financing, operating and financing receivables leases:</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64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420" w:type="dxa"/>
            <w:vAlign w:val="bottom"/>
          </w:tcPr>
          <w:p>
            <w:pPr>
              <w:spacing w:after="0"/>
              <w:rPr>
                <w:sz w:val="16"/>
                <w:szCs w:val="16"/>
                <w:color w:val="auto"/>
              </w:rPr>
            </w:pPr>
          </w:p>
        </w:tc>
        <w:tc>
          <w:tcPr>
            <w:tcW w:w="1360" w:type="dxa"/>
            <w:vAlign w:val="bottom"/>
          </w:tcPr>
          <w:p>
            <w:pPr>
              <w:jc w:val="right"/>
              <w:ind w:right="631"/>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ind w:right="65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tcPr>
          <w:p>
            <w:pPr>
              <w:ind w:left="220"/>
              <w:spacing w:after="0"/>
              <w:rPr>
                <w:sz w:val="20"/>
                <w:szCs w:val="20"/>
                <w:color w:val="auto"/>
              </w:rPr>
            </w:pPr>
            <w:r>
              <w:rPr>
                <w:rFonts w:ascii="Arial" w:cs="Arial" w:eastAsia="Arial" w:hAnsi="Arial"/>
                <w:sz w:val="16"/>
                <w:szCs w:val="16"/>
                <w:b w:val="1"/>
                <w:bCs w:val="1"/>
                <w:color w:val="auto"/>
              </w:rPr>
              <w:t>Variance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3"/>
        </w:trPr>
        <w:tc>
          <w:tcPr>
            <w:tcW w:w="5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Income from sales-type and direct financing leases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1,167,972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1,007,508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8"/>
              </w:rPr>
              <w:t>160,464</w:t>
            </w:r>
          </w:p>
        </w:tc>
      </w:tr>
      <w:tr>
        <w:trPr>
          <w:trHeight w:val="229"/>
        </w:trPr>
        <w:tc>
          <w:tcPr>
            <w:tcW w:w="564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 xml:space="preserve">Income from operating leases </w:t>
            </w:r>
            <w:r>
              <w:rPr>
                <w:rFonts w:ascii="Arial" w:cs="Arial" w:eastAsia="Arial" w:hAnsi="Arial"/>
                <w:sz w:val="23"/>
                <w:szCs w:val="23"/>
                <w:i w:val="1"/>
                <w:iCs w:val="1"/>
                <w:color w:val="auto"/>
                <w:vertAlign w:val="superscript"/>
              </w:rPr>
              <w:t>(1)</w:t>
            </w:r>
          </w:p>
        </w:tc>
        <w:tc>
          <w:tcPr>
            <w:tcW w:w="4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25,464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ind w:left="780"/>
              <w:spacing w:after="0"/>
              <w:rPr>
                <w:sz w:val="20"/>
                <w:szCs w:val="20"/>
                <w:color w:val="auto"/>
              </w:rPr>
            </w:pPr>
            <w:r>
              <w:rPr>
                <w:rFonts w:ascii="Arial" w:cs="Arial" w:eastAsia="Arial" w:hAnsi="Arial"/>
                <w:sz w:val="18"/>
                <w:szCs w:val="18"/>
                <w:color w:val="auto"/>
                <w:w w:val="92"/>
              </w:rPr>
              <w:t>(25,464)</w:t>
            </w:r>
          </w:p>
        </w:tc>
      </w:tr>
      <w:tr>
        <w:trPr>
          <w:trHeight w:val="229"/>
        </w:trPr>
        <w:tc>
          <w:tcPr>
            <w:tcW w:w="5640" w:type="dxa"/>
            <w:vAlign w:val="bottom"/>
            <w:gridSpan w:val="3"/>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Income from lease financing receivables </w:t>
            </w:r>
            <w:r>
              <w:rPr>
                <w:rFonts w:ascii="Arial" w:cs="Arial" w:eastAsia="Arial" w:hAnsi="Arial"/>
                <w:sz w:val="23"/>
                <w:szCs w:val="23"/>
                <w:i w:val="1"/>
                <w:iCs w:val="1"/>
                <w:color w:val="auto"/>
                <w:vertAlign w:val="superscript"/>
              </w:rPr>
              <w:t>(2)</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243,008</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137,344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620" w:type="dxa"/>
            <w:vAlign w:val="bottom"/>
            <w:gridSpan w:val="2"/>
          </w:tcPr>
          <w:p>
            <w:pPr>
              <w:ind w:left="220"/>
              <w:spacing w:after="0"/>
              <w:rPr>
                <w:sz w:val="20"/>
                <w:szCs w:val="20"/>
                <w:color w:val="auto"/>
              </w:rPr>
            </w:pPr>
            <w:r>
              <w:rPr>
                <w:rFonts w:ascii="Arial" w:cs="Arial" w:eastAsia="Arial" w:hAnsi="Arial"/>
                <w:sz w:val="18"/>
                <w:szCs w:val="18"/>
                <w:color w:val="auto"/>
              </w:rPr>
              <w:t>Total leasing revenue</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1,410,980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1,170,316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ind w:left="760"/>
              <w:spacing w:after="0"/>
              <w:rPr>
                <w:sz w:val="20"/>
                <w:szCs w:val="20"/>
                <w:color w:val="auto"/>
              </w:rPr>
            </w:pPr>
            <w:r>
              <w:rPr>
                <w:rFonts w:ascii="Arial" w:cs="Arial" w:eastAsia="Arial" w:hAnsi="Arial"/>
                <w:sz w:val="18"/>
                <w:szCs w:val="18"/>
                <w:color w:val="auto"/>
                <w:w w:val="98"/>
              </w:rPr>
              <w:t>240,664</w:t>
            </w:r>
          </w:p>
        </w:tc>
      </w:tr>
      <w:tr>
        <w:trPr>
          <w:trHeight w:val="229"/>
        </w:trPr>
        <w:tc>
          <w:tcPr>
            <w:tcW w:w="5640" w:type="dxa"/>
            <w:vAlign w:val="bottom"/>
            <w:gridSpan w:val="3"/>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Non-cash adjustment </w:t>
            </w:r>
            <w:r>
              <w:rPr>
                <w:rFonts w:ascii="Arial" w:cs="Arial" w:eastAsia="Arial" w:hAnsi="Arial"/>
                <w:sz w:val="23"/>
                <w:szCs w:val="23"/>
                <w:i w:val="1"/>
                <w:iCs w:val="1"/>
                <w:color w:val="auto"/>
                <w:vertAlign w:val="superscript"/>
              </w:rPr>
              <w:t>(3)</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(119,790)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(39,883)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92"/>
              </w:rPr>
              <w:t>(79,907)</w:t>
            </w:r>
          </w:p>
        </w:tc>
      </w:tr>
      <w:tr>
        <w:trPr>
          <w:trHeight w:val="223"/>
        </w:trPr>
        <w:tc>
          <w:tcPr>
            <w:tcW w:w="20" w:type="dxa"/>
            <w:vAlign w:val="bottom"/>
          </w:tcPr>
          <w:p>
            <w:pPr>
              <w:spacing w:after="0"/>
              <w:rPr>
                <w:sz w:val="19"/>
                <w:szCs w:val="19"/>
                <w:color w:val="auto"/>
              </w:rPr>
            </w:pPr>
          </w:p>
        </w:tc>
        <w:tc>
          <w:tcPr>
            <w:tcW w:w="5620" w:type="dxa"/>
            <w:vAlign w:val="bottom"/>
            <w:gridSpan w:val="2"/>
          </w:tcPr>
          <w:p>
            <w:pPr>
              <w:ind w:left="220"/>
              <w:spacing w:after="0"/>
              <w:rPr>
                <w:sz w:val="20"/>
                <w:szCs w:val="20"/>
                <w:color w:val="auto"/>
              </w:rPr>
            </w:pPr>
            <w:r>
              <w:rPr>
                <w:rFonts w:ascii="Arial" w:cs="Arial" w:eastAsia="Arial" w:hAnsi="Arial"/>
                <w:sz w:val="18"/>
                <w:szCs w:val="18"/>
                <w:color w:val="auto"/>
              </w:rPr>
              <w:t>Total contractual leasing revenue</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1,291,190</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1,130,433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w w:val="98"/>
              </w:rPr>
              <w:t>160,757</w:t>
            </w:r>
          </w:p>
        </w:tc>
      </w:tr>
      <w:tr>
        <w:trPr>
          <w:trHeight w:val="21"/>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____________________</w:t>
      </w:r>
    </w:p>
    <w:p>
      <w:pPr>
        <w:spacing w:after="0" w:line="13" w:lineRule="exact"/>
        <w:rPr>
          <w:sz w:val="20"/>
          <w:szCs w:val="20"/>
          <w:color w:val="auto"/>
        </w:rPr>
      </w:pPr>
    </w:p>
    <w:p>
      <w:pPr>
        <w:jc w:val="both"/>
        <w:ind w:firstLine="8"/>
        <w:spacing w:after="0" w:line="241" w:lineRule="auto"/>
        <w:tabs>
          <w:tab w:leader="none" w:pos="211" w:val="left"/>
        </w:tabs>
        <w:numPr>
          <w:ilvl w:val="0"/>
          <w:numId w:val="54"/>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portion of land separately classified and accounted for under the operating lease model associated with our investment in Caesars Palace Las Vegas and certain operating land parcels contained in the Regional Master Lease Agreement. Upon the consummation of the Eldorado Transaction on July 20, 2020, the land component of Caesars Palace Las Vegas and certain operating land parcels were reassessed for lease classification and determined to be a sales-type lease. Accordingly, subsequent to July 20, 2020, such income is recognized as Income from sales-type and direct financing leases.</w:t>
      </w:r>
    </w:p>
    <w:p>
      <w:pPr>
        <w:spacing w:after="0" w:line="1" w:lineRule="exact"/>
        <w:rPr>
          <w:rFonts w:ascii="Arial" w:cs="Arial" w:eastAsia="Arial" w:hAnsi="Arial"/>
          <w:sz w:val="14"/>
          <w:szCs w:val="14"/>
          <w:i w:val="1"/>
          <w:iCs w:val="1"/>
          <w:color w:val="auto"/>
        </w:rPr>
      </w:pPr>
    </w:p>
    <w:p>
      <w:pPr>
        <w:jc w:val="both"/>
        <w:ind w:firstLine="8"/>
        <w:spacing w:after="0" w:line="241" w:lineRule="auto"/>
        <w:tabs>
          <w:tab w:leader="none" w:pos="207" w:val="left"/>
        </w:tabs>
        <w:numPr>
          <w:ilvl w:val="0"/>
          <w:numId w:val="54"/>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Harrah’s Original Call Properties and the JACK Cleveland/Thistledown Lease Agreement, both of which were sale leaseback transactions. In accordance with ASC 842, since the lease agreements were determined to meet the definition of a sales-type lease and control of the asset is not considered to have transferred to us, such lease agreements are accounted for as financings under ASC 310.</w:t>
      </w:r>
    </w:p>
    <w:p>
      <w:pPr>
        <w:spacing w:after="0" w:line="1" w:lineRule="exact"/>
        <w:rPr>
          <w:rFonts w:ascii="Arial" w:cs="Arial" w:eastAsia="Arial" w:hAnsi="Arial"/>
          <w:sz w:val="14"/>
          <w:szCs w:val="14"/>
          <w:i w:val="1"/>
          <w:iCs w:val="1"/>
          <w:color w:val="auto"/>
        </w:rPr>
      </w:pPr>
    </w:p>
    <w:p>
      <w:pPr>
        <w:ind w:right="20" w:firstLine="8"/>
        <w:spacing w:after="0" w:line="255" w:lineRule="auto"/>
        <w:tabs>
          <w:tab w:leader="none" w:pos="205" w:val="left"/>
        </w:tabs>
        <w:numPr>
          <w:ilvl w:val="0"/>
          <w:numId w:val="54"/>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the non-cash adjustment to income from sales-type leases, direct financing leases and lease financing receivables in order to recognize income on an effective interest basis at a constant rate of return over the term of the leases.</w:t>
      </w:r>
    </w:p>
    <w:p>
      <w:pPr>
        <w:spacing w:after="0" w:line="13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Leasing revenue is generated from rent from our Lease Agreements. Total leasing revenue increased $240.7 million during the year ended December 31, 2021 compared to the year ended December 31, 2020. Total contractual leasing revenue increased $160.8 million during the year ended December 31, 2021 compared to the year ended December 31, 2020. The increase was primarily driven by the addition of the Harrah’s Original Call Properties to our real estate portfolio in July 2020, as well as the CPLV Additional Rent Acquisition and the HLV Additional Rent Acquisition in July 2020.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Loans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Income from loans increased $24.6 million during the year ended December 31, 2021 compared to the year ended December 31, 2020. The increase was driven by the addition to our investment portfolio of the Amended and Restated ROV Loan in July 2020, the Chelsea Piers Mortgage Loan in August 2020, the Forum Convention Center Mortgage Loan in September 2020 and the Great Wolf Mezzanine Loan in June 2021.</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71" w:lineRule="exact"/>
        <w:rPr>
          <w:sz w:val="20"/>
          <w:szCs w:val="20"/>
          <w:color w:val="auto"/>
        </w:rPr>
      </w:pPr>
    </w:p>
    <w:p>
      <w:pPr>
        <w:jc w:val="both"/>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Other income increased $12.0 million during the year ended December 31, 2021 compared to the year ended December 31, 2020, driven primarily by the additional income and offsetting expense as a result of the assumption of the HNO Ground Lease as part of the Harrah’s Original Call Properties Acquisitions in July 2020. Refer to </w:t>
      </w:r>
      <w:hyperlink w:anchor="page103">
        <w:r>
          <w:rPr>
            <w:rFonts w:ascii="Arial" w:cs="Arial" w:eastAsia="Arial" w:hAnsi="Arial"/>
            <w:sz w:val="18"/>
            <w:szCs w:val="18"/>
            <w:u w:val="single" w:color="auto"/>
            <w:color w:val="0000FF"/>
          </w:rPr>
          <w:t>Note 3 - Property Transactions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description of the HNO Ground Lease.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 xml:space="preserve">Table </w:t>
        </w:r>
      </w:hyperlink>
      <w:r>
        <w:rPr>
          <w:rFonts w:ascii="Arial" w:cs="Arial" w:eastAsia="Arial" w:hAnsi="Arial"/>
          <w:sz w:val="18"/>
          <w:szCs w:val="18"/>
          <w:u w:val="single" w:color="auto"/>
          <w:color w:val="0000FF"/>
        </w:rPr>
        <w:t xml:space="preserve">of </w:t>
      </w:r>
      <w:hyperlink w:anchor="page1">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Golf Revenues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from golf operations increased $6.8 million during the year ended December 31, 2021 compared to the year ended December 31, 2020. The change was primarily driven by (i) an increase in green fees and rounds played at the golf courses, (ii) the closure of our golf courses in mid-March 2020 until early to mid-May 2020 as a result of the COVID-19 pandemic and (iii) an increase in the contractual fees paid to us by Caesars for the use of our golf courses pursuant to the Golf Course Use Agreement.</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2021 and 2020, our operating expenses were comprised of the following items:</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6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420" w:type="dxa"/>
            <w:vAlign w:val="bottom"/>
          </w:tcPr>
          <w:p>
            <w:pPr>
              <w:spacing w:after="0"/>
              <w:rPr>
                <w:sz w:val="16"/>
                <w:szCs w:val="16"/>
                <w:color w:val="auto"/>
              </w:rPr>
            </w:pPr>
          </w:p>
        </w:tc>
        <w:tc>
          <w:tcPr>
            <w:tcW w:w="1340" w:type="dxa"/>
            <w:vAlign w:val="bottom"/>
          </w:tcPr>
          <w:p>
            <w:pPr>
              <w:jc w:val="right"/>
              <w:ind w:right="631"/>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ind w:right="65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tcPr>
          <w:p>
            <w:pPr>
              <w:jc w:val="right"/>
              <w:ind w:right="491"/>
              <w:spacing w:after="0"/>
              <w:rPr>
                <w:sz w:val="20"/>
                <w:szCs w:val="20"/>
                <w:color w:val="auto"/>
              </w:rPr>
            </w:pPr>
            <w:r>
              <w:rPr>
                <w:rFonts w:ascii="Arial" w:cs="Arial" w:eastAsia="Arial" w:hAnsi="Arial"/>
                <w:sz w:val="16"/>
                <w:szCs w:val="16"/>
                <w:b w:val="1"/>
                <w:bCs w:val="1"/>
                <w:color w:val="auto"/>
              </w:rPr>
              <w:t>Variance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w:t>
            </w:r>
          </w:p>
        </w:tc>
      </w:tr>
      <w:tr>
        <w:trPr>
          <w:trHeight w:val="230"/>
        </w:trPr>
        <w:tc>
          <w:tcPr>
            <w:tcW w:w="20" w:type="dxa"/>
            <w:vAlign w:val="bottom"/>
          </w:tcPr>
          <w:p>
            <w:pPr>
              <w:spacing w:after="0"/>
              <w:rPr>
                <w:sz w:val="19"/>
                <w:szCs w:val="19"/>
                <w:color w:val="auto"/>
              </w:rPr>
            </w:pPr>
          </w:p>
        </w:tc>
        <w:tc>
          <w:tcPr>
            <w:tcW w:w="5640" w:type="dxa"/>
            <w:vAlign w:val="bottom"/>
            <w:gridSpan w:val="2"/>
          </w:tcPr>
          <w:p>
            <w:pPr>
              <w:ind w:left="200"/>
              <w:spacing w:after="0"/>
              <w:rPr>
                <w:sz w:val="20"/>
                <w:szCs w:val="20"/>
                <w:color w:val="auto"/>
              </w:rPr>
            </w:pPr>
            <w:r>
              <w:rPr>
                <w:rFonts w:ascii="Arial" w:cs="Arial" w:eastAsia="Arial" w:hAnsi="Arial"/>
                <w:sz w:val="18"/>
                <w:szCs w:val="18"/>
                <w:color w:val="auto"/>
              </w:rPr>
              <w:t>Depreciation</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3,091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(640)</w:t>
            </w:r>
          </w:p>
        </w:tc>
      </w:tr>
      <w:tr>
        <w:trPr>
          <w:trHeight w:val="22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expenses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12,015</w:t>
            </w:r>
          </w:p>
        </w:tc>
      </w:tr>
      <w:tr>
        <w:trPr>
          <w:trHeight w:val="229"/>
        </w:trPr>
        <w:tc>
          <w:tcPr>
            <w:tcW w:w="20" w:type="dxa"/>
            <w:vAlign w:val="bottom"/>
          </w:tcPr>
          <w:p>
            <w:pPr>
              <w:spacing w:after="0"/>
              <w:rPr>
                <w:sz w:val="19"/>
                <w:szCs w:val="19"/>
                <w:color w:val="auto"/>
              </w:rPr>
            </w:pPr>
          </w:p>
        </w:tc>
        <w:tc>
          <w:tcPr>
            <w:tcW w:w="5640" w:type="dxa"/>
            <w:vAlign w:val="bottom"/>
            <w:gridSpan w:val="2"/>
          </w:tcPr>
          <w:p>
            <w:pPr>
              <w:ind w:left="200"/>
              <w:spacing w:after="0"/>
              <w:rPr>
                <w:sz w:val="20"/>
                <w:szCs w:val="20"/>
                <w:color w:val="auto"/>
              </w:rPr>
            </w:pPr>
            <w:r>
              <w:rPr>
                <w:rFonts w:ascii="Arial" w:cs="Arial" w:eastAsia="Arial" w:hAnsi="Arial"/>
                <w:sz w:val="18"/>
                <w:szCs w:val="18"/>
                <w:color w:val="auto"/>
              </w:rPr>
              <w:t>Golf expenses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20,762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17,632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3,130</w:t>
            </w:r>
          </w:p>
        </w:tc>
      </w:tr>
      <w:tr>
        <w:trPr>
          <w:trHeight w:val="230"/>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Change in allowance for credit losses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(264,071)</w:t>
            </w:r>
          </w:p>
        </w:tc>
      </w:tr>
      <w:tr>
        <w:trPr>
          <w:trHeight w:val="229"/>
        </w:trPr>
        <w:tc>
          <w:tcPr>
            <w:tcW w:w="20" w:type="dxa"/>
            <w:vAlign w:val="bottom"/>
            <w:tcBorders>
              <w:bottom w:val="single" w:sz="8" w:color="CCEEFF"/>
            </w:tcBorders>
          </w:tcPr>
          <w:p>
            <w:pPr>
              <w:spacing w:after="0"/>
              <w:rPr>
                <w:sz w:val="19"/>
                <w:szCs w:val="19"/>
                <w:color w:val="auto"/>
              </w:rPr>
            </w:pPr>
          </w:p>
        </w:tc>
        <w:tc>
          <w:tcPr>
            <w:tcW w:w="564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Transaction and acquisition expenses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75,631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321,018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(245,387)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General and administrative expenses increased $2.5 million during the year ended December 31, 2021 compared to the year ended December 31, 2020. The increase was primarily driven by an increase in compensation, including stock-based compensation.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171" w:lineRule="exact"/>
        <w:rPr>
          <w:sz w:val="20"/>
          <w:szCs w:val="20"/>
          <w:color w:val="auto"/>
        </w:rPr>
      </w:pPr>
    </w:p>
    <w:p>
      <w:pPr>
        <w:jc w:val="both"/>
        <w:spacing w:after="0" w:line="286" w:lineRule="auto"/>
        <w:rPr>
          <w:rFonts w:ascii="Arial" w:cs="Arial" w:eastAsia="Arial" w:hAnsi="Arial"/>
          <w:sz w:val="17"/>
          <w:szCs w:val="17"/>
          <w:color w:val="auto"/>
        </w:rPr>
      </w:pPr>
      <w:r>
        <w:rPr>
          <w:rFonts w:ascii="Arial" w:cs="Arial" w:eastAsia="Arial" w:hAnsi="Arial"/>
          <w:sz w:val="17"/>
          <w:szCs w:val="17"/>
          <w:color w:val="auto"/>
        </w:rPr>
        <w:t xml:space="preserve">Other expenses increased $12.0 million during the year ended December 31, 2021 compared to the year ended December 31, 2020. The increase was driven primarily by the additional income and offsetting expense as a result of the assumption of the HNO Ground Lease as part of the Harrah’s Original Call Properties Acquisitions in July 2020. Refer to </w:t>
      </w:r>
      <w:hyperlink w:anchor="page103">
        <w:r>
          <w:rPr>
            <w:rFonts w:ascii="Arial" w:cs="Arial" w:eastAsia="Arial" w:hAnsi="Arial"/>
            <w:sz w:val="17"/>
            <w:szCs w:val="17"/>
            <w:u w:val="single" w:color="auto"/>
            <w:color w:val="0000FF"/>
          </w:rPr>
          <w:t>Note 3 - Property Transactions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further description of the HNO Ground Lease.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Golf Expenses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Expenses from golf operations increased $3.1 million during the year ended December 31, 2021 compared to the year ended December 31, 2020. The change was primarily driven by an increase in rounds of golf played across our golf courses. Additionally, even though our courses were closed from mid-March 2020 until early to mid-May as a result of the COVID-19 pandemic, we continued to pay all of our golf course employees their full salaries and benefits for a period of time and, accordingly, the change in our golf course operating revenues during this time was not proportionately offset by the change in golf course operating expenses.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$3.1 million and $3.7 million of depreciation expense was incurred primarily by the golf business during the year ended December 31, 2021 and 2020,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Allowance for Credit Losses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Under ASU No. 2016-13 - </w:t>
      </w:r>
      <w:r>
        <w:rPr>
          <w:rFonts w:ascii="Arial" w:cs="Arial" w:eastAsia="Arial" w:hAnsi="Arial"/>
          <w:sz w:val="17"/>
          <w:szCs w:val="17"/>
          <w:i w:val="1"/>
          <w:iCs w:val="1"/>
          <w:color w:val="auto"/>
        </w:rPr>
        <w:t>Financial Instruments-Credit Losses (Topic 326),</w:t>
      </w:r>
      <w:r>
        <w:rPr>
          <w:rFonts w:ascii="Arial" w:cs="Arial" w:eastAsia="Arial" w:hAnsi="Arial"/>
          <w:sz w:val="17"/>
          <w:szCs w:val="17"/>
          <w:color w:val="auto"/>
        </w:rPr>
        <w:t xml:space="preserve"> we are required to record an estimated credit loss for our (i) Investments in leases - sales-type, (ii) Investments in leases - financing receivables and (iii) Investments in loans. During the year ended December 31, 2021, we recognized a $19.6 million decrease in our allowance for credit losses primarily driven by (i) the decrease in the reasonable and supportable period probability of default of our tenants or borrowers and their parent guarantors as a result of an improvement in their economic outlook due to the reopening of all of their gaming operations and relative performance of such operations during 2021, (ii) the decrease in the long term period probability of default due to an upgrade of the credit rating of the senior secured debt used to determine the long term period probability of default for one of our tenants during 2021 and (iii) the decrease in the reasonable and supportable period probability of default and loss given default as a result of standard annual updates that were made to the inputs and assumptions in the model that we utilize to estimate our CECL allowance. This decrease was partially offset by an increase in the existing amortized cost balances subject to the CECL allowance.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 xml:space="preserve">Table </w:t>
        </w:r>
      </w:hyperlink>
      <w:r>
        <w:rPr>
          <w:rFonts w:ascii="Arial" w:cs="Arial" w:eastAsia="Arial" w:hAnsi="Arial"/>
          <w:sz w:val="18"/>
          <w:szCs w:val="18"/>
          <w:u w:val="single" w:color="auto"/>
          <w:color w:val="0000FF"/>
        </w:rPr>
        <w:t xml:space="preserve">of </w:t>
      </w:r>
      <w:hyperlink w:anchor="page1">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During the year ended December 31, 2020, we recognized a $244.5 million increase in our allowance for credit losses primarily driven by the increase in investment balances subject to CECL. Specifically, the increase was primarily attributable to (i) the increase in investment balances resulting from the Eldorado Transaction, which includes (A) an initial CECL allowance on our $1.8 billion investment in the Harrah’s Original Call Properties, (B) an additional CECL allowance on our aggregate $1.4 billion increased investment in the Las Vegas Master Lease Agreement as a result of the CPLV Additional Rent Acquisition and HLV Additional Rent Acquisition and (C) an additional CECL allowance on the $333.4 million increased balance of our existing Caesars Lease Agreements as a result of the mark to fair value in connection with the reassessment of lease classification, (ii) an increase related to our initial investment in JACK Cleveland/Thistledown and the ROV Loan in January 2020, (iii) an increase in the short-term probability of default of Caesars as a result of the Eldorado/Caesars Merger and (iv) an increase in the long-term probability of default of our tenants due to downgrades on certain of the credit ratings of our tenants’ senior secured debt in connection with the COVID-19 pandemic. Refer to </w:t>
      </w:r>
      <w:hyperlink w:anchor="page118">
        <w:r>
          <w:rPr>
            <w:rFonts w:ascii="Arial" w:cs="Arial" w:eastAsia="Arial" w:hAnsi="Arial"/>
            <w:sz w:val="18"/>
            <w:szCs w:val="18"/>
            <w:u w:val="single" w:color="auto"/>
            <w:color w:val="0000FF"/>
          </w:rPr>
          <w:t>Note 5 - Allowance for Credit Losses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details.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and Acquisition Expenses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Transaction and acquisition costs increased $1.7 million during the year ended December 31, 2021 compared to the year ended December 31, 2020. Changes in transaction and acquisition expenses are related to fluctuations in (i) costs incurred for investments during the period that are not capitalizable under GAAP and (ii) costs incurred for investments that we are no longer pursuing.</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Non-Operating Income and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2021 and 2020, our non-operating income and expenses were comprised of the following items:</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66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420" w:type="dxa"/>
            <w:vAlign w:val="bottom"/>
          </w:tcPr>
          <w:p>
            <w:pPr>
              <w:spacing w:after="0"/>
              <w:rPr>
                <w:sz w:val="16"/>
                <w:szCs w:val="16"/>
                <w:color w:val="auto"/>
              </w:rPr>
            </w:pPr>
          </w:p>
        </w:tc>
        <w:tc>
          <w:tcPr>
            <w:tcW w:w="1340" w:type="dxa"/>
            <w:vAlign w:val="bottom"/>
          </w:tcPr>
          <w:p>
            <w:pPr>
              <w:jc w:val="right"/>
              <w:ind w:right="63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ind w:right="65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tcPr>
          <w:p>
            <w:pPr>
              <w:jc w:val="right"/>
              <w:ind w:right="492"/>
              <w:spacing w:after="0"/>
              <w:rPr>
                <w:sz w:val="20"/>
                <w:szCs w:val="20"/>
                <w:color w:val="auto"/>
              </w:rPr>
            </w:pPr>
            <w:r>
              <w:rPr>
                <w:rFonts w:ascii="Arial" w:cs="Arial" w:eastAsia="Arial" w:hAnsi="Arial"/>
                <w:sz w:val="16"/>
                <w:szCs w:val="16"/>
                <w:b w:val="1"/>
                <w:bCs w:val="1"/>
                <w:color w:val="auto"/>
              </w:rPr>
              <w:t>Variance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(392,390)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(83,785)</w:t>
            </w:r>
          </w:p>
        </w:tc>
      </w:tr>
      <w:tr>
        <w:trPr>
          <w:trHeight w:val="230"/>
        </w:trPr>
        <w:tc>
          <w:tcPr>
            <w:tcW w:w="20" w:type="dxa"/>
            <w:vAlign w:val="bottom"/>
          </w:tcPr>
          <w:p>
            <w:pPr>
              <w:spacing w:after="0"/>
              <w:rPr>
                <w:sz w:val="19"/>
                <w:szCs w:val="19"/>
                <w:color w:val="auto"/>
              </w:rPr>
            </w:pPr>
          </w:p>
        </w:tc>
        <w:tc>
          <w:tcPr>
            <w:tcW w:w="5640" w:type="dxa"/>
            <w:vAlign w:val="bottom"/>
            <w:gridSpan w:val="2"/>
          </w:tcPr>
          <w:p>
            <w:pPr>
              <w:ind w:left="200"/>
              <w:spacing w:after="0"/>
              <w:rPr>
                <w:sz w:val="20"/>
                <w:szCs w:val="20"/>
                <w:color w:val="auto"/>
              </w:rPr>
            </w:pPr>
            <w:r>
              <w:rPr>
                <w:rFonts w:ascii="Arial" w:cs="Arial" w:eastAsia="Arial" w:hAnsi="Arial"/>
                <w:sz w:val="18"/>
                <w:szCs w:val="18"/>
                <w:color w:val="auto"/>
              </w:rPr>
              <w:t>Interest income</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(6,675)</w:t>
            </w:r>
          </w:p>
        </w:tc>
      </w:tr>
      <w:tr>
        <w:trPr>
          <w:trHeight w:val="22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Loss from extinguishment of debt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23,437</w:t>
            </w:r>
          </w:p>
        </w:tc>
      </w:tr>
      <w:tr>
        <w:trPr>
          <w:trHeight w:val="230"/>
        </w:trPr>
        <w:tc>
          <w:tcPr>
            <w:tcW w:w="20" w:type="dxa"/>
            <w:vAlign w:val="bottom"/>
          </w:tcPr>
          <w:p>
            <w:pPr>
              <w:spacing w:after="0"/>
              <w:rPr>
                <w:sz w:val="20"/>
                <w:szCs w:val="20"/>
                <w:color w:val="auto"/>
              </w:rPr>
            </w:pPr>
          </w:p>
        </w:tc>
        <w:tc>
          <w:tcPr>
            <w:tcW w:w="5640" w:type="dxa"/>
            <w:vAlign w:val="bottom"/>
            <w:gridSpan w:val="2"/>
          </w:tcPr>
          <w:p>
            <w:pPr>
              <w:ind w:left="200"/>
              <w:spacing w:after="0"/>
              <w:rPr>
                <w:sz w:val="20"/>
                <w:szCs w:val="20"/>
                <w:color w:val="auto"/>
              </w:rPr>
            </w:pPr>
            <w:r>
              <w:rPr>
                <w:rFonts w:ascii="Arial" w:cs="Arial" w:eastAsia="Arial" w:hAnsi="Arial"/>
                <w:sz w:val="18"/>
                <w:szCs w:val="18"/>
                <w:color w:val="auto"/>
              </w:rPr>
              <w:t>Gain upon lease modification</w:t>
            </w:r>
          </w:p>
        </w:tc>
        <w:tc>
          <w:tcPr>
            <w:tcW w:w="42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333,352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(333,352)</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increased $83.8 million during the year ended December 31, 2021 compared to the year ended December 31, 2020. The increase is primarily driven by (i) the $64.2 million payment in connection with the early settlement of the outstanding interest rate swap agreements, (ii) the amortization of the commitment fees associated with the Venetian Acquisition Bridge Facility and the MGP Transactions Bridge Facility and (iii) the increase in aggregate debt of $2.5 billion from the February 2020 Senior Unsecured Notes offering.</w:t>
      </w:r>
    </w:p>
    <w:p>
      <w:pPr>
        <w:spacing w:after="0" w:line="13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Additionally, the above increase was partially offset by (i) the redemption of the Second Lien Notes in February 2020, (ii) the full repayment of the Term Loan B Facility in September 2021 and (iii) a decrease in the weighted average annualized interest rate of our debt to 4.04% during the year ended December 31, 2021 from 4.47% during the year ended December 31, 2020 as a result of (a) the weighted average interest rate on the February 2020 Senior Unsecured Notes being lower than the weighted average interest rate of the Second Lien Notes and (b) a decrease in LIBOR on the $600.0 million portion of our variable rate debt that was not hedged for the portion of the period the Term Loan B Facility was still outstanding.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income decreased $6.7 million during the year ended December 31, 2021 compared to the year ended December 31, 2020. The decrease was primarily driven by an overall decrease in our cash on hand throughout the current year as compared to the prior year, coupled with a decrease in the interest rates earned on our excess cash.</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year ended December 31, 2021, we recognized a loss on extinguishment of debt of $15.6 million resulting from the write-off of the unamortized deferred financing fees in connection with the full repayment of our Term Loan B Facility in September 2021. During the year ended December 31, 2020, we recognized a loss on extinguishment of debt of $39.1 million resulting from the full redemption of our Second Lien Notes in February 2020.</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 xml:space="preserve">Table </w:t>
        </w:r>
      </w:hyperlink>
      <w:r>
        <w:rPr>
          <w:rFonts w:ascii="Arial" w:cs="Arial" w:eastAsia="Arial" w:hAnsi="Arial"/>
          <w:sz w:val="18"/>
          <w:szCs w:val="18"/>
          <w:u w:val="single" w:color="auto"/>
          <w:color w:val="0000FF"/>
        </w:rPr>
        <w:t xml:space="preserve">of </w:t>
      </w:r>
      <w:hyperlink w:anchor="page1">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Upon Lease Modification</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2020, in connection with the Eldorado Transaction and as required under ASC 842, we reassessed the lease classification of the Las Vegas Master Lease Agreement, Regional Master Lease Agreement and Joliet Lease Agreement and determined the leases meet the definition of a sales-type lease, including the land component of Caesars Palace Las Vegas. As a result of the reclassifications of the Caesars Lease Agreements from direct financing and operating leases to sales-type leases, in 2020, we recorded the investments at their estimated fair values as of the modification date and recognized a net gain equal to the difference in fair value of the assets and their carrying values immediately prior to the modification. No such similar transaction occurred in the current year.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2020 and 2019</w:t>
      </w:r>
    </w:p>
    <w:p>
      <w:pPr>
        <w:spacing w:after="0" w:line="175" w:lineRule="exact"/>
        <w:rPr>
          <w:sz w:val="20"/>
          <w:szCs w:val="20"/>
          <w:color w:val="auto"/>
        </w:rPr>
      </w:pPr>
    </w:p>
    <w:p>
      <w:pPr>
        <w:jc w:val="both"/>
        <w:spacing w:after="0" w:line="263" w:lineRule="auto"/>
        <w:rPr>
          <w:rFonts w:ascii="Arial" w:cs="Arial" w:eastAsia="Arial" w:hAnsi="Arial"/>
          <w:sz w:val="18"/>
          <w:szCs w:val="18"/>
          <w:color w:val="0000FF"/>
        </w:rPr>
      </w:pPr>
      <w:hyperlink r:id="rId78">
        <w:r>
          <w:rPr>
            <w:rFonts w:ascii="Arial" w:cs="Arial" w:eastAsia="Arial" w:hAnsi="Arial"/>
            <w:sz w:val="18"/>
            <w:szCs w:val="18"/>
            <w:color w:val="auto"/>
          </w:rPr>
          <w:t>For a comparison of our results of operations for the fiscal years ended December 31, 2020 and 2019, see “</w:t>
        </w:r>
        <w:r>
          <w:rPr>
            <w:rFonts w:ascii="Arial" w:cs="Arial" w:eastAsia="Arial" w:hAnsi="Arial"/>
            <w:sz w:val="18"/>
            <w:szCs w:val="18"/>
            <w:u w:val="single" w:color="auto"/>
            <w:color w:val="0000FF"/>
          </w:rPr>
          <w:t>Part II, Item 7. Management’s Discussion and</w:t>
        </w:r>
      </w:hyperlink>
      <w:r>
        <w:rPr>
          <w:rFonts w:ascii="Arial" w:cs="Arial" w:eastAsia="Arial" w:hAnsi="Arial"/>
          <w:sz w:val="18"/>
          <w:szCs w:val="18"/>
          <w:color w:val="auto"/>
        </w:rPr>
        <w:t xml:space="preserve"> </w:t>
      </w:r>
      <w:hyperlink r:id="rId78">
        <w:r>
          <w:rPr>
            <w:rFonts w:ascii="Arial" w:cs="Arial" w:eastAsia="Arial" w:hAnsi="Arial"/>
            <w:sz w:val="18"/>
            <w:szCs w:val="18"/>
            <w:u w:val="single" w:color="auto"/>
            <w:color w:val="0000FF"/>
          </w:rPr>
          <w:t>Analysis of Financial Condition and Results of Operations</w:t>
        </w:r>
        <w:r>
          <w:rPr>
            <w:rFonts w:ascii="Arial" w:cs="Arial" w:eastAsia="Arial" w:hAnsi="Arial"/>
            <w:sz w:val="18"/>
            <w:szCs w:val="18"/>
            <w:color w:val="000000"/>
          </w:rPr>
          <w:t>” of our annual report on Form 10-K for the fiscal year ended December 31, 2020, filed with the</w:t>
        </w:r>
      </w:hyperlink>
      <w:r>
        <w:rPr>
          <w:rFonts w:ascii="Arial" w:cs="Arial" w:eastAsia="Arial" w:hAnsi="Arial"/>
          <w:sz w:val="18"/>
          <w:szCs w:val="18"/>
          <w:color w:val="0000FF"/>
        </w:rPr>
        <w:t xml:space="preserve"> </w:t>
      </w:r>
      <w:r>
        <w:rPr>
          <w:rFonts w:ascii="Arial" w:cs="Arial" w:eastAsia="Arial" w:hAnsi="Arial"/>
          <w:sz w:val="18"/>
          <w:szCs w:val="18"/>
          <w:color w:val="000000"/>
        </w:rPr>
        <w:t>SEC on February 18, 2021 and incorporated by reference herein.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RECONCILIATION OF NON-GAAP MEASURES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present Funds From Operations (“FFO”), FFO per share, Adjusted Funds From Operations (“AFFO”), AFFO per share, and Adjusted EBITDA, which are not required by, or presented in accordance with, generally accepted accounting principles in the United States (“GAAP”). These are non-GAAP financial measures and should not be construed as alternatives to net income or as an indicator of operating performance (as determined in accordance with GAAP). We believe FFO, FFO per share, AFFO, AFFO per share and Adjusted EBITDA provide a meaningful perspective of the underlying operating performance of our business.</w:t>
      </w:r>
    </w:p>
    <w:p>
      <w:pPr>
        <w:spacing w:after="0" w:line="13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FFO is a non-GAAP financial measure that is considered a supplemental measure for the real estate industry and a supplement to GAAP measures. Consistent with the definition used by the National Association of Real Estate Investment Trusts (Nareit), we define FFO as net income (or loss) attributable to common stockholders (computed in accordance with GAAP) excluding (i) gains (or losses) from sales of certain real estate assets, (ii) depreciation and amortization related to real estate, (iii) gains and losses from change in control and (iv) impairment write-downs of certain real estate assets and investments in entities when the impairment is directly attributable to decreases in the value of depreciable real estate held by the entity.</w:t>
      </w:r>
    </w:p>
    <w:p>
      <w:pPr>
        <w:spacing w:after="0" w:line="12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AFFO is a non-GAAP financial measure that we use as a supplemental operating measure to evaluate our performance. We calculate AFFO by adding or subtracting from FFO non-cash leasing and financing adjustments, non-cash change in allowance for credit losses, non-cash stock-based compensation expense, transaction costs incurred in connection with the acquisition of real estate investments, amortization of debt issuance costs and original issue discount, other non-cash interest expense, non-real estate depreciation (which is comprised of the depreciation related to our golf course operations), capital expenditures (which are comprised of additions to property, plant and equipment related to our golf course operations), impairment charges related to non-depreciable real estate, gains (or losses) on debt extinguishment and interest rate swap settlements, other non-recurring non-cash transactions (such as non-cash gain upon lease modification) and non-cash adjustments attributable to non-controlling interest with respect to certain of the foregoing.</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calculate Adjusted EBITDA by adding or subtracting from AFFO contractual interest expense and interest income (collectively, interest expense, net) and income tax expense.</w:t>
      </w:r>
    </w:p>
    <w:p>
      <w:pPr>
        <w:spacing w:after="0" w:line="1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These non-GAAP financial measures: (i) do not represent cash flow from operations as defined by GAAP; (ii) should not be considered as an alternative to net income as a measure of operating performance or to cash flows from operating, investing and financing activities; and (iii) are not alternatives to cash flow as a measure of liquidity. In addition, these measures should not be viewed as measures of liquidity, nor do they measure our ability to fund all of our cash needs, including our ability to make cash distributions to our stockholders, to fund capital improvements, or to make interest payments on our indebtedness. Investors are also cautioned that FFO, FFO per share, AFFO, AFFO per share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our financial results in accordance with GAAP.</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 xml:space="preserve">Table </w:t>
        </w:r>
      </w:hyperlink>
      <w:r>
        <w:rPr>
          <w:rFonts w:ascii="Arial" w:cs="Arial" w:eastAsia="Arial" w:hAnsi="Arial"/>
          <w:sz w:val="18"/>
          <w:szCs w:val="18"/>
          <w:u w:val="single" w:color="auto"/>
          <w:color w:val="0000FF"/>
        </w:rPr>
        <w:t xml:space="preserve">of </w:t>
      </w:r>
      <w:hyperlink w:anchor="page1">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Net Income to FFO, FFO per Share, AFFO, AFFO per Share and Adjusted EBITDA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080" w:type="dxa"/>
            <w:vAlign w:val="bottom"/>
            <w:gridSpan w:val="3"/>
          </w:tcPr>
          <w:p>
            <w:pPr>
              <w:ind w:left="80"/>
              <w:spacing w:after="0"/>
              <w:rPr>
                <w:sz w:val="20"/>
                <w:szCs w:val="20"/>
                <w:color w:val="auto"/>
              </w:rPr>
            </w:pPr>
            <w:r>
              <w:rPr>
                <w:rFonts w:ascii="Arial" w:cs="Arial" w:eastAsia="Arial" w:hAnsi="Arial"/>
                <w:sz w:val="16"/>
                <w:szCs w:val="16"/>
                <w:b w:val="1"/>
                <w:bCs w:val="1"/>
                <w:color w:val="auto"/>
              </w:rPr>
              <w:t>Year Ended December 31,</w:t>
            </w:r>
          </w:p>
        </w:tc>
        <w:tc>
          <w:tcPr>
            <w:tcW w:w="200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5"/>
              </w:rPr>
              <w:t>Year Ended December 31,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share data and per share data)</w:t>
            </w:r>
          </w:p>
        </w:tc>
        <w:tc>
          <w:tcPr>
            <w:tcW w:w="460" w:type="dxa"/>
            <w:vAlign w:val="bottom"/>
          </w:tcPr>
          <w:p>
            <w:pPr>
              <w:spacing w:after="0"/>
              <w:rPr>
                <w:sz w:val="15"/>
                <w:szCs w:val="15"/>
                <w:color w:val="auto"/>
              </w:rPr>
            </w:pPr>
          </w:p>
        </w:tc>
        <w:tc>
          <w:tcPr>
            <w:tcW w:w="1520" w:type="dxa"/>
            <w:vAlign w:val="bottom"/>
          </w:tcPr>
          <w:p>
            <w:pPr>
              <w:jc w:val="right"/>
              <w:ind w:right="730"/>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20" w:type="dxa"/>
            <w:vAlign w:val="bottom"/>
          </w:tcPr>
          <w:p>
            <w:pPr>
              <w:jc w:val="right"/>
              <w:ind w:right="750"/>
              <w:spacing w:after="0" w:line="175" w:lineRule="exact"/>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common stockholders</w:t>
            </w: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gridSpan w:val="2"/>
            <w:vMerge w:val="continue"/>
          </w:tcPr>
          <w:p>
            <w:pPr>
              <w:spacing w:after="0"/>
              <w:rPr>
                <w:sz w:val="19"/>
                <w:szCs w:val="19"/>
                <w:color w:val="auto"/>
              </w:rPr>
            </w:pPr>
          </w:p>
        </w:tc>
        <w:tc>
          <w:tcPr>
            <w:tcW w:w="460" w:type="dxa"/>
            <w:vAlign w:val="bottom"/>
          </w:tcPr>
          <w:p>
            <w:pPr>
              <w:jc w:val="right"/>
              <w:ind w:right="271"/>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1,013,851</w:t>
            </w:r>
          </w:p>
        </w:tc>
        <w:tc>
          <w:tcPr>
            <w:tcW w:w="100" w:type="dxa"/>
            <w:vAlign w:val="bottom"/>
          </w:tcPr>
          <w:p>
            <w:pPr>
              <w:spacing w:after="0"/>
              <w:rPr>
                <w:sz w:val="19"/>
                <w:szCs w:val="19"/>
                <w:color w:val="auto"/>
              </w:rPr>
            </w:pPr>
          </w:p>
        </w:tc>
        <w:tc>
          <w:tcPr>
            <w:tcW w:w="480" w:type="dxa"/>
            <w:vAlign w:val="bottom"/>
          </w:tcPr>
          <w:p>
            <w:pPr>
              <w:jc w:val="right"/>
              <w:ind w:right="271"/>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891,674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depreciation</w:t>
            </w:r>
          </w:p>
        </w:tc>
        <w:tc>
          <w:tcPr>
            <w:tcW w:w="4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Arial" w:cs="Arial" w:eastAsia="Arial" w:hAnsi="Arial"/>
                <w:sz w:val="18"/>
                <w:szCs w:val="18"/>
                <w:b w:val="1"/>
                <w:bCs w:val="1"/>
                <w:color w:val="auto"/>
              </w:rPr>
              <w:t>FFO</w:t>
            </w:r>
          </w:p>
        </w:tc>
        <w:tc>
          <w:tcPr>
            <w:tcW w:w="4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1,013,851</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891,674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leasing and financing adjustments</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(119,426)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Non-cash change in allowance for credit losses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(19,554)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244,517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stock-based compensation</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Transaction and acquisition expenses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10,402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8,684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debt issuance costs and original issue discount</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71,452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Other depreciation</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2,970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3,615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Loss on extinguishment of debt and interest rate swap settlements </w:t>
            </w:r>
            <w:r>
              <w:rPr>
                <w:rFonts w:ascii="Arial" w:cs="Arial" w:eastAsia="Arial" w:hAnsi="Arial"/>
                <w:sz w:val="23"/>
                <w:szCs w:val="23"/>
                <w:color w:val="auto"/>
                <w:vertAlign w:val="superscript"/>
              </w:rPr>
              <w:t>(1)</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79,861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39,059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gain upon lease modification</w:t>
            </w:r>
          </w:p>
        </w:tc>
        <w:tc>
          <w:tcPr>
            <w:tcW w:w="4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(333,352)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1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Non-cash adjustments attributable to non-controlling interest</w:t>
            </w: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AFFO</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1,047,437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835,804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256,579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281,938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1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Adjusted EBITDA</w:t>
            </w:r>
          </w:p>
        </w:tc>
        <w:tc>
          <w:tcPr>
            <w:tcW w:w="4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1,306,903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1,118,573</w:t>
            </w: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3120" w:type="dxa"/>
            <w:vAlign w:val="bottom"/>
            <w:shd w:val="clear" w:color="auto" w:fill="CCEEFF"/>
          </w:tcPr>
          <w:p>
            <w:pPr>
              <w:spacing w:after="0"/>
              <w:rPr>
                <w:sz w:val="21"/>
                <w:szCs w:val="21"/>
                <w:color w:val="auto"/>
              </w:rPr>
            </w:pPr>
          </w:p>
        </w:tc>
        <w:tc>
          <w:tcPr>
            <w:tcW w:w="40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Arial" w:cs="Arial" w:eastAsia="Arial" w:hAnsi="Arial"/>
                <w:sz w:val="18"/>
                <w:szCs w:val="18"/>
                <w:b w:val="1"/>
                <w:bCs w:val="1"/>
                <w:color w:val="auto"/>
              </w:rPr>
              <w:t>Net income per common share</w:t>
            </w: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4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tcPr>
          <w:p>
            <w:pPr>
              <w:ind w:left="200"/>
              <w:spacing w:after="0"/>
              <w:rPr>
                <w:sz w:val="20"/>
                <w:szCs w:val="20"/>
                <w:color w:val="auto"/>
              </w:rPr>
            </w:pPr>
            <w:r>
              <w:rPr>
                <w:rFonts w:ascii="Arial" w:cs="Arial" w:eastAsia="Arial" w:hAnsi="Arial"/>
                <w:sz w:val="18"/>
                <w:szCs w:val="18"/>
                <w:color w:val="auto"/>
              </w:rPr>
              <w:t>Diluted</w:t>
            </w:r>
          </w:p>
        </w:tc>
        <w:tc>
          <w:tcPr>
            <w:tcW w:w="460" w:type="dxa"/>
            <w:vAlign w:val="bottom"/>
          </w:tcPr>
          <w:p>
            <w:pPr>
              <w:jc w:val="right"/>
              <w:ind w:right="271"/>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480" w:type="dxa"/>
            <w:vAlign w:val="bottom"/>
          </w:tcPr>
          <w:p>
            <w:pPr>
              <w:jc w:val="right"/>
              <w:ind w:right="271"/>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FFO per common share</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tcPr>
          <w:p>
            <w:pPr>
              <w:ind w:left="220"/>
              <w:spacing w:after="0"/>
              <w:rPr>
                <w:sz w:val="20"/>
                <w:szCs w:val="20"/>
                <w:color w:val="auto"/>
              </w:rPr>
            </w:pPr>
            <w:r>
              <w:rPr>
                <w:rFonts w:ascii="Arial" w:cs="Arial" w:eastAsia="Arial" w:hAnsi="Arial"/>
                <w:sz w:val="18"/>
                <w:szCs w:val="18"/>
                <w:color w:val="auto"/>
              </w:rPr>
              <w:t>Basic</w:t>
            </w:r>
          </w:p>
        </w:tc>
        <w:tc>
          <w:tcPr>
            <w:tcW w:w="460" w:type="dxa"/>
            <w:vAlign w:val="bottom"/>
          </w:tcPr>
          <w:p>
            <w:pPr>
              <w:jc w:val="right"/>
              <w:ind w:right="271"/>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480" w:type="dxa"/>
            <w:vAlign w:val="bottom"/>
          </w:tcPr>
          <w:p>
            <w:pPr>
              <w:jc w:val="right"/>
              <w:ind w:right="271"/>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4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Arial" w:cs="Arial" w:eastAsia="Arial" w:hAnsi="Arial"/>
                <w:sz w:val="18"/>
                <w:szCs w:val="18"/>
                <w:b w:val="1"/>
                <w:bCs w:val="1"/>
                <w:color w:val="auto"/>
              </w:rPr>
              <w:t>AFFO per common share</w:t>
            </w: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4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tcPr>
          <w:p>
            <w:pPr>
              <w:ind w:left="200"/>
              <w:spacing w:after="0"/>
              <w:rPr>
                <w:sz w:val="20"/>
                <w:szCs w:val="20"/>
                <w:color w:val="auto"/>
              </w:rPr>
            </w:pPr>
            <w:r>
              <w:rPr>
                <w:rFonts w:ascii="Arial" w:cs="Arial" w:eastAsia="Arial" w:hAnsi="Arial"/>
                <w:sz w:val="18"/>
                <w:szCs w:val="18"/>
                <w:color w:val="auto"/>
              </w:rPr>
              <w:t>Diluted</w:t>
            </w:r>
          </w:p>
        </w:tc>
        <w:tc>
          <w:tcPr>
            <w:tcW w:w="460" w:type="dxa"/>
            <w:vAlign w:val="bottom"/>
          </w:tcPr>
          <w:p>
            <w:pPr>
              <w:jc w:val="right"/>
              <w:ind w:right="271"/>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480" w:type="dxa"/>
            <w:vAlign w:val="bottom"/>
          </w:tcPr>
          <w:p>
            <w:pPr>
              <w:jc w:val="right"/>
              <w:ind w:right="271"/>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tcPr>
          <w:p>
            <w:pPr>
              <w:ind w:left="240"/>
              <w:spacing w:after="0"/>
              <w:rPr>
                <w:sz w:val="20"/>
                <w:szCs w:val="20"/>
                <w:color w:val="auto"/>
              </w:rPr>
            </w:pPr>
            <w:r>
              <w:rPr>
                <w:rFonts w:ascii="Arial" w:cs="Arial" w:eastAsia="Arial" w:hAnsi="Arial"/>
                <w:sz w:val="18"/>
                <w:szCs w:val="18"/>
                <w:color w:val="auto"/>
              </w:rPr>
              <w:t>Basic</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564,467,362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506,140,642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577,066,292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510,908,755</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ind w:firstLine="8"/>
        <w:spacing w:after="0" w:line="255" w:lineRule="auto"/>
        <w:tabs>
          <w:tab w:leader="none" w:pos="212" w:val="left"/>
        </w:tabs>
        <w:numPr>
          <w:ilvl w:val="0"/>
          <w:numId w:val="55"/>
        </w:numPr>
        <w:rPr>
          <w:rFonts w:ascii="Arial" w:cs="Arial" w:eastAsia="Arial" w:hAnsi="Arial"/>
          <w:sz w:val="14"/>
          <w:szCs w:val="14"/>
          <w:i w:val="1"/>
          <w:iCs w:val="1"/>
          <w:color w:val="auto"/>
        </w:rPr>
      </w:pPr>
      <w:r>
        <w:rPr>
          <w:rFonts w:ascii="Arial" w:cs="Arial" w:eastAsia="Arial" w:hAnsi="Arial"/>
          <w:sz w:val="14"/>
          <w:szCs w:val="14"/>
          <w:i w:val="1"/>
          <w:iCs w:val="1"/>
          <w:color w:val="auto"/>
        </w:rPr>
        <w:t>Includes swap breakage costs of approximately $64.2 million incurred by VICI PropCo on September 15, 2021 in connection with the early settlement of the outstanding interest rate swap agreements.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 xml:space="preserve">Table </w:t>
        </w:r>
      </w:hyperlink>
      <w:r>
        <w:rPr>
          <w:rFonts w:ascii="Arial" w:cs="Arial" w:eastAsia="Arial" w:hAnsi="Arial"/>
          <w:sz w:val="18"/>
          <w:szCs w:val="18"/>
          <w:u w:val="single" w:color="auto"/>
          <w:color w:val="0000FF"/>
        </w:rPr>
        <w:t xml:space="preserve">of </w:t>
      </w:r>
      <w:hyperlink w:anchor="page1">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LIQUIDITY AND CAPITAL RESOURCES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December 31, 2021, our available cash balances, capacity under our Secured Revolving Credit Facility and additional available proceeds were as follows:</w:t>
      </w:r>
    </w:p>
    <w:p>
      <w:pPr>
        <w:sectPr>
          <w:pgSz w:w="11900" w:h="16838" w:orient="portrait"/>
          <w:cols w:equalWidth="0" w:num="1">
            <w:col w:w="11240"/>
          </w:cols>
          <w:pgMar w:left="320" w:top="179" w:right="339" w:bottom="1440" w:gutter="0" w:footer="0" w:header="0"/>
        </w:sectPr>
      </w:pPr>
    </w:p>
    <w:p>
      <w:pPr>
        <w:spacing w:after="0" w:line="175"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u w:val="single" w:color="auto"/>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and cash equivalents</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Capacity under the Secured Revolving Credit Facility </w:t>
      </w:r>
      <w:r>
        <w:rPr>
          <w:rFonts w:ascii="Arial" w:cs="Arial" w:eastAsia="Arial" w:hAnsi="Arial"/>
          <w:sz w:val="23"/>
          <w:szCs w:val="23"/>
          <w:i w:val="1"/>
          <w:i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291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20"/>
        <w:spacing w:after="0" w:line="247" w:lineRule="auto"/>
        <w:rPr>
          <w:sz w:val="20"/>
          <w:szCs w:val="20"/>
          <w:color w:val="auto"/>
        </w:rPr>
      </w:pPr>
      <w:r>
        <w:rPr>
          <w:rFonts w:ascii="Arial" w:cs="Arial" w:eastAsia="Arial" w:hAnsi="Arial"/>
          <w:sz w:val="18"/>
          <w:szCs w:val="18"/>
          <w:color w:val="auto"/>
        </w:rPr>
        <w:t xml:space="preserve">Proceeds available from settlement of the September 2021 Forward Sale Agreements and March 2021 Forward Sale Agreements </w:t>
      </w:r>
      <w:r>
        <w:rPr>
          <w:rFonts w:ascii="Arial" w:cs="Arial" w:eastAsia="Arial" w:hAnsi="Arial"/>
          <w:sz w:val="23"/>
          <w:szCs w:val="23"/>
          <w:i w:val="1"/>
          <w:iCs w:val="1"/>
          <w:color w:val="auto"/>
          <w:vertAlign w:val="superscript"/>
        </w:rPr>
        <w:t>(2)</w:t>
      </w:r>
    </w:p>
    <w:p>
      <w:pPr>
        <w:ind w:left="20"/>
        <w:spacing w:after="0"/>
        <w:rPr>
          <w:sz w:val="20"/>
          <w:szCs w:val="20"/>
          <w:color w:val="auto"/>
        </w:rPr>
      </w:pPr>
      <w:r>
        <w:rPr>
          <w:rFonts w:ascii="Arial" w:cs="Arial" w:eastAsia="Arial" w:hAnsi="Arial"/>
          <w:sz w:val="18"/>
          <w:szCs w:val="18"/>
          <w:color w:val="auto"/>
        </w:rPr>
        <w:t>Total</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December 31, 2021</w:t>
            </w:r>
          </w:p>
        </w:tc>
      </w:tr>
      <w:tr>
        <w:trPr>
          <w:trHeight w:val="222"/>
        </w:trPr>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2560" w:type="dxa"/>
            <w:vAlign w:val="bottom"/>
          </w:tcPr>
          <w:p>
            <w:pPr>
              <w:jc w:val="right"/>
              <w:spacing w:after="0"/>
              <w:rPr>
                <w:sz w:val="20"/>
                <w:szCs w:val="20"/>
                <w:color w:val="auto"/>
              </w:rPr>
            </w:pPr>
            <w:r>
              <w:rPr>
                <w:rFonts w:ascii="Arial" w:cs="Arial" w:eastAsia="Arial" w:hAnsi="Arial"/>
                <w:sz w:val="18"/>
                <w:szCs w:val="18"/>
                <w:color w:val="auto"/>
              </w:rPr>
              <w:t>739,614</w:t>
            </w:r>
          </w:p>
        </w:tc>
      </w:tr>
      <w:tr>
        <w:trPr>
          <w:trHeight w:val="230"/>
        </w:trPr>
        <w:tc>
          <w:tcPr>
            <w:tcW w:w="460" w:type="dxa"/>
            <w:vAlign w:val="bottom"/>
          </w:tcPr>
          <w:p>
            <w:pPr>
              <w:spacing w:after="0"/>
              <w:rPr>
                <w:sz w:val="20"/>
                <w:szCs w:val="20"/>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1,000,000</w:t>
            </w:r>
          </w:p>
        </w:tc>
      </w:tr>
      <w:tr>
        <w:trPr>
          <w:trHeight w:val="459"/>
        </w:trPr>
        <w:tc>
          <w:tcPr>
            <w:tcW w:w="4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3,222,142</w:t>
            </w:r>
          </w:p>
        </w:tc>
      </w:tr>
      <w:tr>
        <w:trPr>
          <w:trHeight w:val="223"/>
        </w:trPr>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4,961,756</w:t>
            </w:r>
          </w:p>
        </w:tc>
      </w:tr>
      <w:tr>
        <w:trPr>
          <w:trHeight w:val="21"/>
        </w:trPr>
        <w:tc>
          <w:tcPr>
            <w:tcW w:w="46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ectPr>
          <w:pgSz w:w="11900" w:h="16838" w:orient="portrait"/>
          <w:cols w:equalWidth="0" w:num="2">
            <w:col w:w="8040" w:space="180"/>
            <w:col w:w="3020"/>
          </w:cols>
          <w:pgMar w:left="320" w:top="179" w:right="339" w:bottom="1440" w:gutter="0" w:footer="0" w:header="0"/>
          <w:type w:val="continuous"/>
        </w:sectPr>
      </w:pPr>
    </w:p>
    <w:p>
      <w:pPr>
        <w:jc w:val="both"/>
        <w:ind w:left="340" w:hanging="332"/>
        <w:spacing w:after="0" w:line="244" w:lineRule="auto"/>
        <w:tabs>
          <w:tab w:leader="none" w:pos="332" w:val="left"/>
        </w:tabs>
        <w:numPr>
          <w:ilvl w:val="0"/>
          <w:numId w:val="56"/>
        </w:numPr>
        <w:rPr>
          <w:rFonts w:ascii="Arial" w:cs="Arial" w:eastAsia="Arial" w:hAnsi="Arial"/>
          <w:sz w:val="14"/>
          <w:szCs w:val="14"/>
          <w:i w:val="1"/>
          <w:iCs w:val="1"/>
          <w:color w:val="auto"/>
        </w:rPr>
      </w:pPr>
      <w:r>
        <w:rPr>
          <w:rFonts w:ascii="Arial" w:cs="Arial" w:eastAsia="Arial" w:hAnsi="Arial"/>
          <w:sz w:val="14"/>
          <w:szCs w:val="14"/>
          <w:i w:val="1"/>
          <w:iCs w:val="1"/>
          <w:color w:val="auto"/>
        </w:rPr>
        <w:t>Subsequent to year end, on February 8, 2022, we entered into the Credit Agreement providing for the Credit Facilities, comprised of the Revolving Credit Facility in the amount of $2.5 billion and the Delayed Draw Term Loan in the amount of $1.0 billion, and concurrently terminated our Secured Revolving Credit Facility (including the first priority lien on substantially all of VICI PropCo’s and its existing and subsequently acquired wholly owned material domestic restricted subsidiaries’ material assets) and Existing Credit Agreement. The Credit Facilities include the option to increase the revolving loan commitments by up to $1.0 billion and increase the delayed draw term loan commitments or add one or more new tranches of term loans by up to $1.0 billion in the aggregate, in each case, to the extent that any one or more lenders (from the syndicate or otherwise) agree to provide such additional credit extensions.</w:t>
      </w:r>
    </w:p>
    <w:p>
      <w:pPr>
        <w:spacing w:after="0" w:line="1" w:lineRule="exact"/>
        <w:rPr>
          <w:rFonts w:ascii="Arial" w:cs="Arial" w:eastAsia="Arial" w:hAnsi="Arial"/>
          <w:sz w:val="14"/>
          <w:szCs w:val="14"/>
          <w:i w:val="1"/>
          <w:iCs w:val="1"/>
          <w:color w:val="auto"/>
        </w:rPr>
      </w:pPr>
    </w:p>
    <w:p>
      <w:pPr>
        <w:jc w:val="both"/>
        <w:ind w:left="340" w:hanging="332"/>
        <w:spacing w:after="0" w:line="246" w:lineRule="auto"/>
        <w:tabs>
          <w:tab w:leader="none" w:pos="332" w:val="left"/>
        </w:tabs>
        <w:numPr>
          <w:ilvl w:val="0"/>
          <w:numId w:val="56"/>
        </w:numPr>
        <w:rPr>
          <w:rFonts w:ascii="Arial" w:cs="Arial" w:eastAsia="Arial" w:hAnsi="Arial"/>
          <w:sz w:val="14"/>
          <w:szCs w:val="14"/>
          <w:i w:val="1"/>
          <w:iCs w:val="1"/>
          <w:color w:val="auto"/>
        </w:rPr>
      </w:pPr>
      <w:r>
        <w:rPr>
          <w:rFonts w:ascii="Arial" w:cs="Arial" w:eastAsia="Arial" w:hAnsi="Arial"/>
          <w:sz w:val="14"/>
          <w:szCs w:val="14"/>
          <w:i w:val="1"/>
          <w:iCs w:val="1"/>
          <w:color w:val="auto"/>
        </w:rPr>
        <w:t>Assumes the physical settlement of the 50,000,000 and 69,000,000 shares under the September 2021 Forward Sale Agreements and March 2021 Forward Sale Agreements, respectively, at the forward sale price of $27.84 and $26.53, respectively, calculated as of December 31, 2021. Subsequent to year end, on February 18, 2022, we physically settled the September 2021 Forward Sale Agreements and March 2021 Forward Sale Agreements for total net proceeds of $3,219.2 million based on the forward sale prices as of the date of settlement. The proceeds from the settlement were used to pay for a portion of the purchase price of the Venetian Acquisition.</w:t>
      </w:r>
    </w:p>
    <w:p>
      <w:pPr>
        <w:spacing w:after="0" w:line="14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believe that we have sufficient liquidity to meet our material cash requirements, including our contractual obligations and commitments as well as our additional funding requirements, primarily through currently available cash and cash equivalents, cash received under our Lease Agreements, existing borrowings from banks, including our Delayed Draw Term Loan and undrawn capacity under our Revolving Credit Facility, and proceeds from future issuances of debt and equity securities (including issuances under our ATM Agreement (as defined below)) for the next 12 months and in future periods.</w:t>
      </w:r>
    </w:p>
    <w:p>
      <w:pPr>
        <w:spacing w:after="0" w:line="103" w:lineRule="exact"/>
        <w:rPr>
          <w:sz w:val="20"/>
          <w:szCs w:val="20"/>
          <w:color w:val="auto"/>
        </w:rPr>
      </w:pPr>
    </w:p>
    <w:p>
      <w:pPr>
        <w:jc w:val="both"/>
        <w:spacing w:after="0" w:line="293" w:lineRule="auto"/>
        <w:rPr>
          <w:rFonts w:ascii="Arial" w:cs="Arial" w:eastAsia="Arial" w:hAnsi="Arial"/>
          <w:sz w:val="16"/>
          <w:szCs w:val="16"/>
          <w:color w:val="auto"/>
        </w:rPr>
      </w:pPr>
      <w:r>
        <w:rPr>
          <w:rFonts w:ascii="Arial" w:cs="Arial" w:eastAsia="Arial" w:hAnsi="Arial"/>
          <w:sz w:val="16"/>
          <w:szCs w:val="16"/>
          <w:color w:val="auto"/>
        </w:rPr>
        <w:t xml:space="preserve">All of the Lease Agreements call for an initial term of between fifteen and thirty years with additional tenant renewal options and are designed to provide us with a reliable and predictable long-term revenue stream. However, the COVID-19 pandemic has adversely impacted our tenants and their financial condition, and may continue to do so, due to the impact of operating restrictions and limitations imposed from time to time, as well as potential property reclosures. In the event our tenants are unable to make all of their contractual rent payments as provided by the Lease Agreements, we believe we have sufficient liquidity from the other sources discussed above to meet all of our contractual obligations for a significant period of time. Additionally, we do not have any debt maturities until 2025. For more information, refer to the risk factors in </w:t>
      </w:r>
      <w:hyperlink w:anchor="page25">
        <w:r>
          <w:rPr>
            <w:rFonts w:ascii="Arial" w:cs="Arial" w:eastAsia="Arial" w:hAnsi="Arial"/>
            <w:sz w:val="16"/>
            <w:szCs w:val="16"/>
            <w:u w:val="single" w:color="auto"/>
            <w:color w:val="0000FF"/>
          </w:rPr>
          <w:t>Part I. Item 1A. Risk Factors</w:t>
        </w:r>
      </w:hyperlink>
      <w:r>
        <w:rPr>
          <w:rFonts w:ascii="Arial" w:cs="Arial" w:eastAsia="Arial" w:hAnsi="Arial"/>
          <w:sz w:val="16"/>
          <w:szCs w:val="16"/>
          <w:color w:val="auto"/>
        </w:rPr>
        <w:t>.</w:t>
      </w:r>
    </w:p>
    <w:p>
      <w:pPr>
        <w:spacing w:after="0" w:line="11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cash flows from operations and our ability to access capital resources could be adversely affected due to uncertain economic factors and volatility in the financial and credit markets, including as a result of the COVID-19 pandemic. In particular, in connection with the COVID-19 pandemic and its impact on our tenants’ operations and financial performance, we can provide no assurances that our tenants will not default on their leases or fail to make full rental payments if their businesses become challenged due to, among other things, current or future adverse economic conditions. In addition, any such tenant default or failure to make full rental payments could impact our operating performance and result in us not satisfying the financial covenants applicable to our outstanding indebtedness, which could result in us not being able to incur additional debt, or result in a default. Further, current or future economic conditions could impact our tenants’ ability to meet capital improvement requirements or other obligations required in our Lease Agreements that could result in a decrease in the value of our properties.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raise funds through the issuance of debt and equity securities and access to other third-party sources of capital in the future will be dependent on, among other things, uncertainties related to COVID-19 and the impact of our response and our tenants’ responses to COVID-19, general economic conditions, general market conditions for REITs, market perceptions and the trading price of our stock. We will continue to analyze which sources of capital are most advantageous to us at any particular point in time, but the capital markets may not be consistently available on terms we deem attractive, or at all.</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 xml:space="preserve">Table </w:t>
        </w:r>
      </w:hyperlink>
      <w:r>
        <w:rPr>
          <w:rFonts w:ascii="Arial" w:cs="Arial" w:eastAsia="Arial" w:hAnsi="Arial"/>
          <w:sz w:val="18"/>
          <w:szCs w:val="18"/>
          <w:u w:val="single" w:color="auto"/>
          <w:color w:val="0000FF"/>
        </w:rPr>
        <w:t xml:space="preserve">of </w:t>
      </w:r>
      <w:hyperlink w:anchor="page1">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jc w:val="both"/>
        <w:spacing w:after="0" w:line="259" w:lineRule="auto"/>
        <w:rPr>
          <w:rFonts w:ascii="Arial" w:cs="Arial" w:eastAsia="Arial" w:hAnsi="Arial"/>
          <w:sz w:val="18"/>
          <w:szCs w:val="18"/>
          <w:color w:val="0000FF"/>
        </w:rPr>
      </w:pPr>
      <w:r>
        <w:rPr>
          <w:rFonts w:ascii="Arial" w:cs="Arial" w:eastAsia="Arial" w:hAnsi="Arial"/>
          <w:sz w:val="18"/>
          <w:szCs w:val="18"/>
          <w:color w:val="auto"/>
        </w:rPr>
        <w:t xml:space="preserve">Our short-term obligations consist primarily of regular interest payments on our debt obligations, dividends to our common stockholders, normal recurring operating expenses, recurring expenditures for corporate and administrative needs, certain lease and other contractual commitments related to our golf </w:t>
      </w:r>
      <w:hyperlink w:anchor="page130">
        <w:r>
          <w:rPr>
            <w:rFonts w:ascii="Arial" w:cs="Arial" w:eastAsia="Arial" w:hAnsi="Arial"/>
            <w:sz w:val="18"/>
            <w:szCs w:val="18"/>
            <w:color w:val="auto"/>
          </w:rPr>
          <w:t xml:space="preserve">operations and certain non-recurring expenditures. For more information on our material contractual commitments refer to </w:t>
        </w:r>
        <w:r>
          <w:rPr>
            <w:rFonts w:ascii="Arial" w:cs="Arial" w:eastAsia="Arial" w:hAnsi="Arial"/>
            <w:sz w:val="18"/>
            <w:szCs w:val="18"/>
            <w:u w:val="single" w:color="auto"/>
            <w:color w:val="0000FF"/>
          </w:rPr>
          <w:t>Note 10 - Commitments and</w:t>
        </w:r>
      </w:hyperlink>
      <w:r>
        <w:rPr>
          <w:rFonts w:ascii="Arial" w:cs="Arial" w:eastAsia="Arial" w:hAnsi="Arial"/>
          <w:sz w:val="18"/>
          <w:szCs w:val="18"/>
          <w:color w:val="auto"/>
        </w:rPr>
        <w:t xml:space="preserve"> </w:t>
      </w:r>
      <w:hyperlink w:anchor="page130">
        <w:r>
          <w:rPr>
            <w:rFonts w:ascii="Arial" w:cs="Arial" w:eastAsia="Arial" w:hAnsi="Arial"/>
            <w:sz w:val="18"/>
            <w:szCs w:val="18"/>
            <w:u w:val="single" w:color="auto"/>
            <w:color w:val="0000FF"/>
          </w:rPr>
          <w:t>Contingent Liabilities</w:t>
        </w:r>
        <w:r>
          <w:rPr>
            <w:rFonts w:ascii="Arial" w:cs="Arial" w:eastAsia="Arial" w:hAnsi="Arial"/>
            <w:sz w:val="18"/>
            <w:szCs w:val="18"/>
            <w:color w:val="000000"/>
          </w:rPr>
          <w:t>.</w:t>
        </w:r>
      </w:hyperlink>
    </w:p>
    <w:p>
      <w:pPr>
        <w:spacing w:after="0" w:line="133" w:lineRule="exact"/>
        <w:rPr>
          <w:sz w:val="20"/>
          <w:szCs w:val="20"/>
          <w:color w:val="auto"/>
        </w:rPr>
      </w:pPr>
    </w:p>
    <w:p>
      <w:pPr>
        <w:jc w:val="both"/>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Our long-term obligations consist primarily of principal payments on our outstanding debt obligations and future funding commitments under our lease and loan agreements. As of December 31, 2021, we have $4.8 billion of debt obligations outstanding, none of which are maturing in the next twelve months. For a summary of principal debt balances and their maturity dates and principal terms, refer to </w:t>
      </w:r>
      <w:hyperlink w:anchor="page122">
        <w:r>
          <w:rPr>
            <w:rFonts w:ascii="Arial" w:cs="Arial" w:eastAsia="Arial" w:hAnsi="Arial"/>
            <w:sz w:val="18"/>
            <w:szCs w:val="18"/>
            <w:u w:val="single" w:color="auto"/>
            <w:color w:val="0000FF"/>
          </w:rPr>
          <w:t>Note 7 - Debt</w:t>
        </w:r>
      </w:hyperlink>
      <w:r>
        <w:rPr>
          <w:rFonts w:ascii="Arial" w:cs="Arial" w:eastAsia="Arial" w:hAnsi="Arial"/>
          <w:sz w:val="18"/>
          <w:szCs w:val="18"/>
          <w:color w:val="auto"/>
        </w:rPr>
        <w:t xml:space="preserve">. For a summary of our future funding commitments under our loan portfolio refer to </w:t>
      </w:r>
      <w:hyperlink w:anchor="page111">
        <w:r>
          <w:rPr>
            <w:rFonts w:ascii="Arial" w:cs="Arial" w:eastAsia="Arial" w:hAnsi="Arial"/>
            <w:sz w:val="18"/>
            <w:szCs w:val="18"/>
            <w:u w:val="single" w:color="auto"/>
            <w:color w:val="0000FF"/>
          </w:rPr>
          <w:t>Note 4 - Real Estate Portfolio</w:t>
        </w:r>
      </w:hyperlink>
      <w:r>
        <w:rPr>
          <w:rFonts w:ascii="Arial" w:cs="Arial" w:eastAsia="Arial" w:hAnsi="Arial"/>
          <w:sz w:val="18"/>
          <w:szCs w:val="18"/>
          <w:color w:val="auto"/>
        </w:rPr>
        <w:t>.</w:t>
      </w:r>
    </w:p>
    <w:p>
      <w:pPr>
        <w:spacing w:after="0" w:line="133" w:lineRule="exact"/>
        <w:rPr>
          <w:sz w:val="20"/>
          <w:szCs w:val="20"/>
          <w:color w:val="auto"/>
        </w:rPr>
      </w:pPr>
    </w:p>
    <w:p>
      <w:pPr>
        <w:jc w:val="both"/>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As described in our leases, capital expenditures for properties under the Lease Agreements are the responsibility of the tenants. Minimum capital expenditure spending requirements of the tenants are described in </w:t>
      </w:r>
      <w:hyperlink w:anchor="page111">
        <w:r>
          <w:rPr>
            <w:rFonts w:ascii="Arial" w:cs="Arial" w:eastAsia="Arial" w:hAnsi="Arial"/>
            <w:sz w:val="18"/>
            <w:szCs w:val="18"/>
            <w:u w:val="single" w:color="auto"/>
            <w:color w:val="0000FF"/>
          </w:rPr>
          <w:t>Note 4 - Real Estate Portfolio</w:t>
        </w:r>
      </w:hyperlink>
      <w:r>
        <w:rPr>
          <w:rFonts w:ascii="Arial" w:cs="Arial" w:eastAsia="Arial" w:hAnsi="Arial"/>
          <w:sz w:val="18"/>
          <w:szCs w:val="18"/>
          <w:color w:val="auto"/>
        </w:rPr>
        <w:t>.</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Information concerning our material contractual obligations and commitments to make future payments under contracts such as our indebtedness and future minimum lease commitments under operating leases is included in the following table as of December 31, 2021. Amounts in this table omit, among other things, non-contractual commitments and items such as dividends and recurring or non-recurring operating expenses and other expenditures, including acquisitions and other investments: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5"/>
          </w:tcPr>
          <w:p>
            <w:pPr>
              <w:ind w:left="160"/>
              <w:spacing w:after="0"/>
              <w:rPr>
                <w:sz w:val="20"/>
                <w:szCs w:val="20"/>
                <w:color w:val="auto"/>
              </w:rPr>
            </w:pPr>
            <w:r>
              <w:rPr>
                <w:rFonts w:ascii="Arial" w:cs="Arial" w:eastAsia="Arial" w:hAnsi="Arial"/>
                <w:sz w:val="16"/>
                <w:szCs w:val="16"/>
                <w:b w:val="1"/>
                <w:bCs w:val="1"/>
                <w:color w:val="auto"/>
              </w:rPr>
              <w:t>Payments Due By Period</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2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280" w:type="dxa"/>
            <w:vAlign w:val="bottom"/>
          </w:tcPr>
          <w:p>
            <w:pPr>
              <w:spacing w:after="0"/>
              <w:rPr>
                <w:sz w:val="13"/>
                <w:szCs w:val="13"/>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Total</w:t>
            </w:r>
          </w:p>
        </w:tc>
        <w:tc>
          <w:tcPr>
            <w:tcW w:w="280" w:type="dxa"/>
            <w:vAlign w:val="bottom"/>
          </w:tcPr>
          <w:p>
            <w:pPr>
              <w:spacing w:after="0"/>
              <w:rPr>
                <w:sz w:val="13"/>
                <w:szCs w:val="13"/>
                <w:color w:val="auto"/>
              </w:rPr>
            </w:pPr>
          </w:p>
        </w:tc>
        <w:tc>
          <w:tcPr>
            <w:tcW w:w="960" w:type="dxa"/>
            <w:vAlign w:val="bottom"/>
            <w:vMerge w:val="restart"/>
          </w:tcPr>
          <w:p>
            <w:pPr>
              <w:jc w:val="right"/>
              <w:ind w:right="371"/>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ind w:right="371"/>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ind w:right="371"/>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ind w:right="371"/>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231"/>
              <w:spacing w:after="0" w:line="158" w:lineRule="exact"/>
              <w:rPr>
                <w:sz w:val="20"/>
                <w:szCs w:val="20"/>
                <w:color w:val="auto"/>
              </w:rPr>
            </w:pPr>
            <w:r>
              <w:rPr>
                <w:rFonts w:ascii="Arial" w:cs="Arial" w:eastAsia="Arial" w:hAnsi="Arial"/>
                <w:sz w:val="16"/>
                <w:szCs w:val="16"/>
                <w:b w:val="1"/>
                <w:bCs w:val="1"/>
                <w:color w:val="auto"/>
              </w:rPr>
              <w:t>2026 and</w:t>
            </w:r>
          </w:p>
        </w:tc>
        <w:tc>
          <w:tcPr>
            <w:tcW w:w="0" w:type="dxa"/>
            <w:vAlign w:val="bottom"/>
          </w:tcPr>
          <w:p>
            <w:pPr>
              <w:spacing w:after="0"/>
              <w:rPr>
                <w:sz w:val="1"/>
                <w:szCs w:val="1"/>
                <w:color w:val="auto"/>
              </w:rPr>
            </w:pPr>
          </w:p>
        </w:tc>
      </w:tr>
      <w:tr>
        <w:trPr>
          <w:trHeight w:val="213"/>
        </w:trPr>
        <w:tc>
          <w:tcPr>
            <w:tcW w:w="32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71"/>
              <w:spacing w:after="0"/>
              <w:rPr>
                <w:sz w:val="20"/>
                <w:szCs w:val="20"/>
                <w:color w:val="auto"/>
              </w:rPr>
            </w:pPr>
            <w:r>
              <w:rPr>
                <w:rFonts w:ascii="Arial" w:cs="Arial" w:eastAsia="Arial" w:hAnsi="Arial"/>
                <w:sz w:val="16"/>
                <w:szCs w:val="16"/>
                <w:b w:val="1"/>
                <w:bCs w:val="1"/>
                <w:color w:val="auto"/>
              </w:rPr>
              <w:t>Thereafter</w:t>
            </w:r>
          </w:p>
        </w:tc>
        <w:tc>
          <w:tcPr>
            <w:tcW w:w="0" w:type="dxa"/>
            <w:vAlign w:val="bottom"/>
          </w:tcPr>
          <w:p>
            <w:pPr>
              <w:spacing w:after="0"/>
              <w:rPr>
                <w:sz w:val="1"/>
                <w:szCs w:val="1"/>
                <w:color w:val="auto"/>
              </w:rPr>
            </w:pPr>
          </w:p>
        </w:tc>
      </w:tr>
      <w:tr>
        <w:trPr>
          <w:trHeight w:val="212"/>
        </w:trPr>
        <w:tc>
          <w:tcPr>
            <w:tcW w:w="3240" w:type="dxa"/>
            <w:vAlign w:val="bottom"/>
            <w:tcBorders>
              <w:top w:val="single" w:sz="8" w:color="CCEEFF"/>
            </w:tcBorders>
            <w:shd w:val="clear" w:color="auto" w:fill="CCEEFF"/>
          </w:tcPr>
          <w:p>
            <w:pPr>
              <w:ind w:left="20"/>
              <w:spacing w:after="0" w:line="212" w:lineRule="exact"/>
              <w:rPr>
                <w:sz w:val="20"/>
                <w:szCs w:val="20"/>
                <w:color w:val="auto"/>
              </w:rPr>
            </w:pPr>
            <w:r>
              <w:rPr>
                <w:rFonts w:ascii="Arial" w:cs="Arial" w:eastAsia="Arial" w:hAnsi="Arial"/>
                <w:sz w:val="18"/>
                <w:szCs w:val="18"/>
                <w:color w:val="auto"/>
              </w:rPr>
              <w:t>Long-term debt, principal</w:t>
            </w:r>
            <w:r>
              <w:rPr>
                <w:rFonts w:ascii="Arial" w:cs="Arial" w:eastAsia="Arial" w:hAnsi="Arial"/>
                <w:sz w:val="23"/>
                <w:szCs w:val="23"/>
                <w:color w:val="auto"/>
                <w:vertAlign w:val="superscript"/>
              </w:rPr>
              <w:t>(1)</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100"/>
              <w:spacing w:after="0" w:line="230" w:lineRule="exact"/>
              <w:rPr>
                <w:sz w:val="20"/>
                <w:szCs w:val="20"/>
                <w:color w:val="auto"/>
              </w:rPr>
            </w:pPr>
            <w:r>
              <w:rPr>
                <w:rFonts w:ascii="Arial" w:cs="Arial" w:eastAsia="Arial" w:hAnsi="Arial"/>
                <w:sz w:val="18"/>
                <w:szCs w:val="18"/>
                <w:color w:val="auto"/>
              </w:rPr>
              <w:t xml:space="preserve">2025 Notes </w:t>
            </w:r>
            <w:r>
              <w:rPr>
                <w:rFonts w:ascii="Arial" w:cs="Arial" w:eastAsia="Arial" w:hAnsi="Arial"/>
                <w:sz w:val="23"/>
                <w:szCs w:val="23"/>
                <w:color w:val="auto"/>
                <w:vertAlign w:val="superscript"/>
              </w:rPr>
              <w:t>(2)</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00"/>
              <w:spacing w:after="0" w:line="230" w:lineRule="exact"/>
              <w:rPr>
                <w:sz w:val="20"/>
                <w:szCs w:val="20"/>
                <w:color w:val="auto"/>
              </w:rPr>
            </w:pPr>
            <w:r>
              <w:rPr>
                <w:rFonts w:ascii="Arial" w:cs="Arial" w:eastAsia="Arial" w:hAnsi="Arial"/>
                <w:sz w:val="18"/>
                <w:szCs w:val="18"/>
                <w:color w:val="auto"/>
              </w:rPr>
              <w:t xml:space="preserve">2026 Notes </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0" w:type="dxa"/>
            <w:vAlign w:val="bottom"/>
          </w:tcPr>
          <w:p>
            <w:pPr>
              <w:spacing w:after="0"/>
              <w:rPr>
                <w:sz w:val="1"/>
                <w:szCs w:val="1"/>
                <w:color w:val="auto"/>
              </w:rPr>
            </w:pPr>
          </w:p>
        </w:tc>
      </w:tr>
      <w:tr>
        <w:trPr>
          <w:trHeight w:val="230"/>
        </w:trPr>
        <w:tc>
          <w:tcPr>
            <w:tcW w:w="3240" w:type="dxa"/>
            <w:vAlign w:val="bottom"/>
          </w:tcPr>
          <w:p>
            <w:pPr>
              <w:ind w:left="100"/>
              <w:spacing w:after="0" w:line="230" w:lineRule="exact"/>
              <w:rPr>
                <w:sz w:val="20"/>
                <w:szCs w:val="20"/>
                <w:color w:val="auto"/>
              </w:rPr>
            </w:pPr>
            <w:r>
              <w:rPr>
                <w:rFonts w:ascii="Arial" w:cs="Arial" w:eastAsia="Arial" w:hAnsi="Arial"/>
                <w:sz w:val="18"/>
                <w:szCs w:val="18"/>
                <w:color w:val="auto"/>
              </w:rPr>
              <w:t xml:space="preserve">2027 Notes </w:t>
            </w:r>
            <w:r>
              <w:rPr>
                <w:rFonts w:ascii="Arial" w:cs="Arial" w:eastAsia="Arial" w:hAnsi="Arial"/>
                <w:sz w:val="23"/>
                <w:szCs w:val="23"/>
                <w:color w:val="auto"/>
                <w:vertAlign w:val="superscript"/>
              </w:rPr>
              <w:t>(2)</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100"/>
              <w:spacing w:after="0" w:line="230" w:lineRule="exact"/>
              <w:rPr>
                <w:sz w:val="20"/>
                <w:szCs w:val="20"/>
                <w:color w:val="auto"/>
              </w:rPr>
            </w:pPr>
            <w:r>
              <w:rPr>
                <w:rFonts w:ascii="Arial" w:cs="Arial" w:eastAsia="Arial" w:hAnsi="Arial"/>
                <w:sz w:val="18"/>
                <w:szCs w:val="18"/>
                <w:color w:val="auto"/>
              </w:rPr>
              <w:t xml:space="preserve">2029 Notes </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30"/>
        </w:trPr>
        <w:tc>
          <w:tcPr>
            <w:tcW w:w="3240" w:type="dxa"/>
            <w:vAlign w:val="bottom"/>
          </w:tcPr>
          <w:p>
            <w:pPr>
              <w:ind w:left="100"/>
              <w:spacing w:after="0" w:line="230" w:lineRule="exact"/>
              <w:rPr>
                <w:sz w:val="20"/>
                <w:szCs w:val="20"/>
                <w:color w:val="auto"/>
              </w:rPr>
            </w:pPr>
            <w:r>
              <w:rPr>
                <w:rFonts w:ascii="Arial" w:cs="Arial" w:eastAsia="Arial" w:hAnsi="Arial"/>
                <w:sz w:val="18"/>
                <w:szCs w:val="18"/>
                <w:color w:val="auto"/>
              </w:rPr>
              <w:t xml:space="preserve">2030 Notes </w:t>
            </w:r>
            <w:r>
              <w:rPr>
                <w:rFonts w:ascii="Arial" w:cs="Arial" w:eastAsia="Arial" w:hAnsi="Arial"/>
                <w:sz w:val="23"/>
                <w:szCs w:val="23"/>
                <w:color w:val="auto"/>
                <w:vertAlign w:val="superscript"/>
              </w:rPr>
              <w:t>(2)</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00"/>
              <w:spacing w:after="0" w:line="230" w:lineRule="exact"/>
              <w:rPr>
                <w:sz w:val="20"/>
                <w:szCs w:val="20"/>
                <w:color w:val="auto"/>
              </w:rPr>
            </w:pPr>
            <w:r>
              <w:rPr>
                <w:rFonts w:ascii="Arial" w:cs="Arial" w:eastAsia="Arial" w:hAnsi="Arial"/>
                <w:sz w:val="18"/>
                <w:szCs w:val="18"/>
                <w:color w:val="auto"/>
              </w:rPr>
              <w:t>Secured Revolving Credit Facility</w:t>
            </w:r>
            <w:r>
              <w:rPr>
                <w:rFonts w:ascii="Arial" w:cs="Arial" w:eastAsia="Arial" w:hAnsi="Arial"/>
                <w:sz w:val="23"/>
                <w:szCs w:val="23"/>
                <w:color w:val="auto"/>
                <w:vertAlign w:val="superscript"/>
              </w:rPr>
              <w:t>(3)</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Scheduled interest payments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1,262,469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198,802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198,802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196,427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181,875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486,563</w:t>
            </w:r>
          </w:p>
        </w:tc>
        <w:tc>
          <w:tcPr>
            <w:tcW w:w="0" w:type="dxa"/>
            <w:vAlign w:val="bottom"/>
          </w:tcPr>
          <w:p>
            <w:pPr>
              <w:spacing w:after="0"/>
              <w:rPr>
                <w:sz w:val="1"/>
                <w:szCs w:val="1"/>
                <w:color w:val="auto"/>
              </w:rPr>
            </w:pPr>
          </w:p>
        </w:tc>
      </w:tr>
      <w:tr>
        <w:trPr>
          <w:trHeight w:val="22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 contractual obligations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6,012,469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198,802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198,802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196,427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931,875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4,486,563</w:t>
            </w:r>
          </w:p>
        </w:tc>
        <w:tc>
          <w:tcPr>
            <w:tcW w:w="0" w:type="dxa"/>
            <w:vAlign w:val="bottom"/>
          </w:tcPr>
          <w:p>
            <w:pPr>
              <w:spacing w:after="0"/>
              <w:rPr>
                <w:sz w:val="1"/>
                <w:szCs w:val="1"/>
                <w:color w:val="auto"/>
              </w:rPr>
            </w:pPr>
          </w:p>
        </w:tc>
      </w:tr>
      <w:tr>
        <w:trPr>
          <w:trHeight w:val="250"/>
        </w:trPr>
        <w:tc>
          <w:tcPr>
            <w:tcW w:w="3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Leases and contracts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240" w:type="dxa"/>
            <w:vAlign w:val="bottom"/>
          </w:tcPr>
          <w:p>
            <w:pPr>
              <w:ind w:left="100"/>
              <w:spacing w:after="0" w:line="176" w:lineRule="exact"/>
              <w:rPr>
                <w:sz w:val="20"/>
                <w:szCs w:val="20"/>
                <w:color w:val="auto"/>
              </w:rPr>
            </w:pPr>
            <w:r>
              <w:rPr>
                <w:rFonts w:ascii="Arial" w:cs="Arial" w:eastAsia="Arial" w:hAnsi="Arial"/>
                <w:sz w:val="18"/>
                <w:szCs w:val="18"/>
                <w:color w:val="auto"/>
              </w:rPr>
              <w:t>Future funding commitments – loan</w:t>
            </w: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60,886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45,886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30"/>
        </w:trPr>
        <w:tc>
          <w:tcPr>
            <w:tcW w:w="3240" w:type="dxa"/>
            <w:vAlign w:val="bottom"/>
          </w:tcPr>
          <w:p>
            <w:pPr>
              <w:ind w:left="100"/>
              <w:spacing w:after="0" w:line="230" w:lineRule="exact"/>
              <w:rPr>
                <w:sz w:val="20"/>
                <w:szCs w:val="20"/>
                <w:color w:val="auto"/>
              </w:rPr>
            </w:pPr>
            <w:r>
              <w:rPr>
                <w:rFonts w:ascii="Arial" w:cs="Arial" w:eastAsia="Arial" w:hAnsi="Arial"/>
                <w:sz w:val="18"/>
                <w:szCs w:val="18"/>
                <w:color w:val="auto"/>
              </w:rPr>
              <w:t>investments and lease agreements</w:t>
            </w:r>
            <w:r>
              <w:rPr>
                <w:rFonts w:ascii="Arial" w:cs="Arial" w:eastAsia="Arial" w:hAnsi="Arial"/>
                <w:sz w:val="23"/>
                <w:szCs w:val="23"/>
                <w:color w:val="auto"/>
                <w:vertAlign w:val="superscript"/>
              </w:rPr>
              <w:t>(4)</w:t>
            </w:r>
          </w:p>
        </w:tc>
        <w:tc>
          <w:tcPr>
            <w:tcW w:w="2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24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5"/>
              </w:rPr>
              <w:t>Operating lease for Cascata Golf Course</w:t>
            </w: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18,816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14,896</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Land</w:t>
            </w:r>
          </w:p>
        </w:tc>
        <w:tc>
          <w:tcPr>
            <w:tcW w:w="28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240" w:type="dxa"/>
            <w:vAlign w:val="bottom"/>
          </w:tcPr>
          <w:p>
            <w:pPr>
              <w:ind w:left="100"/>
              <w:spacing w:after="0" w:line="176" w:lineRule="exact"/>
              <w:rPr>
                <w:sz w:val="20"/>
                <w:szCs w:val="20"/>
                <w:color w:val="auto"/>
              </w:rPr>
            </w:pPr>
            <w:r>
              <w:rPr>
                <w:rFonts w:ascii="Arial" w:cs="Arial" w:eastAsia="Arial" w:hAnsi="Arial"/>
                <w:sz w:val="18"/>
                <w:szCs w:val="18"/>
                <w:color w:val="auto"/>
                <w:w w:val="96"/>
              </w:rPr>
              <w:t>Golf maintenance contract for Rio Secco</w:t>
            </w: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6,906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3,453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3,453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40" w:type="dxa"/>
            <w:vAlign w:val="bottom"/>
          </w:tcPr>
          <w:p>
            <w:pPr>
              <w:ind w:left="100"/>
              <w:spacing w:after="0"/>
              <w:rPr>
                <w:sz w:val="20"/>
                <w:szCs w:val="20"/>
                <w:color w:val="auto"/>
              </w:rPr>
            </w:pPr>
            <w:r>
              <w:rPr>
                <w:rFonts w:ascii="Arial" w:cs="Arial" w:eastAsia="Arial" w:hAnsi="Arial"/>
                <w:sz w:val="18"/>
                <w:szCs w:val="18"/>
                <w:color w:val="auto"/>
              </w:rPr>
              <w:t>and Cascata Golf Course</w:t>
            </w:r>
          </w:p>
        </w:tc>
        <w:tc>
          <w:tcPr>
            <w:tcW w:w="2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Office leases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4,180</w:t>
            </w:r>
          </w:p>
        </w:tc>
        <w:tc>
          <w:tcPr>
            <w:tcW w:w="0" w:type="dxa"/>
            <w:vAlign w:val="bottom"/>
          </w:tcPr>
          <w:p>
            <w:pPr>
              <w:spacing w:after="0"/>
              <w:rPr>
                <w:sz w:val="1"/>
                <w:szCs w:val="1"/>
                <w:color w:val="auto"/>
              </w:rPr>
            </w:pPr>
          </w:p>
        </w:tc>
      </w:tr>
      <w:tr>
        <w:trPr>
          <w:trHeight w:val="223"/>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leases and contract obligations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94,334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34,076</w:t>
            </w:r>
          </w:p>
        </w:tc>
        <w:tc>
          <w:tcPr>
            <w:tcW w:w="0" w:type="dxa"/>
            <w:vAlign w:val="bottom"/>
          </w:tcPr>
          <w:p>
            <w:pPr>
              <w:spacing w:after="0"/>
              <w:rPr>
                <w:sz w:val="1"/>
                <w:szCs w:val="1"/>
                <w:color w:val="auto"/>
              </w:rPr>
            </w:pPr>
          </w:p>
        </w:tc>
      </w:tr>
      <w:tr>
        <w:trPr>
          <w:trHeight w:val="250"/>
        </w:trPr>
        <w:tc>
          <w:tcPr>
            <w:tcW w:w="324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40" w:type="dxa"/>
            <w:vAlign w:val="bottom"/>
          </w:tcPr>
          <w:p>
            <w:pPr>
              <w:ind w:left="20"/>
              <w:spacing w:after="0"/>
              <w:rPr>
                <w:sz w:val="20"/>
                <w:szCs w:val="20"/>
                <w:color w:val="auto"/>
              </w:rPr>
            </w:pPr>
            <w:r>
              <w:rPr>
                <w:rFonts w:ascii="Arial" w:cs="Arial" w:eastAsia="Arial" w:hAnsi="Arial"/>
                <w:sz w:val="18"/>
                <w:szCs w:val="18"/>
                <w:color w:val="auto"/>
              </w:rPr>
              <w:t>Total contractual commitments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6,106,803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250,026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204,082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198,274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933,783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4,520,639</w:t>
            </w:r>
          </w:p>
        </w:tc>
        <w:tc>
          <w:tcPr>
            <w:tcW w:w="0" w:type="dxa"/>
            <w:vAlign w:val="bottom"/>
          </w:tcPr>
          <w:p>
            <w:pPr>
              <w:spacing w:after="0"/>
              <w:rPr>
                <w:sz w:val="1"/>
                <w:szCs w:val="1"/>
                <w:color w:val="auto"/>
              </w:rPr>
            </w:pPr>
          </w:p>
        </w:tc>
      </w:tr>
      <w:tr>
        <w:trPr>
          <w:trHeight w:val="21"/>
        </w:trPr>
        <w:tc>
          <w:tcPr>
            <w:tcW w:w="3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1) Does not include long-term debt expected to be incurred to fund the consummation of the MGP Transactions.</w:t>
      </w:r>
    </w:p>
    <w:p>
      <w:pPr>
        <w:spacing w:after="0" w:line="1" w:lineRule="exact"/>
        <w:rPr>
          <w:sz w:val="20"/>
          <w:szCs w:val="20"/>
          <w:color w:val="auto"/>
        </w:rPr>
      </w:pPr>
    </w:p>
    <w:p>
      <w:pPr>
        <w:jc w:val="both"/>
        <w:ind w:right="20"/>
        <w:spacing w:after="0" w:line="241" w:lineRule="auto"/>
        <w:rPr>
          <w:sz w:val="20"/>
          <w:szCs w:val="20"/>
          <w:color w:val="auto"/>
        </w:rPr>
      </w:pPr>
      <w:r>
        <w:rPr>
          <w:rFonts w:ascii="Arial" w:cs="Arial" w:eastAsia="Arial" w:hAnsi="Arial"/>
          <w:sz w:val="14"/>
          <w:szCs w:val="14"/>
          <w:color w:val="auto"/>
        </w:rPr>
        <w:t>(2</w:t>
      </w:r>
      <w:r>
        <w:rPr>
          <w:rFonts w:ascii="Arial" w:cs="Arial" w:eastAsia="Arial" w:hAnsi="Arial"/>
          <w:sz w:val="14"/>
          <w:szCs w:val="14"/>
          <w:i w:val="1"/>
          <w:iCs w:val="1"/>
          <w:color w:val="auto"/>
        </w:rPr>
        <w:t>) The 2025 Notes, 2026 Notes, 2027 Notes, 2029 Notes and 2030 Notes will mature on February 15, 2025, December 1, 2026, February 15, 2027, December 1, 2029 and August 15, 2030,</w:t>
      </w:r>
      <w:r>
        <w:rPr>
          <w:rFonts w:ascii="Arial" w:cs="Arial" w:eastAsia="Arial" w:hAnsi="Arial"/>
          <w:sz w:val="14"/>
          <w:szCs w:val="14"/>
          <w:color w:val="auto"/>
        </w:rPr>
        <w:t xml:space="preserve"> </w:t>
      </w:r>
      <w:r>
        <w:rPr>
          <w:rFonts w:ascii="Arial" w:cs="Arial" w:eastAsia="Arial" w:hAnsi="Arial"/>
          <w:sz w:val="14"/>
          <w:szCs w:val="14"/>
          <w:i w:val="1"/>
          <w:iCs w:val="1"/>
          <w:color w:val="auto"/>
        </w:rPr>
        <w:t>respectively.</w:t>
      </w:r>
    </w:p>
    <w:p>
      <w:pPr>
        <w:spacing w:after="0" w:line="1" w:lineRule="exact"/>
        <w:rPr>
          <w:sz w:val="20"/>
          <w:szCs w:val="20"/>
          <w:color w:val="auto"/>
        </w:rPr>
      </w:pPr>
    </w:p>
    <w:p>
      <w:pPr>
        <w:ind w:firstLine="8"/>
        <w:spacing w:after="0" w:line="255" w:lineRule="auto"/>
        <w:tabs>
          <w:tab w:leader="none" w:pos="205" w:val="left"/>
        </w:tabs>
        <w:numPr>
          <w:ilvl w:val="0"/>
          <w:numId w:val="57"/>
        </w:numPr>
        <w:rPr>
          <w:rFonts w:ascii="Arial" w:cs="Arial" w:eastAsia="Arial" w:hAnsi="Arial"/>
          <w:sz w:val="14"/>
          <w:szCs w:val="14"/>
          <w:i w:val="1"/>
          <w:iCs w:val="1"/>
          <w:color w:val="auto"/>
        </w:rPr>
      </w:pPr>
      <w:r>
        <w:rPr>
          <w:rFonts w:ascii="Arial" w:cs="Arial" w:eastAsia="Arial" w:hAnsi="Arial"/>
          <w:sz w:val="14"/>
          <w:szCs w:val="14"/>
          <w:i w:val="1"/>
          <w:iCs w:val="1"/>
          <w:color w:val="auto"/>
        </w:rPr>
        <w:t>Subsequent to year end, on February 8, 2022, we entered into the Credit Agreement providing for the Credit Facilities, comprised of the Revolving Credit Facility in the amount of $2.5 billion and the Delayed Draw Term Loan in the amount of $1.0 billion, and concurrently terminated our Secured Revolving</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 xml:space="preserve">Table </w:t>
        </w:r>
      </w:hyperlink>
      <w:r>
        <w:rPr>
          <w:rFonts w:ascii="Arial" w:cs="Arial" w:eastAsia="Arial" w:hAnsi="Arial"/>
          <w:sz w:val="18"/>
          <w:szCs w:val="18"/>
          <w:u w:val="single" w:color="auto"/>
          <w:color w:val="0000FF"/>
        </w:rPr>
        <w:t xml:space="preserve">of </w:t>
      </w:r>
      <w:hyperlink w:anchor="page1">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399" w:lineRule="exact"/>
        <w:rPr>
          <w:sz w:val="20"/>
          <w:szCs w:val="20"/>
          <w:color w:val="auto"/>
        </w:rPr>
      </w:pPr>
    </w:p>
    <w:p>
      <w:pPr>
        <w:spacing w:after="0" w:line="250" w:lineRule="auto"/>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Credit Facility (including the first priority lien on substantially all of VICI PropCo’s and its existing and subsequently acquired wholly owned material domestic restricted subsidiaries’ material assets) and Existing Credit Agreement. Refer to </w:t>
      </w:r>
      <w:hyperlink w:anchor="page122">
        <w:r>
          <w:rPr>
            <w:rFonts w:ascii="Arial" w:cs="Arial" w:eastAsia="Arial" w:hAnsi="Arial"/>
            <w:sz w:val="14"/>
            <w:szCs w:val="14"/>
            <w:i w:val="1"/>
            <w:iCs w:val="1"/>
            <w:u w:val="single" w:color="auto"/>
            <w:color w:val="0000FF"/>
          </w:rPr>
          <w:t>Note 7 - Debt</w:t>
        </w:r>
        <w:r>
          <w:rPr>
            <w:rFonts w:ascii="Arial" w:cs="Arial" w:eastAsia="Arial" w:hAnsi="Arial"/>
            <w:sz w:val="14"/>
            <w:szCs w:val="14"/>
            <w:i w:val="1"/>
            <w:iCs w:val="1"/>
            <w:u w:val="single" w:color="auto"/>
            <w:color w:val="auto"/>
          </w:rPr>
          <w:t xml:space="preserve"> </w:t>
        </w:r>
      </w:hyperlink>
      <w:r>
        <w:rPr>
          <w:rFonts w:ascii="Arial" w:cs="Arial" w:eastAsia="Arial" w:hAnsi="Arial"/>
          <w:sz w:val="14"/>
          <w:szCs w:val="14"/>
          <w:i w:val="1"/>
          <w:iCs w:val="1"/>
          <w:color w:val="auto"/>
        </w:rPr>
        <w:t>for further information regarding the Credit Agreement.</w:t>
      </w:r>
    </w:p>
    <w:p>
      <w:pPr>
        <w:spacing w:after="0" w:line="1" w:lineRule="exact"/>
        <w:rPr>
          <w:sz w:val="20"/>
          <w:szCs w:val="20"/>
          <w:color w:val="auto"/>
        </w:rPr>
      </w:pPr>
    </w:p>
    <w:p>
      <w:pPr>
        <w:ind w:firstLine="8"/>
        <w:spacing w:after="0" w:line="255" w:lineRule="auto"/>
        <w:tabs>
          <w:tab w:leader="none" w:pos="212" w:val="left"/>
        </w:tabs>
        <w:numPr>
          <w:ilvl w:val="0"/>
          <w:numId w:val="58"/>
        </w:numPr>
        <w:rPr>
          <w:rFonts w:ascii="Arial" w:cs="Arial" w:eastAsia="Arial" w:hAnsi="Arial"/>
          <w:sz w:val="14"/>
          <w:szCs w:val="14"/>
          <w:i w:val="1"/>
          <w:iCs w:val="1"/>
          <w:color w:val="auto"/>
        </w:rPr>
      </w:pPr>
      <w:r>
        <w:rPr>
          <w:rFonts w:ascii="Arial" w:cs="Arial" w:eastAsia="Arial" w:hAnsi="Arial"/>
          <w:sz w:val="14"/>
          <w:szCs w:val="14"/>
          <w:i w:val="1"/>
          <w:iCs w:val="1"/>
          <w:color w:val="auto"/>
        </w:rPr>
        <w:t>The allocation of our future funding commitments is based on the construction draw schedule, commitment funding date or expiration date, as applicable, although we may be obligated to fund these commitments earlier than such date.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Funding Requirements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to the contractual obligations and commitments set forth in the table above, we have and may enter into additional agreements that commit us to potentially acquire properties in the future, fund future property improvements or otherwise provide capital to our tenants, borrowers and other counterparties, including through our put-call agreements and Partner Property Growth Fund. We are also committed to funding the pending MGP Transactions, which are expected to close in the first half of 2022. We expect to fund the MGP Transactions with a mix of cash on hand and debt (through up to an additional $4.4 billion of long-term debt financing and/or under the MGP Transactions Bridge Facility, as the case may be). In particular, we currently intend to issue additional senior unsecured notes to fund a portion of the cash consideration for the entire cash portion of the MGP Transactions, but, absent such a long-term debt financing, we may draw on the MGP Transactions Bridge Facility in connection with the closing of the MGP Transactions to fund a portion of the consideration and then, in the future, would expect to incur long-term debt financing to refinance such amounts borrowed under the MGP Transactions Bridge Facility, as applicable, subject to market and other conditions. We anticipate funding future transactions with a mix of debt, equity and available cash.</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 Analysis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cash flows for the years ended December 31, 2021 and 2020: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6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00" w:type="dxa"/>
            <w:vAlign w:val="bottom"/>
          </w:tcPr>
          <w:p>
            <w:pPr>
              <w:spacing w:after="0"/>
              <w:rPr>
                <w:sz w:val="16"/>
                <w:szCs w:val="16"/>
                <w:color w:val="auto"/>
              </w:rPr>
            </w:pPr>
          </w:p>
        </w:tc>
        <w:tc>
          <w:tcPr>
            <w:tcW w:w="1360" w:type="dxa"/>
            <w:vAlign w:val="bottom"/>
          </w:tcPr>
          <w:p>
            <w:pPr>
              <w:jc w:val="right"/>
              <w:ind w:right="63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ind w:right="63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tcPr>
          <w:p>
            <w:pPr>
              <w:jc w:val="right"/>
              <w:ind w:right="372"/>
              <w:spacing w:after="0"/>
              <w:rPr>
                <w:sz w:val="20"/>
                <w:szCs w:val="20"/>
                <w:color w:val="auto"/>
              </w:rPr>
            </w:pPr>
            <w:r>
              <w:rPr>
                <w:rFonts w:ascii="Arial" w:cs="Arial" w:eastAsia="Arial" w:hAnsi="Arial"/>
                <w:sz w:val="16"/>
                <w:szCs w:val="16"/>
                <w:b w:val="1"/>
                <w:bCs w:val="1"/>
                <w:color w:val="auto"/>
              </w:rPr>
              <w:t>Variance ($)</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cash equivalents and restricted cash</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680" w:type="dxa"/>
            <w:vAlign w:val="bottom"/>
            <w:gridSpan w:val="2"/>
          </w:tcPr>
          <w:p>
            <w:pPr>
              <w:ind w:left="580"/>
              <w:spacing w:after="0"/>
              <w:rPr>
                <w:sz w:val="20"/>
                <w:szCs w:val="20"/>
                <w:color w:val="auto"/>
              </w:rPr>
            </w:pPr>
            <w:r>
              <w:rPr>
                <w:rFonts w:ascii="Arial" w:cs="Arial" w:eastAsia="Arial" w:hAnsi="Arial"/>
                <w:sz w:val="18"/>
                <w:szCs w:val="18"/>
                <w:color w:val="auto"/>
              </w:rPr>
              <w:t>Provided by operating activities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896,350</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883,640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12,710</w:t>
            </w:r>
          </w:p>
        </w:tc>
      </w:tr>
      <w:tr>
        <w:trPr>
          <w:trHeight w:val="229"/>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Provided by (used in) investing activities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41,449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(4,548,759)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4,590,208</w:t>
            </w:r>
          </w:p>
        </w:tc>
      </w:tr>
      <w:tr>
        <w:trPr>
          <w:trHeight w:val="230"/>
        </w:trPr>
        <w:tc>
          <w:tcPr>
            <w:tcW w:w="20" w:type="dxa"/>
            <w:vAlign w:val="bottom"/>
            <w:tcBorders>
              <w:bottom w:val="single" w:sz="8" w:color="CCEEFF"/>
            </w:tcBorders>
          </w:tcPr>
          <w:p>
            <w:pPr>
              <w:spacing w:after="0"/>
              <w:rPr>
                <w:sz w:val="19"/>
                <w:szCs w:val="19"/>
                <w:color w:val="auto"/>
              </w:rPr>
            </w:pPr>
          </w:p>
        </w:tc>
        <w:tc>
          <w:tcPr>
            <w:tcW w:w="5680" w:type="dxa"/>
            <w:vAlign w:val="bottom"/>
            <w:tcBorders>
              <w:bottom w:val="single" w:sz="8" w:color="CCEEFF"/>
            </w:tcBorders>
            <w:gridSpan w:val="2"/>
          </w:tcPr>
          <w:p>
            <w:pPr>
              <w:ind w:left="580"/>
              <w:spacing w:after="0"/>
              <w:rPr>
                <w:sz w:val="20"/>
                <w:szCs w:val="20"/>
                <w:color w:val="auto"/>
              </w:rPr>
            </w:pPr>
            <w:r>
              <w:rPr>
                <w:rFonts w:ascii="Arial" w:cs="Arial" w:eastAsia="Arial" w:hAnsi="Arial"/>
                <w:sz w:val="18"/>
                <w:szCs w:val="18"/>
                <w:color w:val="auto"/>
              </w:rPr>
              <w:t>(Used in) provided by financing activities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(514,178)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2,879,219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(3,393,397)</w:t>
            </w:r>
          </w:p>
        </w:tc>
      </w:tr>
      <w:tr>
        <w:trPr>
          <w:trHeight w:val="223"/>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1"/>
              </w:rPr>
              <w:t>Net increase (decrease) in cash, cash equivalents and restricted cash</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423,621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(785,900)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1,209,521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Net cash provided by operating activities increased $12.7 million for the year ended December 31, 2021 compared with the year ended December 31, 2020. The increase is primarily driven by an increase in cash rental income from the Eldorado Transaction in July 2020 and interest income from the addition of the Amended and Restated ROV Loan, the Chelsea Piers Mortgage Loan, the Forum Convention Center Mortgage Loan and the Great Wolf Mezzanine Loan to our real estate portfolio in July 2020, August 2020, September 2020 and June 2021, respectively. The increase was partially offset by the $64.2 million payment for early settlement of the outstanding interest rate swap agreements in September 2021.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investing activities increased $4,590.2 million for the year ended December 31, 2021 compared with the year ended December 31,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2021, the primary sources and uses of cash from investing activities included:</w:t>
      </w:r>
    </w:p>
    <w:p>
      <w:pPr>
        <w:spacing w:after="0" w:line="171"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Proceeds from the repayment of the Amended and Restated ROV Loan and receipt of deferred fees of $70.4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Payments to fund a portion of the Great Wolf Mezzanine Loan totaling $33.6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Proceeds from net maturities of short-term investments of $20.0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Proceeds from the sale of certain parcels of vacant land and Louisiana Downs in the aggregate amount of $13.3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Final payment of the funding of a new gaming patio amenity at JACK Thistledown Racino of $6.0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Capitalized transaction costs of $20.7 million;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Acquisition of property and equipment costs of $2.5 million.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 xml:space="preserve">Table </w:t>
        </w:r>
      </w:hyperlink>
      <w:r>
        <w:rPr>
          <w:rFonts w:ascii="Arial" w:cs="Arial" w:eastAsia="Arial" w:hAnsi="Arial"/>
          <w:sz w:val="18"/>
          <w:szCs w:val="18"/>
          <w:u w:val="single" w:color="auto"/>
          <w:color w:val="0000FF"/>
        </w:rPr>
        <w:t xml:space="preserve">of </w:t>
      </w:r>
      <w:hyperlink w:anchor="page1">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2020, the primary sources and uses of cash from investing activities included:</w:t>
      </w:r>
    </w:p>
    <w:p>
      <w:pPr>
        <w:spacing w:after="0" w:line="117"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JACK Cleveland/Thistledown Acquisition and the Eldorado Transaction for a total cost of $4,101.8 million, including acquisition costs;</w:t>
      </w:r>
    </w:p>
    <w:p>
      <w:pPr>
        <w:spacing w:after="0" w:line="12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ROV Loan, the Chelsea Piers Mortgage Loan and the Forum Convention Center Mortgage Loan for a total cost of $535.5 million, including loan origination costs;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Proceeds from the sale of Harrah’s Reno and Bally’s Atlantic City in the aggregate amount of $50.1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Proceeds from net maturities of short-term investments of $39.5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Acquisition of property and equipment costs of $2.8 million;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Deferred transaction costs of $0.3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financing activities decreased $3,393.4 million for the year ended December 31, 2021 compared with the year ended December 31, 2020.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2021, the primary sources and uses of cash from financing activities included:</w:t>
      </w:r>
    </w:p>
    <w:p>
      <w:pPr>
        <w:spacing w:after="0" w:line="171" w:lineRule="exact"/>
        <w:rPr>
          <w:sz w:val="20"/>
          <w:szCs w:val="20"/>
          <w:color w:val="auto"/>
        </w:rPr>
      </w:pPr>
    </w:p>
    <w:p>
      <w:pPr>
        <w:ind w:left="660" w:hanging="328"/>
        <w:spacing w:after="0" w:line="277"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Net proceeds from the sale of an aggregate of $2,385.8 million of our common stock from our September 2021 equity offering and pursuant to the full physical settlement of the June 2020 Forward Sale Agreement;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Full repayment of the $2,100.0 million outstanding aggregate principal amount of our Term Loan B Facility;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Dividend payments of $758.8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Debt issuance costs of $31.1 million;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Distributions of $8.3 million to non-controlling interest.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2020, the primary sources and uses of cash from financing activities included:</w:t>
      </w:r>
    </w:p>
    <w:p>
      <w:pPr>
        <w:spacing w:after="0" w:line="117" w:lineRule="exact"/>
        <w:rPr>
          <w:sz w:val="20"/>
          <w:szCs w:val="20"/>
          <w:color w:val="auto"/>
        </w:rPr>
      </w:pPr>
    </w:p>
    <w:p>
      <w:pPr>
        <w:jc w:val="both"/>
        <w:ind w:left="660" w:hanging="328"/>
        <w:spacing w:after="0" w:line="263"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Net proceeds from the sale of an aggregate of $1,539.7 million of our common stock pursuant to the full physical settlement of our June 2019 Forward Sale Agreements, the partial physical settlement of our common stock pursuant to our June 2020 Forward Sale Agreement and pursuant to our ATM Program (as defined below);</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Gross proceeds from our February 2020 Senior Unsecured Notes offering of $2,500.0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Reimbursement of the CPLV CMBS Debt prepayment penalty from Caesars in the amount of $55.4 million;</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Full redemption of the $498.5 million outstanding aggregate principal amount of our Second Lien Notes, as well as the $39.0 million Second Lien Notes Applicable Premium, plus fees;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Dividend payments of $612.2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Debt issuance costs of $57.8 million;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Distributions of $8.2 million to non-controlling interest</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w:t>
      </w:r>
    </w:p>
    <w:p>
      <w:pPr>
        <w:spacing w:after="0" w:line="170" w:lineRule="exact"/>
        <w:rPr>
          <w:sz w:val="20"/>
          <w:szCs w:val="20"/>
          <w:color w:val="auto"/>
        </w:rPr>
      </w:pPr>
    </w:p>
    <w:p>
      <w:pPr>
        <w:jc w:val="both"/>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For a summary of our debt obligations as of December 31, 2021, refer to </w:t>
      </w:r>
      <w:hyperlink w:anchor="page122">
        <w:r>
          <w:rPr>
            <w:rFonts w:ascii="Arial" w:cs="Arial" w:eastAsia="Arial" w:hAnsi="Arial"/>
            <w:sz w:val="18"/>
            <w:szCs w:val="18"/>
            <w:u w:val="single" w:color="auto"/>
            <w:color w:val="0000FF"/>
          </w:rPr>
          <w:t>Note 7 - Debt</w:t>
        </w:r>
      </w:hyperlink>
      <w:r>
        <w:rPr>
          <w:rFonts w:ascii="Arial" w:cs="Arial" w:eastAsia="Arial" w:hAnsi="Arial"/>
          <w:sz w:val="18"/>
          <w:szCs w:val="18"/>
          <w:color w:val="auto"/>
        </w:rPr>
        <w:t>. For a summary of our financing activities in 2021 refer to “Summary of Significant 2021 Activity - Financing and Capital Markets Activity” above</w:t>
      </w:r>
      <w:r>
        <w:rPr>
          <w:rFonts w:ascii="Arial" w:cs="Arial" w:eastAsia="Arial" w:hAnsi="Arial"/>
          <w:sz w:val="18"/>
          <w:szCs w:val="18"/>
          <w:i w:val="1"/>
          <w:iCs w:val="1"/>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debt obligations are subject to certain customary financial and operating covenants that restrict our ability to incur additional debt, sell certain asset and restrict certain payments, among other things. In addition, these covenants are subject to a number of important exceptions and qualifications, including, with respect to the restricted payments covenant, the ability to make unlimited restricted payments to maintain our REIT status.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2021, the Company was in compliance with all required debt-related financial covenants.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 xml:space="preserve">Table </w:t>
        </w:r>
      </w:hyperlink>
      <w:r>
        <w:rPr>
          <w:rFonts w:ascii="Arial" w:cs="Arial" w:eastAsia="Arial" w:hAnsi="Arial"/>
          <w:sz w:val="18"/>
          <w:szCs w:val="18"/>
          <w:u w:val="single" w:color="auto"/>
          <w:color w:val="0000FF"/>
        </w:rPr>
        <w:t xml:space="preserve">of </w:t>
      </w:r>
      <w:hyperlink w:anchor="page1">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Non-Guarantor Subsidiaries of Senior Unsecured Notes</w:t>
      </w:r>
    </w:p>
    <w:p>
      <w:pPr>
        <w:spacing w:after="0" w:line="171" w:lineRule="exact"/>
        <w:rPr>
          <w:sz w:val="20"/>
          <w:szCs w:val="20"/>
          <w:color w:val="auto"/>
        </w:rPr>
      </w:pPr>
    </w:p>
    <w:p>
      <w:pPr>
        <w:jc w:val="both"/>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The subsidiaries of the Operating Partnership that do not guarantee the Senior Unsecured Notes (as defined in </w:t>
      </w:r>
      <w:hyperlink w:anchor="page122">
        <w:r>
          <w:rPr>
            <w:rFonts w:ascii="Arial" w:cs="Arial" w:eastAsia="Arial" w:hAnsi="Arial"/>
            <w:sz w:val="18"/>
            <w:szCs w:val="18"/>
            <w:u w:val="single" w:color="auto"/>
            <w:color w:val="0000FF"/>
          </w:rPr>
          <w:t>Note 7 - Debt</w:t>
        </w:r>
      </w:hyperlink>
      <w:r>
        <w:rPr>
          <w:rFonts w:ascii="Arial" w:cs="Arial" w:eastAsia="Arial" w:hAnsi="Arial"/>
          <w:sz w:val="18"/>
          <w:szCs w:val="18"/>
          <w:color w:val="auto"/>
        </w:rPr>
        <w:t>) accounted for: (i) 4.6% of the Operating Partnership’s revenue (or 4.5% of our consolidated revenue) for the fiscal year ended December 31, 2021 and (ii) 3.7% of the Operating Partnership’s total assets (or 3.7% of our consolidated total assets) as of December 31, 2021. All subsidiary guarantees were released upon the execution of the Credit Agreement on February 8, 2022.</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CRITICAL ACCOUNTING ESTIMATES</w:t>
      </w:r>
    </w:p>
    <w:p>
      <w:pPr>
        <w:spacing w:after="0" w:line="170" w:lineRule="exact"/>
        <w:rPr>
          <w:sz w:val="20"/>
          <w:szCs w:val="20"/>
          <w:color w:val="auto"/>
        </w:rPr>
      </w:pPr>
    </w:p>
    <w:p>
      <w:pPr>
        <w:jc w:val="both"/>
        <w:spacing w:after="0" w:line="275" w:lineRule="auto"/>
        <w:rPr>
          <w:rFonts w:ascii="Arial" w:cs="Arial" w:eastAsia="Arial" w:hAnsi="Arial"/>
          <w:sz w:val="17"/>
          <w:szCs w:val="17"/>
          <w:color w:val="0000FF"/>
        </w:rPr>
      </w:pPr>
      <w:r>
        <w:rPr>
          <w:rFonts w:ascii="Arial" w:cs="Arial" w:eastAsia="Arial" w:hAnsi="Arial"/>
          <w:sz w:val="17"/>
          <w:szCs w:val="17"/>
          <w:color w:val="auto"/>
        </w:rPr>
        <w:t xml:space="preserve">Our Financial Statements are prepared in accordance with GAAP which requires us to make estimates and assumptions about future events that affect the amounts reported in the financial statements and accompanying notes. We believe that the following discussion addresses our most critical accounting estimates, which are those that have a significant level of estimation uncertainty, requiring our most difficult, subjective and complex judgments, and significantly impacts the Balance Sheet and Statement of Operations in the reporting period. Actual results may differ from the estimates. Refer to </w:t>
      </w:r>
      <w:hyperlink w:anchor="page96">
        <w:r>
          <w:rPr>
            <w:rFonts w:ascii="Arial" w:cs="Arial" w:eastAsia="Arial" w:hAnsi="Arial"/>
            <w:sz w:val="17"/>
            <w:szCs w:val="17"/>
            <w:u w:val="single" w:color="auto"/>
            <w:color w:val="0000FF"/>
          </w:rPr>
          <w:t>Note 2 -</w:t>
        </w:r>
      </w:hyperlink>
      <w:r>
        <w:rPr>
          <w:rFonts w:ascii="Arial" w:cs="Arial" w:eastAsia="Arial" w:hAnsi="Arial"/>
          <w:sz w:val="17"/>
          <w:szCs w:val="17"/>
          <w:color w:val="auto"/>
        </w:rPr>
        <w:t xml:space="preserve"> </w:t>
      </w:r>
      <w:hyperlink w:anchor="page96">
        <w:r>
          <w:rPr>
            <w:rFonts w:ascii="Arial" w:cs="Arial" w:eastAsia="Arial" w:hAnsi="Arial"/>
            <w:sz w:val="17"/>
            <w:szCs w:val="17"/>
            <w:u w:val="single" w:color="auto"/>
            <w:color w:val="0000FF"/>
          </w:rPr>
          <w:t>Summary of Significant Accounting Policies</w:t>
        </w:r>
        <w:r>
          <w:rPr>
            <w:rFonts w:ascii="Arial" w:cs="Arial" w:eastAsia="Arial" w:hAnsi="Arial"/>
            <w:sz w:val="17"/>
            <w:szCs w:val="17"/>
            <w:color w:val="0000FF"/>
          </w:rPr>
          <w:t xml:space="preserve"> </w:t>
        </w:r>
      </w:hyperlink>
      <w:r>
        <w:rPr>
          <w:rFonts w:ascii="Arial" w:cs="Arial" w:eastAsia="Arial" w:hAnsi="Arial"/>
          <w:sz w:val="17"/>
          <w:szCs w:val="17"/>
          <w:color w:val="000000"/>
        </w:rPr>
        <w:t>for</w:t>
      </w:r>
      <w:r>
        <w:rPr>
          <w:rFonts w:ascii="Arial" w:cs="Arial" w:eastAsia="Arial" w:hAnsi="Arial"/>
          <w:sz w:val="17"/>
          <w:szCs w:val="17"/>
          <w:color w:val="0000FF"/>
        </w:rPr>
        <w:t xml:space="preserve"> </w:t>
      </w:r>
      <w:r>
        <w:rPr>
          <w:rFonts w:ascii="Arial" w:cs="Arial" w:eastAsia="Arial" w:hAnsi="Arial"/>
          <w:sz w:val="17"/>
          <w:szCs w:val="17"/>
          <w:color w:val="000000"/>
        </w:rPr>
        <w:t>a full discussion of our accounting policies.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Accounting</w:t>
      </w:r>
    </w:p>
    <w:p>
      <w:pPr>
        <w:spacing w:after="0" w:line="171"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We account for our investments in leases under ASC 842 “Leases” (“ASC 842”), which requires significant estimates and judgments by management in its application. Upon lease inception or lease modification, we assess the lease classification of both the land and building components of the property to determine whether each component should be classified as a direct financing, sales-type or operating lease. The determination of lease classification requires the calculation of the rate implicit in the lease, which is driven by significant estimates, including the estimation of both the value assigned to the land and building property components upon acquisition and the estimation of the unguaranteed residual value of such components at the end of the non-cancelable lease term. If the lease component is determined to be a direct financing or sales-type lease, revenue is recognized over the life of the lease using the rate implicit in the lease.</w:t>
      </w:r>
    </w:p>
    <w:p>
      <w:pPr>
        <w:spacing w:after="0" w:line="14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Management uses industry standard practices to estimate both the value assigned to the land and building property components upon acquisition and the unguaranteed residual value of such components, including comparable sales and replacement cost analyses. Although management believes its estimate of both the value assigned to the land and building property components upon acquisition and the unguaranteed residual value of such components is reasonable, no assurance can be given that such amounts will be correct. In particular a change in the estimates could have a material impact on the lease classification determination and the timing and amount of income recognized over the life of the lease.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ASC 326 “Credit Losses” (“ASC 326”) requires that we measure and record current expected credit losses (“CECL”) for the majority of our investments, the scope of which includes our Investments in leases - sales-type, Investments in leases - financing receivables and Investments in loans. We have elected to use a discounted cash flow model to estimate the Allowance for credit losses, or CECL allowance. This model requires us to develop cash flows which project estimated credit losses over the life of the lease or loan and discount these cash flows at the asset’s effective interest rate. We then record a CECL allowance equal to the difference between the amortized cost basis of the asset and the present value of the expected credit loss cash flows.</w:t>
      </w:r>
    </w:p>
    <w:p>
      <w:pPr>
        <w:spacing w:after="0" w:line="10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Expected losses within our cash flows are determined by estimating the probability of default (“PD”) and loss given default (“LGD”) of our tenants and their parent guarantors over the life of each individual lease or financial asset. The PD and LGD are estimated during a reasonable and supportable period for which we believe we are able to estimate future economic conditions (the “R&amp;S Period”) and a long-term period for which we revert to long-term historical averages (the “Long-Term Period”). We are unable to use our historical data to estimate losses as we have no loss history to date.</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Given the length of our leases, the Long-Term Period PD and LGD are the most material and significant drivers of the CECL allowance. The PD and LGD for the Long-Term Period are estimated using the average historical default rates and historical loss rates, respectively, of public companies over the past 35 years that have similar credit profiles or characteristics to our tenants and their parent guarantors. We have engaged a nationally recognized data analytics firm to assist us with estimating both the PD and LGD of our tenants and their parent guarantors. Changes to the Long-Term Period PD and LGD are generally driven by (i) updated studies from the nationally recognized data analytics firm we employ to assist us with calculating the allowance and (ii) changes in the credit rating assigned to our tenants and their parent guarantors.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 xml:space="preserve">Table </w:t>
        </w:r>
      </w:hyperlink>
      <w:r>
        <w:rPr>
          <w:rFonts w:ascii="Arial" w:cs="Arial" w:eastAsia="Arial" w:hAnsi="Arial"/>
          <w:sz w:val="18"/>
          <w:szCs w:val="18"/>
          <w:u w:val="single" w:color="auto"/>
          <w:color w:val="0000FF"/>
        </w:rPr>
        <w:t xml:space="preserve">of </w:t>
      </w:r>
      <w:hyperlink w:anchor="page1">
        <w:r>
          <w:rPr>
            <w:rFonts w:ascii="Arial" w:cs="Arial" w:eastAsia="Arial" w:hAnsi="Arial"/>
            <w:sz w:val="18"/>
            <w:szCs w:val="18"/>
            <w:u w:val="single" w:color="auto"/>
            <w:color w:val="0000FF"/>
          </w:rPr>
          <w:t>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illustrates the impact on the CECL allowance of our investment portfolio as a result of a 10% increase and decrease in the weighted average percentages used to estimate Long-Term PD and LGD of all of our tenants and their parent guarantors: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2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 in thousands)</w:t>
            </w:r>
          </w:p>
        </w:tc>
        <w:tc>
          <w:tcPr>
            <w:tcW w:w="4300" w:type="dxa"/>
            <w:vAlign w:val="bottom"/>
            <w:gridSpan w:val="5"/>
          </w:tcPr>
          <w:p>
            <w:pPr>
              <w:ind w:left="1520"/>
              <w:spacing w:after="0"/>
              <w:rPr>
                <w:sz w:val="20"/>
                <w:szCs w:val="20"/>
                <w:color w:val="auto"/>
              </w:rPr>
            </w:pPr>
            <w:r>
              <w:rPr>
                <w:rFonts w:ascii="Arial" w:cs="Arial" w:eastAsia="Arial" w:hAnsi="Arial"/>
                <w:sz w:val="18"/>
                <w:szCs w:val="18"/>
                <w:b w:val="1"/>
                <w:bCs w:val="1"/>
                <w:color w:val="auto"/>
              </w:rPr>
              <w:t>Long-Term PD</w:t>
            </w:r>
          </w:p>
        </w:tc>
        <w:tc>
          <w:tcPr>
            <w:tcW w:w="4220" w:type="dxa"/>
            <w:vAlign w:val="bottom"/>
            <w:gridSpan w:val="4"/>
          </w:tcPr>
          <w:p>
            <w:pPr>
              <w:ind w:left="1460"/>
              <w:spacing w:after="0"/>
              <w:rPr>
                <w:sz w:val="20"/>
                <w:szCs w:val="20"/>
                <w:color w:val="auto"/>
              </w:rPr>
            </w:pPr>
            <w:r>
              <w:rPr>
                <w:rFonts w:ascii="Arial" w:cs="Arial" w:eastAsia="Arial" w:hAnsi="Arial"/>
                <w:sz w:val="18"/>
                <w:szCs w:val="18"/>
                <w:b w:val="1"/>
                <w:bCs w:val="1"/>
                <w:color w:val="auto"/>
              </w:rPr>
              <w:t>Long-Term LGD</w:t>
            </w:r>
          </w:p>
        </w:tc>
        <w:tc>
          <w:tcPr>
            <w:tcW w:w="0" w:type="dxa"/>
            <w:vAlign w:val="bottom"/>
          </w:tcPr>
          <w:p>
            <w:pPr>
              <w:spacing w:after="0"/>
              <w:rPr>
                <w:sz w:val="1"/>
                <w:szCs w:val="1"/>
                <w:color w:val="auto"/>
              </w:rPr>
            </w:pPr>
          </w:p>
        </w:tc>
      </w:tr>
      <w:tr>
        <w:trPr>
          <w:trHeight w:val="156"/>
        </w:trPr>
        <w:tc>
          <w:tcPr>
            <w:tcW w:w="27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Change</w:t>
            </w:r>
          </w:p>
        </w:tc>
        <w:tc>
          <w:tcPr>
            <w:tcW w:w="2220" w:type="dxa"/>
            <w:vAlign w:val="bottom"/>
            <w:tcBorders>
              <w:top w:val="single" w:sz="8" w:color="auto"/>
            </w:tcBorders>
            <w:gridSpan w:val="2"/>
          </w:tcPr>
          <w:p>
            <w:pPr>
              <w:ind w:left="80"/>
              <w:spacing w:after="0" w:line="155" w:lineRule="exact"/>
              <w:rPr>
                <w:sz w:val="20"/>
                <w:szCs w:val="20"/>
                <w:color w:val="auto"/>
              </w:rPr>
            </w:pPr>
            <w:r>
              <w:rPr>
                <w:rFonts w:ascii="Arial" w:cs="Arial" w:eastAsia="Arial" w:hAnsi="Arial"/>
                <w:sz w:val="16"/>
                <w:szCs w:val="16"/>
                <w:b w:val="1"/>
                <w:bCs w:val="1"/>
                <w:color w:val="auto"/>
              </w:rPr>
              <w:t>Change in CECL Allowance</w:t>
            </w:r>
          </w:p>
        </w:tc>
        <w:tc>
          <w:tcPr>
            <w:tcW w:w="26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tcPr>
          <w:p>
            <w:pPr>
              <w:jc w:val="center"/>
              <w:ind w:right="175"/>
              <w:spacing w:after="0" w:line="155" w:lineRule="exact"/>
              <w:rPr>
                <w:sz w:val="20"/>
                <w:szCs w:val="20"/>
                <w:color w:val="auto"/>
              </w:rPr>
            </w:pPr>
            <w:r>
              <w:rPr>
                <w:rFonts w:ascii="Arial" w:cs="Arial" w:eastAsia="Arial" w:hAnsi="Arial"/>
                <w:sz w:val="16"/>
                <w:szCs w:val="16"/>
                <w:b w:val="1"/>
                <w:bCs w:val="1"/>
                <w:color w:val="auto"/>
                <w:w w:val="95"/>
              </w:rPr>
              <w:t>Change in CECL</w:t>
            </w:r>
          </w:p>
        </w:tc>
        <w:tc>
          <w:tcPr>
            <w:tcW w:w="80" w:type="dxa"/>
            <w:vAlign w:val="bottom"/>
          </w:tcPr>
          <w:p>
            <w:pPr>
              <w:spacing w:after="0"/>
              <w:rPr>
                <w:sz w:val="13"/>
                <w:szCs w:val="13"/>
                <w:color w:val="auto"/>
              </w:rPr>
            </w:pPr>
          </w:p>
        </w:tc>
        <w:tc>
          <w:tcPr>
            <w:tcW w:w="224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6"/>
                <w:szCs w:val="16"/>
                <w:b w:val="1"/>
                <w:bCs w:val="1"/>
                <w:color w:val="auto"/>
              </w:rPr>
              <w:t>Change in CECL Allowance</w:t>
            </w:r>
          </w:p>
        </w:tc>
        <w:tc>
          <w:tcPr>
            <w:tcW w:w="24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tcPr>
          <w:p>
            <w:pPr>
              <w:jc w:val="center"/>
              <w:ind w:right="175"/>
              <w:spacing w:after="0" w:line="155" w:lineRule="exact"/>
              <w:rPr>
                <w:sz w:val="20"/>
                <w:szCs w:val="20"/>
                <w:color w:val="auto"/>
              </w:rPr>
            </w:pPr>
            <w:r>
              <w:rPr>
                <w:rFonts w:ascii="Arial" w:cs="Arial" w:eastAsia="Arial" w:hAnsi="Arial"/>
                <w:sz w:val="16"/>
                <w:szCs w:val="16"/>
                <w:b w:val="1"/>
                <w:bCs w:val="1"/>
                <w:color w:val="auto"/>
                <w:w w:val="95"/>
              </w:rPr>
              <w:t>Change in CECL</w:t>
            </w:r>
          </w:p>
        </w:tc>
        <w:tc>
          <w:tcPr>
            <w:tcW w:w="0" w:type="dxa"/>
            <w:vAlign w:val="bottom"/>
          </w:tcPr>
          <w:p>
            <w:pPr>
              <w:spacing w:after="0"/>
              <w:rPr>
                <w:sz w:val="1"/>
                <w:szCs w:val="1"/>
                <w:color w:val="auto"/>
              </w:rPr>
            </w:pPr>
          </w:p>
        </w:tc>
      </w:tr>
      <w:tr>
        <w:trPr>
          <w:trHeight w:val="213"/>
        </w:trPr>
        <w:tc>
          <w:tcPr>
            <w:tcW w:w="2720" w:type="dxa"/>
            <w:vAlign w:val="bottom"/>
            <w:gridSpan w:val="2"/>
            <w:vMerge w:val="continue"/>
          </w:tcPr>
          <w:p>
            <w:pPr>
              <w:spacing w:after="0"/>
              <w:rPr>
                <w:sz w:val="18"/>
                <w:szCs w:val="18"/>
                <w:color w:val="auto"/>
              </w:rPr>
            </w:pPr>
          </w:p>
        </w:tc>
        <w:tc>
          <w:tcPr>
            <w:tcW w:w="2140" w:type="dxa"/>
            <w:vAlign w:val="bottom"/>
          </w:tcPr>
          <w:p>
            <w:pPr>
              <w:jc w:val="right"/>
              <w:ind w:right="914"/>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Allowance $</w:t>
            </w:r>
          </w:p>
        </w:tc>
        <w:tc>
          <w:tcPr>
            <w:tcW w:w="2140" w:type="dxa"/>
            <w:vAlign w:val="bottom"/>
          </w:tcPr>
          <w:p>
            <w:pPr>
              <w:jc w:val="right"/>
              <w:ind w:right="894"/>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center"/>
              <w:ind w:right="175"/>
              <w:spacing w:after="0"/>
              <w:rPr>
                <w:sz w:val="20"/>
                <w:szCs w:val="20"/>
                <w:color w:val="auto"/>
              </w:rPr>
            </w:pPr>
            <w:r>
              <w:rPr>
                <w:rFonts w:ascii="Arial" w:cs="Arial" w:eastAsia="Arial" w:hAnsi="Arial"/>
                <w:sz w:val="16"/>
                <w:szCs w:val="16"/>
                <w:b w:val="1"/>
                <w:bCs w:val="1"/>
                <w:color w:val="auto"/>
                <w:w w:val="90"/>
              </w:rPr>
              <w:t>Allowance $</w:t>
            </w:r>
          </w:p>
        </w:tc>
        <w:tc>
          <w:tcPr>
            <w:tcW w:w="0" w:type="dxa"/>
            <w:vAlign w:val="bottom"/>
          </w:tcPr>
          <w:p>
            <w:pPr>
              <w:spacing w:after="0"/>
              <w:rPr>
                <w:sz w:val="1"/>
                <w:szCs w:val="1"/>
                <w:color w:val="auto"/>
              </w:rPr>
            </w:pPr>
          </w:p>
        </w:tc>
      </w:tr>
      <w:tr>
        <w:trPr>
          <w:trHeight w:val="226"/>
        </w:trPr>
        <w:tc>
          <w:tcPr>
            <w:tcW w:w="2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10% increase</w:t>
            </w:r>
          </w:p>
        </w:tc>
        <w:tc>
          <w:tcPr>
            <w:tcW w:w="10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0.24 %</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41,604</w:t>
            </w:r>
          </w:p>
        </w:tc>
        <w:tc>
          <w:tcPr>
            <w:tcW w:w="8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52,250</w:t>
            </w:r>
          </w:p>
        </w:tc>
        <w:tc>
          <w:tcPr>
            <w:tcW w:w="0" w:type="dxa"/>
            <w:vAlign w:val="bottom"/>
          </w:tcPr>
          <w:p>
            <w:pPr>
              <w:spacing w:after="0"/>
              <w:rPr>
                <w:sz w:val="1"/>
                <w:szCs w:val="1"/>
                <w:color w:val="auto"/>
              </w:rPr>
            </w:pPr>
          </w:p>
        </w:tc>
      </w:tr>
      <w:tr>
        <w:trPr>
          <w:trHeight w:val="230"/>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10% decrease</w:t>
            </w:r>
          </w:p>
        </w:tc>
        <w:tc>
          <w:tcPr>
            <w:tcW w:w="2140" w:type="dxa"/>
            <w:vAlign w:val="bottom"/>
          </w:tcPr>
          <w:p>
            <w:pPr>
              <w:jc w:val="right"/>
              <w:spacing w:after="0"/>
              <w:rPr>
                <w:sz w:val="20"/>
                <w:szCs w:val="20"/>
                <w:color w:val="auto"/>
              </w:rPr>
            </w:pPr>
            <w:r>
              <w:rPr>
                <w:rFonts w:ascii="Arial" w:cs="Arial" w:eastAsia="Arial" w:hAnsi="Arial"/>
                <w:sz w:val="18"/>
                <w:szCs w:val="18"/>
                <w:color w:val="auto"/>
              </w:rPr>
              <w:t>(0.26)%</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(43,147)</w:t>
            </w:r>
          </w:p>
        </w:tc>
        <w:tc>
          <w:tcPr>
            <w:tcW w:w="8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(50,333)</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management believes its estimate of the Long-Term PD and LGD described above is reasonable, no assurance can be given that the Long-Term PD and LGD for our tenants, or other drivers of the CECL allowance, will be correct. Any significant variation of Long-Term PD or LGD from management’s expectations could have a material impact on our financial condition and operating results.</w:t>
      </w:r>
    </w:p>
    <w:p>
      <w:pPr>
        <w:spacing w:after="0" w:line="157" w:lineRule="exact"/>
        <w:rPr>
          <w:sz w:val="20"/>
          <w:szCs w:val="20"/>
          <w:color w:val="auto"/>
        </w:rPr>
      </w:pPr>
    </w:p>
    <w:p>
      <w:pPr>
        <w:ind w:left="20"/>
        <w:spacing w:after="0"/>
        <w:tabs>
          <w:tab w:leader="none" w:pos="1500" w:val="left"/>
        </w:tabs>
        <w:rPr>
          <w:sz w:val="20"/>
          <w:szCs w:val="20"/>
          <w:color w:val="auto"/>
        </w:rPr>
      </w:pPr>
      <w:r>
        <w:rPr>
          <w:rFonts w:ascii="Arial" w:cs="Arial" w:eastAsia="Arial" w:hAnsi="Arial"/>
          <w:sz w:val="22"/>
          <w:szCs w:val="22"/>
          <w:b w:val="1"/>
          <w:bCs w:val="1"/>
          <w:color w:val="auto"/>
        </w:rPr>
        <w:t>ITEM 7A.</w:t>
      </w:r>
      <w:r>
        <w:rPr>
          <w:sz w:val="20"/>
          <w:szCs w:val="20"/>
          <w:color w:val="auto"/>
        </w:rPr>
        <w:tab/>
      </w:r>
      <w:r>
        <w:rPr>
          <w:rFonts w:ascii="Arial" w:cs="Arial" w:eastAsia="Arial" w:hAnsi="Arial"/>
          <w:sz w:val="19"/>
          <w:szCs w:val="19"/>
          <w:b w:val="1"/>
          <w:bCs w:val="1"/>
          <w:color w:val="auto"/>
        </w:rPr>
        <w:t>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interest rate risk management objective is to limit the impact of future interest rate changes on our earnings and cash flows. To achieve this objective, our consolidated subsidiaries primarily borrow on a fixed-rate basis for longer-term debt issuances. As of December 31, 2021, we had $4,750.0 million aggregate principal amount of outstanding indebtedness, all of which has fixed rate interest.</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Additionally, we are exposed to interest rate risk between the time we enter into a transaction and the time we finance the related transaction with long-term fixed-rate debt. In addition, when that long-term debt matures, we may have to refinance the real estate at a higher interest rate. In a rising interest rate environment, we have from time to time and may in the future seek to mitigate that risk by utilizing forward-starting interest rate swap agreements and other derivative instruments. Market interest rates are sensitive to many factors that are beyond our control.</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Markets Risks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exposed to risks related to the equity capital markets, and our related ability to raise capital through the issuance of our common stock or other equity instruments. We are also exposed to risks related to the debt capital markets, and our related ability to finance our business through long-term indebtedness, borrowings under credit facilities or other debt instruments. As a REIT, we are required to distribute a significant portion of our taxable income annually, which constrains our ability to accumulate operating cash flow and therefore requires us to utilize debt or equity capital to finance our business. We seek to mitigate these risks by monitoring the debt and equity capital markets to inform our decisions on the amount, timing, and terms of capital we raise.</w:t>
      </w:r>
    </w:p>
    <w:p>
      <w:pPr>
        <w:spacing w:after="0" w:line="166" w:lineRule="exact"/>
        <w:rPr>
          <w:sz w:val="20"/>
          <w:szCs w:val="20"/>
          <w:color w:val="auto"/>
        </w:rPr>
      </w:pPr>
    </w:p>
    <w:p>
      <w:pPr>
        <w:ind w:left="20"/>
        <w:spacing w:after="0"/>
        <w:tabs>
          <w:tab w:leader="none" w:pos="15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Financial Statements and Supplementary Financial Data</w:t>
      </w:r>
    </w:p>
    <w:p>
      <w:pPr>
        <w:spacing w:after="0" w:line="273" w:lineRule="exact"/>
        <w:rPr>
          <w:sz w:val="20"/>
          <w:szCs w:val="20"/>
          <w:color w:val="auto"/>
        </w:rPr>
      </w:pPr>
    </w:p>
    <w:p>
      <w:pPr>
        <w:jc w:val="both"/>
        <w:spacing w:after="0" w:line="286" w:lineRule="auto"/>
        <w:rPr>
          <w:rFonts w:ascii="Arial" w:cs="Arial" w:eastAsia="Arial" w:hAnsi="Arial"/>
          <w:sz w:val="17"/>
          <w:szCs w:val="17"/>
          <w:color w:val="auto"/>
        </w:rPr>
      </w:pPr>
      <w:r>
        <w:rPr>
          <w:rFonts w:ascii="Arial" w:cs="Arial" w:eastAsia="Arial" w:hAnsi="Arial"/>
          <w:sz w:val="17"/>
          <w:szCs w:val="17"/>
          <w:color w:val="auto"/>
        </w:rPr>
        <w:t xml:space="preserve">The financial statements required by this item and the reports of the independent accountants thereon required by Item 15 - Exhibits and Financial Statement Schedule of this Form 10-K appear on pages F-2 to F-57. See accompanying </w:t>
      </w:r>
      <w:hyperlink w:anchor="page82">
        <w:r>
          <w:rPr>
            <w:rFonts w:ascii="Arial" w:cs="Arial" w:eastAsia="Arial" w:hAnsi="Arial"/>
            <w:sz w:val="17"/>
            <w:szCs w:val="17"/>
            <w:u w:val="single" w:color="auto"/>
            <w:color w:val="0000FF"/>
          </w:rPr>
          <w:t>Index to the Consolidated Financial Statements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on page F-1. The supplementary financial data required by Item 302 of Regulation S-K appears in pages S-1 to S-4 to the consolidated financial statements.</w:t>
      </w:r>
    </w:p>
    <w:p>
      <w:pPr>
        <w:spacing w:after="0" w:line="139" w:lineRule="exact"/>
        <w:rPr>
          <w:sz w:val="20"/>
          <w:szCs w:val="20"/>
          <w:color w:val="auto"/>
        </w:rPr>
      </w:pPr>
    </w:p>
    <w:p>
      <w:pPr>
        <w:ind w:left="20"/>
        <w:spacing w:after="0"/>
        <w:tabs>
          <w:tab w:leader="none" w:pos="152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Changes in and Disagreements with Accountants on Accounting and Financial Disclosure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1520" w:val="left"/>
        </w:tabs>
        <w:rPr>
          <w:sz w:val="20"/>
          <w:szCs w:val="20"/>
          <w:color w:val="auto"/>
        </w:rPr>
      </w:pPr>
      <w:r>
        <w:rPr>
          <w:rFonts w:ascii="Arial" w:cs="Arial" w:eastAsia="Arial" w:hAnsi="Arial"/>
          <w:sz w:val="22"/>
          <w:szCs w:val="22"/>
          <w:b w:val="1"/>
          <w:bCs w:val="1"/>
          <w:color w:val="auto"/>
        </w:rPr>
        <w:t>ITEM 9A.</w:t>
      </w:r>
      <w:r>
        <w:rPr>
          <w:sz w:val="20"/>
          <w:szCs w:val="20"/>
          <w:color w:val="auto"/>
        </w:rPr>
        <w:tab/>
      </w:r>
      <w:r>
        <w:rPr>
          <w:rFonts w:ascii="Arial" w:cs="Arial" w:eastAsia="Arial" w:hAnsi="Arial"/>
          <w:sz w:val="19"/>
          <w:szCs w:val="19"/>
          <w:b w:val="1"/>
          <w:bCs w:val="1"/>
          <w:color w:val="auto"/>
        </w:rPr>
        <w:t>Controls and Procedures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maintain disclosure controls and procedures (as defined in Rules 13a-15(e) and 15d-15(e) of the Securities Exchange Act of 1934, as amended (the “Exchange Act”)) designed to provide reasonable assurance that information required to be disclosed in reports filed under the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has evaluated, under the supervision and with the participation of our principal executive officer and principal financial officer, the effectiveness of the design and operation of our disclosure controls and procedures pursuant to Exchange Act Rule 13a-15(e) as of the end of the period covered by this report. Based upon this evaluation, our principal executive officer and principal financial officer concluded that our disclosure controls and procedures were effective as of the end of the period covered by this report.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Our internal control over financial reporting is a process designed under the supervision of our principal executive officer and principal financial officer to provide reasonable assurance regarding the reliability of financial reporting and the preparation of our consolidated financial statements for external reporting purposes in accordance with GAAP.</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GAAP, and that receipts and expenditures are being made only in accordance with authorizations of our management; and provide reasonable assurance regarding prevention or timely detection of unauthorized acquisition, use or disposition of our assets that could have a material effect on our consolidated financial statements.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conducted an assessment of the effectiveness of our internal control over financial reporting as of December 31, 2021 based on the framework established in the updated Internal Control – Integrated Framework (2013) issued by the Committee of Sponsoring Organizations of the Treadway Commission (COSO). Based on this assessment, management has determined that our internal control over financial reporting was effective as of December 31, 2021.</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Deloitte &amp; Touche LLP, an independent registered public accounting firm, has audited our financial statements included in this report on Form 10-K and issued its attestation report, which is included herein and expresses an unqualified opinion on the effectiveness of our internal control over financial reporting as of December 31,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is defined in Rules 13a–15(f) and 15d–15(f) under the Exchange Act) that occurred during our most recent quarter, that has materially affected, or is reasonably likely to materially affect, our internal control over financial reporting.</w:t>
      </w:r>
    </w:p>
    <w:p>
      <w:pPr>
        <w:spacing w:after="0" w:line="157" w:lineRule="exact"/>
        <w:rPr>
          <w:sz w:val="20"/>
          <w:szCs w:val="20"/>
          <w:color w:val="auto"/>
        </w:rPr>
      </w:pPr>
    </w:p>
    <w:p>
      <w:pPr>
        <w:ind w:left="20"/>
        <w:spacing w:after="0"/>
        <w:tabs>
          <w:tab w:leader="none" w:pos="1520" w:val="left"/>
        </w:tabs>
        <w:rPr>
          <w:sz w:val="20"/>
          <w:szCs w:val="20"/>
          <w:color w:val="auto"/>
        </w:rPr>
      </w:pPr>
      <w:r>
        <w:rPr>
          <w:rFonts w:ascii="Arial" w:cs="Arial" w:eastAsia="Arial" w:hAnsi="Arial"/>
          <w:sz w:val="22"/>
          <w:szCs w:val="22"/>
          <w:b w:val="1"/>
          <w:bCs w:val="1"/>
          <w:color w:val="auto"/>
        </w:rPr>
        <w:t>ITEM 9B.</w:t>
      </w:r>
      <w:r>
        <w:rPr>
          <w:sz w:val="20"/>
          <w:szCs w:val="20"/>
          <w:color w:val="auto"/>
        </w:rPr>
        <w:tab/>
      </w:r>
      <w:r>
        <w:rPr>
          <w:rFonts w:ascii="Arial" w:cs="Arial" w:eastAsia="Arial" w:hAnsi="Arial"/>
          <w:sz w:val="19"/>
          <w:szCs w:val="19"/>
          <w:b w:val="1"/>
          <w:bCs w:val="1"/>
          <w:color w:val="auto"/>
        </w:rPr>
        <w:t>Other Information</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ind w:left="20"/>
        <w:spacing w:after="0"/>
        <w:tabs>
          <w:tab w:leader="none" w:pos="1520" w:val="left"/>
        </w:tabs>
        <w:rPr>
          <w:sz w:val="20"/>
          <w:szCs w:val="20"/>
          <w:color w:val="auto"/>
        </w:rPr>
      </w:pPr>
      <w:r>
        <w:rPr>
          <w:rFonts w:ascii="Arial" w:cs="Arial" w:eastAsia="Arial" w:hAnsi="Arial"/>
          <w:sz w:val="22"/>
          <w:szCs w:val="22"/>
          <w:b w:val="1"/>
          <w:bCs w:val="1"/>
          <w:color w:val="auto"/>
        </w:rPr>
        <w:t>ITEM 9C.</w:t>
      </w:r>
      <w:r>
        <w:rPr>
          <w:sz w:val="20"/>
          <w:szCs w:val="20"/>
          <w:color w:val="auto"/>
        </w:rPr>
        <w:tab/>
      </w:r>
      <w:r>
        <w:rPr>
          <w:rFonts w:ascii="Arial" w:cs="Arial" w:eastAsia="Arial" w:hAnsi="Arial"/>
          <w:sz w:val="19"/>
          <w:szCs w:val="19"/>
          <w:b w:val="1"/>
          <w:bCs w:val="1"/>
          <w:color w:val="auto"/>
        </w:rPr>
        <w:t>Disclosure Regarding Foreign Jurisdictions that Prevent Inspections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PART III</w:t>
      </w:r>
    </w:p>
    <w:p>
      <w:pPr>
        <w:spacing w:after="0" w:line="193" w:lineRule="exact"/>
        <w:rPr>
          <w:sz w:val="20"/>
          <w:szCs w:val="20"/>
          <w:color w:val="auto"/>
        </w:rPr>
      </w:pPr>
    </w:p>
    <w:p>
      <w:pPr>
        <w:ind w:left="20"/>
        <w:spacing w:after="0"/>
        <w:tabs>
          <w:tab w:leader="none" w:pos="152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Directors, Executive Officers and Corporate Governance</w:t>
      </w:r>
    </w:p>
    <w:p>
      <w:pPr>
        <w:spacing w:after="0" w:line="2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Company’s definitive proxy statement to be filed not later than May 2, 2022 with the SEC pursuant to Regulation 14A under the Exchange Act.</w:t>
      </w:r>
    </w:p>
    <w:p>
      <w:pPr>
        <w:spacing w:after="0" w:line="144" w:lineRule="exact"/>
        <w:rPr>
          <w:sz w:val="20"/>
          <w:szCs w:val="20"/>
          <w:color w:val="auto"/>
        </w:rPr>
      </w:pPr>
    </w:p>
    <w:p>
      <w:pPr>
        <w:ind w:left="20"/>
        <w:spacing w:after="0"/>
        <w:tabs>
          <w:tab w:leader="none" w:pos="1520" w:val="left"/>
        </w:tabs>
        <w:rPr>
          <w:sz w:val="20"/>
          <w:szCs w:val="20"/>
          <w:color w:val="auto"/>
        </w:rPr>
      </w:pPr>
      <w:r>
        <w:rPr>
          <w:rFonts w:ascii="Arial" w:cs="Arial" w:eastAsia="Arial" w:hAnsi="Arial"/>
          <w:sz w:val="22"/>
          <w:szCs w:val="22"/>
          <w:b w:val="1"/>
          <w:bCs w:val="1"/>
          <w:color w:val="auto"/>
        </w:rPr>
        <w:t>ITEM 11.</w:t>
      </w:r>
      <w:r>
        <w:rPr>
          <w:sz w:val="20"/>
          <w:szCs w:val="20"/>
          <w:color w:val="auto"/>
        </w:rPr>
        <w:tab/>
      </w:r>
      <w:r>
        <w:rPr>
          <w:rFonts w:ascii="Arial" w:cs="Arial" w:eastAsia="Arial" w:hAnsi="Arial"/>
          <w:sz w:val="19"/>
          <w:szCs w:val="19"/>
          <w:b w:val="1"/>
          <w:bCs w:val="1"/>
          <w:color w:val="auto"/>
        </w:rPr>
        <w:t>Executive Compensation</w:t>
      </w:r>
    </w:p>
    <w:p>
      <w:pPr>
        <w:spacing w:after="0" w:line="26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Company’s definitive proxy statement to be filed not later than May 2, 2022 with the SEC pursuant to Regulation 14A under the Exchange Act.</w:t>
      </w:r>
    </w:p>
    <w:p>
      <w:pPr>
        <w:spacing w:after="0" w:line="144" w:lineRule="exact"/>
        <w:rPr>
          <w:sz w:val="20"/>
          <w:szCs w:val="20"/>
          <w:color w:val="auto"/>
        </w:rPr>
      </w:pPr>
    </w:p>
    <w:p>
      <w:pPr>
        <w:ind w:left="20"/>
        <w:spacing w:after="0"/>
        <w:tabs>
          <w:tab w:leader="none" w:pos="1520" w:val="left"/>
        </w:tabs>
        <w:rPr>
          <w:sz w:val="20"/>
          <w:szCs w:val="20"/>
          <w:color w:val="auto"/>
        </w:rPr>
      </w:pPr>
      <w:r>
        <w:rPr>
          <w:rFonts w:ascii="Arial" w:cs="Arial" w:eastAsia="Arial" w:hAnsi="Arial"/>
          <w:sz w:val="22"/>
          <w:szCs w:val="22"/>
          <w:b w:val="1"/>
          <w:bCs w:val="1"/>
          <w:color w:val="auto"/>
        </w:rPr>
        <w:t>ITEM 12.</w:t>
      </w:r>
      <w:r>
        <w:rPr>
          <w:sz w:val="20"/>
          <w:szCs w:val="20"/>
          <w:color w:val="auto"/>
        </w:rPr>
        <w:tab/>
      </w:r>
      <w:r>
        <w:rPr>
          <w:rFonts w:ascii="Arial" w:cs="Arial" w:eastAsia="Arial" w:hAnsi="Arial"/>
          <w:sz w:val="19"/>
          <w:szCs w:val="19"/>
          <w:b w:val="1"/>
          <w:bCs w:val="1"/>
          <w:color w:val="auto"/>
        </w:rPr>
        <w:t>Security Ownership of Certain Beneficial Owners and Management and Related Stockholder Matters</w:t>
      </w:r>
    </w:p>
    <w:p>
      <w:pPr>
        <w:spacing w:after="0" w:line="2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Company’s definitive proxy statement to be filed not later than May 2, 2022 with the SEC pursuant to Regulation 14A under the Exchange Act.</w:t>
      </w:r>
    </w:p>
    <w:p>
      <w:pPr>
        <w:spacing w:after="0" w:line="144" w:lineRule="exact"/>
        <w:rPr>
          <w:sz w:val="20"/>
          <w:szCs w:val="20"/>
          <w:color w:val="auto"/>
        </w:rPr>
      </w:pPr>
    </w:p>
    <w:p>
      <w:pPr>
        <w:ind w:left="20"/>
        <w:spacing w:after="0"/>
        <w:tabs>
          <w:tab w:leader="none" w:pos="1520" w:val="left"/>
        </w:tabs>
        <w:rPr>
          <w:sz w:val="20"/>
          <w:szCs w:val="20"/>
          <w:color w:val="auto"/>
        </w:rPr>
      </w:pPr>
      <w:r>
        <w:rPr>
          <w:rFonts w:ascii="Arial" w:cs="Arial" w:eastAsia="Arial" w:hAnsi="Arial"/>
          <w:sz w:val="22"/>
          <w:szCs w:val="22"/>
          <w:b w:val="1"/>
          <w:bCs w:val="1"/>
          <w:color w:val="auto"/>
        </w:rPr>
        <w:t>ITEM 13.</w:t>
      </w:r>
      <w:r>
        <w:rPr>
          <w:sz w:val="20"/>
          <w:szCs w:val="20"/>
          <w:color w:val="auto"/>
        </w:rPr>
        <w:tab/>
      </w:r>
      <w:r>
        <w:rPr>
          <w:rFonts w:ascii="Arial" w:cs="Arial" w:eastAsia="Arial" w:hAnsi="Arial"/>
          <w:sz w:val="19"/>
          <w:szCs w:val="19"/>
          <w:b w:val="1"/>
          <w:bCs w:val="1"/>
          <w:color w:val="auto"/>
        </w:rPr>
        <w:t>Certain Relationships and Related Transactions and Director Independence</w:t>
      </w:r>
    </w:p>
    <w:p>
      <w:pPr>
        <w:spacing w:after="0" w:line="2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Company’s definitive proxy statement to be filed not later than May 2, 2022 with the SEC pursuant to Regulation 14A under the Exchange Act.</w:t>
      </w:r>
    </w:p>
    <w:p>
      <w:pPr>
        <w:spacing w:after="0" w:line="144" w:lineRule="exact"/>
        <w:rPr>
          <w:sz w:val="20"/>
          <w:szCs w:val="20"/>
          <w:color w:val="auto"/>
        </w:rPr>
      </w:pPr>
    </w:p>
    <w:p>
      <w:pPr>
        <w:ind w:left="20"/>
        <w:spacing w:after="0"/>
        <w:tabs>
          <w:tab w:leader="none" w:pos="1520" w:val="left"/>
        </w:tabs>
        <w:rPr>
          <w:sz w:val="20"/>
          <w:szCs w:val="20"/>
          <w:color w:val="auto"/>
        </w:rPr>
      </w:pPr>
      <w:r>
        <w:rPr>
          <w:rFonts w:ascii="Arial" w:cs="Arial" w:eastAsia="Arial" w:hAnsi="Arial"/>
          <w:sz w:val="22"/>
          <w:szCs w:val="22"/>
          <w:b w:val="1"/>
          <w:bCs w:val="1"/>
          <w:color w:val="auto"/>
        </w:rPr>
        <w:t>ITEM 14.</w:t>
      </w:r>
      <w:r>
        <w:rPr>
          <w:sz w:val="20"/>
          <w:szCs w:val="20"/>
          <w:color w:val="auto"/>
        </w:rPr>
        <w:tab/>
      </w:r>
      <w:r>
        <w:rPr>
          <w:rFonts w:ascii="Arial" w:cs="Arial" w:eastAsia="Arial" w:hAnsi="Arial"/>
          <w:sz w:val="19"/>
          <w:szCs w:val="19"/>
          <w:b w:val="1"/>
          <w:bCs w:val="1"/>
          <w:color w:val="auto"/>
        </w:rPr>
        <w:t>Principal Accounting Fees and Services</w:t>
      </w:r>
    </w:p>
    <w:p>
      <w:pPr>
        <w:spacing w:after="0" w:line="26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Company’s definitive proxy statement to be filed not later than May 2, 2022 with the SEC pursuant to Regulation 14A under the Exchange Act.</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PART IV</w:t>
      </w:r>
    </w:p>
    <w:p>
      <w:pPr>
        <w:spacing w:after="0" w:line="193" w:lineRule="exact"/>
        <w:rPr>
          <w:sz w:val="20"/>
          <w:szCs w:val="20"/>
          <w:color w:val="auto"/>
        </w:rPr>
      </w:pPr>
    </w:p>
    <w:p>
      <w:pPr>
        <w:ind w:left="20"/>
        <w:spacing w:after="0"/>
        <w:tabs>
          <w:tab w:leader="none" w:pos="1520" w:val="left"/>
        </w:tabs>
        <w:rPr>
          <w:sz w:val="20"/>
          <w:szCs w:val="20"/>
          <w:color w:val="auto"/>
        </w:rPr>
      </w:pPr>
      <w:r>
        <w:rPr>
          <w:rFonts w:ascii="Arial" w:cs="Arial" w:eastAsia="Arial" w:hAnsi="Arial"/>
          <w:sz w:val="22"/>
          <w:szCs w:val="22"/>
          <w:b w:val="1"/>
          <w:bCs w:val="1"/>
          <w:color w:val="auto"/>
        </w:rPr>
        <w:t>ITEM 15.</w:t>
      </w:r>
      <w:r>
        <w:rPr>
          <w:sz w:val="20"/>
          <w:szCs w:val="20"/>
          <w:color w:val="auto"/>
        </w:rPr>
        <w:tab/>
      </w:r>
      <w:r>
        <w:rPr>
          <w:rFonts w:ascii="Arial" w:cs="Arial" w:eastAsia="Arial" w:hAnsi="Arial"/>
          <w:sz w:val="19"/>
          <w:szCs w:val="19"/>
          <w:b w:val="1"/>
          <w:bCs w:val="1"/>
          <w:color w:val="auto"/>
        </w:rPr>
        <w:t>Exhibits and Financial Statement Schedule</w:t>
      </w:r>
    </w:p>
    <w:p>
      <w:pPr>
        <w:spacing w:after="0" w:line="26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6"/>
          <w:szCs w:val="16"/>
          <w:b w:val="1"/>
          <w:bCs w:val="1"/>
          <w:color w:val="auto"/>
        </w:rPr>
        <w:t>Financial Statements.</w:t>
      </w:r>
    </w:p>
    <w:p>
      <w:pPr>
        <w:spacing w:after="0" w:line="175"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See the accompanying </w:t>
      </w:r>
      <w:hyperlink w:anchor="page82">
        <w:r>
          <w:rPr>
            <w:rFonts w:ascii="Arial" w:cs="Arial" w:eastAsia="Arial" w:hAnsi="Arial"/>
            <w:sz w:val="16"/>
            <w:szCs w:val="16"/>
            <w:u w:val="single" w:color="auto"/>
            <w:color w:val="0000FF"/>
          </w:rPr>
          <w:t>Index to Consolidated Financial Statements and Schedule</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on page F-1.</w:t>
      </w:r>
    </w:p>
    <w:p>
      <w:pPr>
        <w:spacing w:after="0" w:line="19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6"/>
          <w:szCs w:val="16"/>
          <w:b w:val="1"/>
          <w:bCs w:val="1"/>
          <w:color w:val="auto"/>
        </w:rPr>
        <w:t>Financial Statement Schedule.</w:t>
      </w:r>
    </w:p>
    <w:p>
      <w:pPr>
        <w:spacing w:after="0" w:line="175"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See the accompanying </w:t>
      </w:r>
      <w:hyperlink w:anchor="page82">
        <w:r>
          <w:rPr>
            <w:rFonts w:ascii="Arial" w:cs="Arial" w:eastAsia="Arial" w:hAnsi="Arial"/>
            <w:sz w:val="16"/>
            <w:szCs w:val="16"/>
            <w:u w:val="single" w:color="auto"/>
            <w:color w:val="0000FF"/>
          </w:rPr>
          <w:t>Index to Consolidated Financial Statements and Schedule</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on page F-1.</w:t>
      </w:r>
    </w:p>
    <w:p>
      <w:pPr>
        <w:spacing w:after="0" w:line="19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6"/>
          <w:szCs w:val="16"/>
          <w:b w:val="1"/>
          <w:bCs w:val="1"/>
          <w:color w:val="auto"/>
        </w:rPr>
        <w:t>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20" w:type="dxa"/>
            <w:vAlign w:val="bottom"/>
            <w:gridSpan w:val="15"/>
            <w:vMerge w:val="restart"/>
          </w:tcPr>
          <w:p>
            <w:pPr>
              <w:ind w:left="6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8"/>
        </w:trPr>
        <w:tc>
          <w:tcPr>
            <w:tcW w:w="9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20" w:type="dxa"/>
            <w:vAlign w:val="bottom"/>
            <w:gridSpan w:val="1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0" w:type="dxa"/>
            <w:vAlign w:val="bottom"/>
            <w:tcBorders>
              <w:top w:val="single" w:sz="8" w:color="auto"/>
            </w:tcBorders>
            <w:gridSpan w:val="2"/>
          </w:tcPr>
          <w:p>
            <w:pPr>
              <w:jc w:val="center"/>
              <w:ind w:left="233"/>
              <w:spacing w:after="0" w:line="184" w:lineRule="exact"/>
              <w:rPr>
                <w:rFonts w:ascii="Arial" w:cs="Arial" w:eastAsia="Arial" w:hAnsi="Arial"/>
                <w:sz w:val="18"/>
                <w:szCs w:val="18"/>
                <w:color w:val="0000FF"/>
                <w:w w:val="87"/>
              </w:rPr>
            </w:pPr>
            <w:hyperlink r:id="rId91">
              <w:r>
                <w:rPr>
                  <w:rFonts w:ascii="Arial" w:cs="Arial" w:eastAsia="Arial" w:hAnsi="Arial"/>
                  <w:sz w:val="18"/>
                  <w:szCs w:val="18"/>
                  <w:color w:val="0000FF"/>
                  <w:w w:val="87"/>
                </w:rPr>
                <w:t>2.</w:t>
              </w:r>
              <w:r>
                <w:rPr>
                  <w:rFonts w:ascii="Arial" w:cs="Arial" w:eastAsia="Arial" w:hAnsi="Arial"/>
                  <w:sz w:val="18"/>
                  <w:szCs w:val="18"/>
                  <w:u w:val="single" w:color="auto"/>
                  <w:color w:val="0000FF"/>
                  <w:w w:val="87"/>
                </w:rPr>
                <w:t>1</w:t>
              </w:r>
            </w:hyperlink>
          </w:p>
        </w:tc>
        <w:tc>
          <w:tcPr>
            <w:tcW w:w="3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880" w:type="dxa"/>
            <w:vAlign w:val="bottom"/>
            <w:tcBorders>
              <w:top w:val="single" w:sz="8" w:color="auto"/>
            </w:tcBorders>
            <w:gridSpan w:val="21"/>
          </w:tcPr>
          <w:p>
            <w:pPr>
              <w:spacing w:after="0" w:line="184" w:lineRule="exact"/>
              <w:rPr>
                <w:rFonts w:ascii="Arial" w:cs="Arial" w:eastAsia="Arial" w:hAnsi="Arial"/>
                <w:sz w:val="18"/>
                <w:szCs w:val="18"/>
                <w:color w:val="0000FF"/>
                <w:w w:val="90"/>
              </w:rPr>
            </w:pPr>
            <w:hyperlink r:id="rId91">
              <w:r>
                <w:rPr>
                  <w:rFonts w:ascii="Arial" w:cs="Arial" w:eastAsia="Arial" w:hAnsi="Arial"/>
                  <w:sz w:val="18"/>
                  <w:szCs w:val="18"/>
                  <w:color w:val="0000FF"/>
                  <w:w w:val="90"/>
                </w:rPr>
                <w:t>Third Amended Joint Plan of Reorganization of Caesars Entertainment Operating</w:t>
              </w:r>
            </w:hyperlink>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60" w:type="dxa"/>
            <w:vAlign w:val="bottom"/>
            <w:tcBorders>
              <w:top w:val="single" w:sz="8" w:color="0000FF"/>
            </w:tcBorders>
            <w:gridSpan w:val="20"/>
          </w:tcPr>
          <w:p>
            <w:pPr>
              <w:spacing w:after="0" w:line="156" w:lineRule="exact"/>
              <w:rPr>
                <w:rFonts w:ascii="Arial" w:cs="Arial" w:eastAsia="Arial" w:hAnsi="Arial"/>
                <w:sz w:val="18"/>
                <w:szCs w:val="18"/>
                <w:color w:val="0000FF"/>
                <w:w w:val="92"/>
              </w:rPr>
            </w:pPr>
            <w:hyperlink r:id="rId91">
              <w:r>
                <w:rPr>
                  <w:rFonts w:ascii="Arial" w:cs="Arial" w:eastAsia="Arial" w:hAnsi="Arial"/>
                  <w:sz w:val="18"/>
                  <w:szCs w:val="18"/>
                  <w:color w:val="0000FF"/>
                  <w:w w:val="92"/>
                </w:rPr>
                <w:t>Company, Inc., et al., under Chapter 11 of the Bankruptcy Code, dated January</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5"/>
              </w:rPr>
            </w:pPr>
            <w:hyperlink r:id="rId91">
              <w:r>
                <w:rPr>
                  <w:rFonts w:ascii="Arial" w:cs="Arial" w:eastAsia="Arial" w:hAnsi="Arial"/>
                  <w:sz w:val="18"/>
                  <w:szCs w:val="18"/>
                  <w:color w:val="0000FF"/>
                  <w:w w:val="85"/>
                </w:rPr>
                <w:t>13, 2016.</w:t>
              </w:r>
            </w:hyperlink>
          </w:p>
        </w:tc>
        <w:tc>
          <w:tcPr>
            <w:tcW w:w="3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540" w:type="dxa"/>
            <w:vAlign w:val="bottom"/>
            <w:gridSpan w:val="2"/>
          </w:tcPr>
          <w:p>
            <w:pPr>
              <w:jc w:val="center"/>
              <w:ind w:left="233"/>
              <w:spacing w:after="0"/>
              <w:rPr>
                <w:rFonts w:ascii="Arial" w:cs="Arial" w:eastAsia="Arial" w:hAnsi="Arial"/>
                <w:sz w:val="18"/>
                <w:szCs w:val="18"/>
                <w:color w:val="0000FF"/>
                <w:w w:val="87"/>
              </w:rPr>
            </w:pPr>
            <w:hyperlink r:id="rId92">
              <w:r>
                <w:rPr>
                  <w:rFonts w:ascii="Arial" w:cs="Arial" w:eastAsia="Arial" w:hAnsi="Arial"/>
                  <w:sz w:val="18"/>
                  <w:szCs w:val="18"/>
                  <w:color w:val="0000FF"/>
                  <w:w w:val="87"/>
                </w:rPr>
                <w:t>2.</w:t>
              </w:r>
              <w:r>
                <w:rPr>
                  <w:rFonts w:ascii="Arial" w:cs="Arial" w:eastAsia="Arial" w:hAnsi="Arial"/>
                  <w:sz w:val="18"/>
                  <w:szCs w:val="18"/>
                  <w:u w:val="single" w:color="auto"/>
                  <w:color w:val="0000FF"/>
                  <w:w w:val="87"/>
                </w:rPr>
                <w:t>2</w:t>
              </w:r>
            </w:hyperlink>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80" w:type="dxa"/>
            <w:vAlign w:val="bottom"/>
            <w:gridSpan w:val="21"/>
          </w:tcPr>
          <w:p>
            <w:pPr>
              <w:spacing w:after="0"/>
              <w:rPr>
                <w:rFonts w:ascii="Arial" w:cs="Arial" w:eastAsia="Arial" w:hAnsi="Arial"/>
                <w:sz w:val="18"/>
                <w:szCs w:val="18"/>
                <w:color w:val="0000FF"/>
              </w:rPr>
            </w:pPr>
            <w:hyperlink r:id="rId92">
              <w:r>
                <w:rPr>
                  <w:rFonts w:ascii="Arial" w:cs="Arial" w:eastAsia="Arial" w:hAnsi="Arial"/>
                  <w:sz w:val="18"/>
                  <w:szCs w:val="18"/>
                  <w:color w:val="0000FF"/>
                </w:rPr>
                <w:t>Separation Agreement, dated as of October 6, 2017, between Caesars</w:t>
              </w:r>
            </w:hyperlink>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80" w:type="dxa"/>
            <w:vAlign w:val="bottom"/>
            <w:tcBorders>
              <w:top w:val="single" w:sz="8" w:color="0000FF"/>
            </w:tcBorders>
            <w:gridSpan w:val="11"/>
          </w:tcPr>
          <w:p>
            <w:pPr>
              <w:spacing w:after="0" w:line="156" w:lineRule="exact"/>
              <w:rPr>
                <w:rFonts w:ascii="Arial" w:cs="Arial" w:eastAsia="Arial" w:hAnsi="Arial"/>
                <w:sz w:val="18"/>
                <w:szCs w:val="18"/>
                <w:color w:val="0000FF"/>
                <w:w w:val="96"/>
              </w:rPr>
            </w:pPr>
            <w:hyperlink r:id="rId92">
              <w:r>
                <w:rPr>
                  <w:rFonts w:ascii="Arial" w:cs="Arial" w:eastAsia="Arial" w:hAnsi="Arial"/>
                  <w:sz w:val="18"/>
                  <w:szCs w:val="18"/>
                  <w:color w:val="0000FF"/>
                  <w:w w:val="96"/>
                </w:rPr>
                <w:t>Entertainment Operating Company, Inc. and VICI Properties Inc.</w:t>
              </w:r>
            </w:hyperlink>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40" w:type="dxa"/>
            <w:vAlign w:val="bottom"/>
            <w:gridSpan w:val="2"/>
          </w:tcPr>
          <w:p>
            <w:pPr>
              <w:jc w:val="center"/>
              <w:ind w:left="233"/>
              <w:spacing w:after="0"/>
              <w:rPr>
                <w:rFonts w:ascii="Arial" w:cs="Arial" w:eastAsia="Arial" w:hAnsi="Arial"/>
                <w:sz w:val="18"/>
                <w:szCs w:val="18"/>
                <w:color w:val="0000FF"/>
                <w:w w:val="87"/>
              </w:rPr>
            </w:pPr>
            <w:hyperlink r:id="rId93">
              <w:r>
                <w:rPr>
                  <w:rFonts w:ascii="Arial" w:cs="Arial" w:eastAsia="Arial" w:hAnsi="Arial"/>
                  <w:sz w:val="18"/>
                  <w:szCs w:val="18"/>
                  <w:color w:val="0000FF"/>
                  <w:w w:val="87"/>
                </w:rPr>
                <w:t>2.</w:t>
              </w:r>
              <w:r>
                <w:rPr>
                  <w:rFonts w:ascii="Arial" w:cs="Arial" w:eastAsia="Arial" w:hAnsi="Arial"/>
                  <w:sz w:val="18"/>
                  <w:szCs w:val="18"/>
                  <w:u w:val="single" w:color="auto"/>
                  <w:color w:val="0000FF"/>
                  <w:w w:val="87"/>
                </w:rPr>
                <w:t>3</w:t>
              </w:r>
            </w:hyperlink>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80" w:type="dxa"/>
            <w:vAlign w:val="bottom"/>
            <w:gridSpan w:val="21"/>
          </w:tcPr>
          <w:p>
            <w:pPr>
              <w:spacing w:after="0"/>
              <w:rPr>
                <w:rFonts w:ascii="Arial" w:cs="Arial" w:eastAsia="Arial" w:hAnsi="Arial"/>
                <w:sz w:val="18"/>
                <w:szCs w:val="18"/>
                <w:color w:val="0000FF"/>
                <w:w w:val="89"/>
              </w:rPr>
            </w:pPr>
            <w:hyperlink r:id="rId93">
              <w:r>
                <w:rPr>
                  <w:rFonts w:ascii="Arial" w:cs="Arial" w:eastAsia="Arial" w:hAnsi="Arial"/>
                  <w:sz w:val="18"/>
                  <w:szCs w:val="18"/>
                  <w:color w:val="0000FF"/>
                  <w:w w:val="89"/>
                </w:rPr>
                <w:t>Purchase and Sale Agreement dated as of July 11, 2018 by and between Chester</w:t>
              </w:r>
            </w:hyperlink>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6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93">
              <w:r>
                <w:rPr>
                  <w:rFonts w:ascii="Arial" w:cs="Arial" w:eastAsia="Arial" w:hAnsi="Arial"/>
                  <w:sz w:val="18"/>
                  <w:szCs w:val="18"/>
                  <w:color w:val="0000FF"/>
                </w:rPr>
                <w:t>Downs and Marina, LLC and Philadelphia Propco LLC</w:t>
              </w:r>
            </w:hyperlink>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40" w:type="dxa"/>
            <w:vAlign w:val="bottom"/>
            <w:gridSpan w:val="2"/>
          </w:tcPr>
          <w:p>
            <w:pPr>
              <w:jc w:val="center"/>
              <w:ind w:left="233"/>
              <w:spacing w:after="0"/>
              <w:rPr>
                <w:rFonts w:ascii="Arial" w:cs="Arial" w:eastAsia="Arial" w:hAnsi="Arial"/>
                <w:sz w:val="18"/>
                <w:szCs w:val="18"/>
                <w:color w:val="0000FF"/>
                <w:w w:val="87"/>
              </w:rPr>
            </w:pPr>
            <w:hyperlink r:id="rId94">
              <w:r>
                <w:rPr>
                  <w:rFonts w:ascii="Arial" w:cs="Arial" w:eastAsia="Arial" w:hAnsi="Arial"/>
                  <w:sz w:val="18"/>
                  <w:szCs w:val="18"/>
                  <w:color w:val="0000FF"/>
                  <w:w w:val="87"/>
                </w:rPr>
                <w:t>2.</w:t>
              </w:r>
              <w:r>
                <w:rPr>
                  <w:rFonts w:ascii="Arial" w:cs="Arial" w:eastAsia="Arial" w:hAnsi="Arial"/>
                  <w:sz w:val="18"/>
                  <w:szCs w:val="18"/>
                  <w:u w:val="single" w:color="auto"/>
                  <w:color w:val="0000FF"/>
                  <w:w w:val="87"/>
                </w:rPr>
                <w:t>4</w:t>
              </w:r>
            </w:hyperlink>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80" w:type="dxa"/>
            <w:vAlign w:val="bottom"/>
            <w:gridSpan w:val="21"/>
          </w:tcPr>
          <w:p>
            <w:pPr>
              <w:spacing w:after="0"/>
              <w:rPr>
                <w:rFonts w:ascii="Arial" w:cs="Arial" w:eastAsia="Arial" w:hAnsi="Arial"/>
                <w:sz w:val="18"/>
                <w:szCs w:val="18"/>
                <w:color w:val="0000FF"/>
              </w:rPr>
            </w:pPr>
            <w:hyperlink r:id="rId94">
              <w:r>
                <w:rPr>
                  <w:rFonts w:ascii="Arial" w:cs="Arial" w:eastAsia="Arial" w:hAnsi="Arial"/>
                  <w:sz w:val="18"/>
                  <w:szCs w:val="18"/>
                  <w:color w:val="0000FF"/>
                </w:rPr>
                <w:t>Master Transaction Agreement, dated August 4, 2021 by and among the</w:t>
              </w:r>
            </w:hyperlink>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80" w:type="dxa"/>
            <w:vAlign w:val="bottom"/>
            <w:tcBorders>
              <w:top w:val="single" w:sz="8" w:color="0000FF"/>
            </w:tcBorders>
            <w:gridSpan w:val="12"/>
          </w:tcPr>
          <w:p>
            <w:pPr>
              <w:spacing w:after="0" w:line="156" w:lineRule="exact"/>
              <w:rPr>
                <w:rFonts w:ascii="Arial" w:cs="Arial" w:eastAsia="Arial" w:hAnsi="Arial"/>
                <w:sz w:val="18"/>
                <w:szCs w:val="18"/>
                <w:color w:val="0000FF"/>
                <w:w w:val="93"/>
              </w:rPr>
            </w:pPr>
            <w:hyperlink r:id="rId94">
              <w:r>
                <w:rPr>
                  <w:rFonts w:ascii="Arial" w:cs="Arial" w:eastAsia="Arial" w:hAnsi="Arial"/>
                  <w:sz w:val="18"/>
                  <w:szCs w:val="18"/>
                  <w:color w:val="0000FF"/>
                  <w:w w:val="93"/>
                </w:rPr>
                <w:t>Company, MGP, MGP OP, REIT Merger Sub, Existing VICI OP, New</w:t>
              </w:r>
            </w:hyperlink>
          </w:p>
        </w:tc>
        <w:tc>
          <w:tcPr>
            <w:tcW w:w="700" w:type="dxa"/>
            <w:vAlign w:val="bottom"/>
            <w:gridSpan w:val="9"/>
          </w:tcPr>
          <w:p>
            <w:pPr>
              <w:spacing w:after="0" w:line="156" w:lineRule="exact"/>
              <w:rPr>
                <w:rFonts w:ascii="Arial" w:cs="Arial" w:eastAsia="Arial" w:hAnsi="Arial"/>
                <w:sz w:val="18"/>
                <w:szCs w:val="18"/>
                <w:color w:val="0000FF"/>
              </w:rPr>
            </w:pPr>
            <w:hyperlink r:id="rId94">
              <w:r>
                <w:rPr>
                  <w:rFonts w:ascii="Arial" w:cs="Arial" w:eastAsia="Arial" w:hAnsi="Arial"/>
                  <w:sz w:val="18"/>
                  <w:szCs w:val="18"/>
                  <w:color w:val="0000FF"/>
                </w:rPr>
                <w:t>VICI</w:t>
              </w:r>
            </w:hyperlink>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6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94">
              <w:r>
                <w:rPr>
                  <w:rFonts w:ascii="Arial" w:cs="Arial" w:eastAsia="Arial" w:hAnsi="Arial"/>
                  <w:sz w:val="18"/>
                  <w:szCs w:val="18"/>
                  <w:color w:val="0000FF"/>
                  <w:w w:val="91"/>
                </w:rPr>
                <w:t>Operating Company and MGM</w:t>
              </w:r>
            </w:hyperlink>
          </w:p>
        </w:tc>
        <w:tc>
          <w:tcPr>
            <w:tcW w:w="3200" w:type="dxa"/>
            <w:vAlign w:val="bottom"/>
            <w:tcBorders>
              <w:top w:val="single" w:sz="8" w:color="0000FF"/>
            </w:tcBorders>
            <w:gridSpan w:val="8"/>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320" w:type="dxa"/>
            <w:vAlign w:val="bottom"/>
          </w:tcPr>
          <w:p>
            <w:pPr>
              <w:spacing w:after="0"/>
              <w:rPr>
                <w:sz w:val="22"/>
                <w:szCs w:val="22"/>
                <w:color w:val="auto"/>
              </w:rPr>
            </w:pPr>
          </w:p>
        </w:tc>
        <w:tc>
          <w:tcPr>
            <w:tcW w:w="220" w:type="dxa"/>
            <w:vAlign w:val="bottom"/>
            <w:tcBorders>
              <w:bottom w:val="single" w:sz="8" w:color="0000FF"/>
            </w:tcBorders>
          </w:tcPr>
          <w:p>
            <w:pPr>
              <w:jc w:val="center"/>
              <w:spacing w:after="0"/>
              <w:rPr>
                <w:rFonts w:ascii="Arial" w:cs="Arial" w:eastAsia="Arial" w:hAnsi="Arial"/>
                <w:sz w:val="18"/>
                <w:szCs w:val="18"/>
                <w:color w:val="0000FF"/>
                <w:w w:val="87"/>
              </w:rPr>
            </w:pPr>
            <w:hyperlink r:id="rId95">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80" w:type="dxa"/>
            <w:vAlign w:val="bottom"/>
            <w:tcBorders>
              <w:bottom w:val="single" w:sz="8" w:color="0000FF"/>
            </w:tcBorders>
            <w:gridSpan w:val="10"/>
          </w:tcPr>
          <w:p>
            <w:pPr>
              <w:spacing w:after="0"/>
              <w:rPr>
                <w:rFonts w:ascii="Arial" w:cs="Arial" w:eastAsia="Arial" w:hAnsi="Arial"/>
                <w:sz w:val="18"/>
                <w:szCs w:val="18"/>
                <w:color w:val="0000FF"/>
                <w:w w:val="92"/>
              </w:rPr>
            </w:pPr>
            <w:hyperlink r:id="rId95">
              <w:r>
                <w:rPr>
                  <w:rFonts w:ascii="Arial" w:cs="Arial" w:eastAsia="Arial" w:hAnsi="Arial"/>
                  <w:sz w:val="18"/>
                  <w:szCs w:val="18"/>
                  <w:color w:val="0000FF"/>
                  <w:w w:val="92"/>
                </w:rPr>
                <w:t>Articles of Amendment and Restatement of VICI Properties Inc.</w:t>
              </w:r>
            </w:hyperlink>
          </w:p>
        </w:tc>
        <w:tc>
          <w:tcPr>
            <w:tcW w:w="1200" w:type="dxa"/>
            <w:vAlign w:val="bottom"/>
            <w:gridSpan w:val="11"/>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40" w:type="dxa"/>
            <w:vAlign w:val="bottom"/>
            <w:gridSpan w:val="2"/>
          </w:tcPr>
          <w:p>
            <w:pPr>
              <w:jc w:val="center"/>
              <w:ind w:left="233"/>
              <w:spacing w:after="0"/>
              <w:rPr>
                <w:rFonts w:ascii="Arial" w:cs="Arial" w:eastAsia="Arial" w:hAnsi="Arial"/>
                <w:sz w:val="18"/>
                <w:szCs w:val="18"/>
                <w:color w:val="0000FF"/>
                <w:w w:val="87"/>
              </w:rPr>
            </w:pPr>
            <w:hyperlink r:id="rId96">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80" w:type="dxa"/>
            <w:vAlign w:val="bottom"/>
            <w:gridSpan w:val="21"/>
          </w:tcPr>
          <w:p>
            <w:pPr>
              <w:spacing w:after="0"/>
              <w:rPr>
                <w:rFonts w:ascii="Arial" w:cs="Arial" w:eastAsia="Arial" w:hAnsi="Arial"/>
                <w:sz w:val="18"/>
                <w:szCs w:val="18"/>
                <w:color w:val="0000FF"/>
                <w:w w:val="94"/>
              </w:rPr>
            </w:pPr>
            <w:hyperlink r:id="rId96">
              <w:r>
                <w:rPr>
                  <w:rFonts w:ascii="Arial" w:cs="Arial" w:eastAsia="Arial" w:hAnsi="Arial"/>
                  <w:sz w:val="18"/>
                  <w:szCs w:val="18"/>
                  <w:color w:val="0000FF"/>
                  <w:w w:val="94"/>
                </w:rPr>
                <w:t>Articles of Amendment to the Articles of Amendment and Restatement of VICI</w:t>
              </w:r>
            </w:hyperlink>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9"/>
              </w:rPr>
            </w:pPr>
            <w:hyperlink r:id="rId96">
              <w:r>
                <w:rPr>
                  <w:rFonts w:ascii="Arial" w:cs="Arial" w:eastAsia="Arial" w:hAnsi="Arial"/>
                  <w:sz w:val="18"/>
                  <w:szCs w:val="18"/>
                  <w:color w:val="0000FF"/>
                  <w:w w:val="89"/>
                </w:rPr>
                <w:t>Properties Inc.</w:t>
              </w:r>
            </w:hyperlink>
          </w:p>
        </w:tc>
        <w:tc>
          <w:tcPr>
            <w:tcW w:w="4680" w:type="dxa"/>
            <w:vAlign w:val="bottom"/>
            <w:tcBorders>
              <w:top w:val="single" w:sz="8" w:color="0000FF"/>
            </w:tcBorders>
            <w:gridSpan w:val="14"/>
          </w:tcPr>
          <w:p>
            <w:pPr>
              <w:spacing w:after="0"/>
              <w:rPr>
                <w:sz w:val="13"/>
                <w:szCs w:val="13"/>
                <w:color w:val="auto"/>
              </w:rPr>
            </w:pPr>
          </w:p>
        </w:tc>
        <w:tc>
          <w:tcPr>
            <w:tcW w:w="1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540" w:type="dxa"/>
            <w:vAlign w:val="bottom"/>
            <w:gridSpan w:val="2"/>
          </w:tcPr>
          <w:p>
            <w:pPr>
              <w:jc w:val="center"/>
              <w:ind w:left="233"/>
              <w:spacing w:after="0"/>
              <w:rPr>
                <w:rFonts w:ascii="Arial" w:cs="Arial" w:eastAsia="Arial" w:hAnsi="Arial"/>
                <w:sz w:val="18"/>
                <w:szCs w:val="18"/>
                <w:color w:val="0000FF"/>
                <w:w w:val="87"/>
              </w:rPr>
            </w:pPr>
            <w:hyperlink r:id="rId96">
              <w:r>
                <w:rPr>
                  <w:rFonts w:ascii="Arial" w:cs="Arial" w:eastAsia="Arial" w:hAnsi="Arial"/>
                  <w:sz w:val="18"/>
                  <w:szCs w:val="18"/>
                  <w:color w:val="0000FF"/>
                  <w:w w:val="87"/>
                </w:rPr>
                <w:t>3.</w:t>
              </w:r>
              <w:r>
                <w:rPr>
                  <w:rFonts w:ascii="Arial" w:cs="Arial" w:eastAsia="Arial" w:hAnsi="Arial"/>
                  <w:sz w:val="18"/>
                  <w:szCs w:val="18"/>
                  <w:u w:val="single" w:color="auto"/>
                  <w:color w:val="0000FF"/>
                  <w:w w:val="87"/>
                </w:rPr>
                <w:t>3</w:t>
              </w:r>
            </w:hyperlink>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80" w:type="dxa"/>
            <w:vAlign w:val="bottom"/>
            <w:gridSpan w:val="21"/>
          </w:tcPr>
          <w:p>
            <w:pPr>
              <w:spacing w:after="0"/>
              <w:rPr>
                <w:rFonts w:ascii="Arial" w:cs="Arial" w:eastAsia="Arial" w:hAnsi="Arial"/>
                <w:sz w:val="18"/>
                <w:szCs w:val="18"/>
                <w:color w:val="0000FF"/>
                <w:w w:val="94"/>
              </w:rPr>
            </w:pPr>
            <w:hyperlink r:id="rId96">
              <w:r>
                <w:rPr>
                  <w:rFonts w:ascii="Arial" w:cs="Arial" w:eastAsia="Arial" w:hAnsi="Arial"/>
                  <w:sz w:val="18"/>
                  <w:szCs w:val="18"/>
                  <w:color w:val="0000FF"/>
                  <w:w w:val="94"/>
                </w:rPr>
                <w:t>Articles of Amendment to the Articles of Amendment and Restatement of VICI</w:t>
              </w:r>
            </w:hyperlink>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4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96">
              <w:r>
                <w:rPr>
                  <w:rFonts w:ascii="Arial" w:cs="Arial" w:eastAsia="Arial" w:hAnsi="Arial"/>
                  <w:sz w:val="18"/>
                  <w:szCs w:val="18"/>
                  <w:color w:val="0000FF"/>
                </w:rPr>
                <w:t>Properties Inc.</w:t>
              </w:r>
            </w:hyperlink>
          </w:p>
        </w:tc>
        <w:tc>
          <w:tcPr>
            <w:tcW w:w="1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40" w:type="dxa"/>
            <w:vAlign w:val="bottom"/>
            <w:gridSpan w:val="2"/>
          </w:tcPr>
          <w:p>
            <w:pPr>
              <w:jc w:val="center"/>
              <w:ind w:left="233"/>
              <w:spacing w:after="0"/>
              <w:rPr>
                <w:rFonts w:ascii="Arial" w:cs="Arial" w:eastAsia="Arial" w:hAnsi="Arial"/>
                <w:sz w:val="18"/>
                <w:szCs w:val="18"/>
                <w:color w:val="0000FF"/>
                <w:w w:val="87"/>
              </w:rPr>
            </w:pPr>
            <w:hyperlink r:id="rId97">
              <w:r>
                <w:rPr>
                  <w:rFonts w:ascii="Arial" w:cs="Arial" w:eastAsia="Arial" w:hAnsi="Arial"/>
                  <w:sz w:val="18"/>
                  <w:szCs w:val="18"/>
                  <w:color w:val="0000FF"/>
                  <w:w w:val="87"/>
                </w:rPr>
                <w:t>3.</w:t>
              </w:r>
              <w:r>
                <w:rPr>
                  <w:rFonts w:ascii="Arial" w:cs="Arial" w:eastAsia="Arial" w:hAnsi="Arial"/>
                  <w:sz w:val="18"/>
                  <w:szCs w:val="18"/>
                  <w:u w:val="single" w:color="auto"/>
                  <w:color w:val="0000FF"/>
                  <w:w w:val="87"/>
                </w:rPr>
                <w:t>4</w:t>
              </w:r>
            </w:hyperlink>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80" w:type="dxa"/>
            <w:vAlign w:val="bottom"/>
            <w:gridSpan w:val="21"/>
          </w:tcPr>
          <w:p>
            <w:pPr>
              <w:spacing w:after="0"/>
              <w:rPr>
                <w:rFonts w:ascii="Arial" w:cs="Arial" w:eastAsia="Arial" w:hAnsi="Arial"/>
                <w:sz w:val="18"/>
                <w:szCs w:val="18"/>
                <w:color w:val="0000FF"/>
                <w:w w:val="95"/>
              </w:rPr>
            </w:pPr>
            <w:hyperlink r:id="rId98">
              <w:r>
                <w:rPr>
                  <w:rFonts w:ascii="Arial" w:cs="Arial" w:eastAsia="Arial" w:hAnsi="Arial"/>
                  <w:sz w:val="18"/>
                  <w:szCs w:val="18"/>
                  <w:color w:val="0000FF"/>
                  <w:w w:val="95"/>
                </w:rPr>
                <w:t>Amended and Restated Bylaws of VICI Properties Inc. (as amended April 30,</w:t>
              </w:r>
            </w:hyperlink>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98">
              <w:r>
                <w:rPr>
                  <w:rFonts w:ascii="Arial" w:cs="Arial" w:eastAsia="Arial" w:hAnsi="Arial"/>
                  <w:sz w:val="18"/>
                  <w:szCs w:val="18"/>
                  <w:color w:val="0000FF"/>
                  <w:w w:val="86"/>
                </w:rPr>
                <w:t>2020)</w:t>
              </w:r>
            </w:hyperlink>
          </w:p>
        </w:tc>
        <w:tc>
          <w:tcPr>
            <w:tcW w:w="24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320" w:type="dxa"/>
            <w:vAlign w:val="bottom"/>
          </w:tcPr>
          <w:p>
            <w:pPr>
              <w:spacing w:after="0"/>
              <w:rPr>
                <w:sz w:val="22"/>
                <w:szCs w:val="22"/>
                <w:color w:val="auto"/>
              </w:rPr>
            </w:pPr>
          </w:p>
        </w:tc>
        <w:tc>
          <w:tcPr>
            <w:tcW w:w="220" w:type="dxa"/>
            <w:vAlign w:val="bottom"/>
          </w:tcPr>
          <w:p>
            <w:pPr>
              <w:jc w:val="center"/>
              <w:spacing w:after="0"/>
              <w:rPr>
                <w:rFonts w:ascii="Arial" w:cs="Arial" w:eastAsia="Arial" w:hAnsi="Arial"/>
                <w:sz w:val="18"/>
                <w:szCs w:val="18"/>
                <w:color w:val="0000FF"/>
                <w:w w:val="87"/>
              </w:rPr>
            </w:pPr>
            <w:hyperlink r:id="rId99">
              <w:r>
                <w:rPr>
                  <w:rFonts w:ascii="Arial" w:cs="Arial" w:eastAsia="Arial" w:hAnsi="Arial"/>
                  <w:sz w:val="18"/>
                  <w:szCs w:val="18"/>
                  <w:color w:val="0000FF"/>
                  <w:w w:val="87"/>
                </w:rPr>
                <w:t>4.</w:t>
              </w:r>
              <w:r>
                <w:rPr>
                  <w:rFonts w:ascii="Arial" w:cs="Arial" w:eastAsia="Arial" w:hAnsi="Arial"/>
                  <w:sz w:val="18"/>
                  <w:szCs w:val="18"/>
                  <w:u w:val="single" w:color="auto"/>
                  <w:color w:val="0000FF"/>
                  <w:w w:val="87"/>
                </w:rPr>
                <w:t>1</w:t>
              </w:r>
            </w:hyperlink>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80" w:type="dxa"/>
            <w:vAlign w:val="bottom"/>
            <w:gridSpan w:val="21"/>
          </w:tcPr>
          <w:p>
            <w:pPr>
              <w:spacing w:after="0"/>
              <w:rPr>
                <w:rFonts w:ascii="Arial" w:cs="Arial" w:eastAsia="Arial" w:hAnsi="Arial"/>
                <w:sz w:val="18"/>
                <w:szCs w:val="18"/>
                <w:color w:val="0000FF"/>
                <w:w w:val="94"/>
              </w:rPr>
            </w:pPr>
            <w:hyperlink r:id="rId99">
              <w:r>
                <w:rPr>
                  <w:rFonts w:ascii="Arial" w:cs="Arial" w:eastAsia="Arial" w:hAnsi="Arial"/>
                  <w:sz w:val="18"/>
                  <w:szCs w:val="18"/>
                  <w:color w:val="0000FF"/>
                  <w:w w:val="94"/>
                </w:rPr>
                <w:t>4.</w:t>
              </w:r>
              <w:r>
                <w:rPr>
                  <w:rFonts w:ascii="Arial" w:cs="Arial" w:eastAsia="Arial" w:hAnsi="Arial"/>
                  <w:sz w:val="18"/>
                  <w:szCs w:val="18"/>
                  <w:u w:val="single" w:color="auto"/>
                  <w:color w:val="0000FF"/>
                  <w:w w:val="94"/>
                </w:rPr>
                <w:t>250%</w:t>
              </w:r>
              <w:r>
                <w:rPr>
                  <w:rFonts w:ascii="Arial" w:cs="Arial" w:eastAsia="Arial" w:hAnsi="Arial"/>
                  <w:sz w:val="18"/>
                  <w:szCs w:val="18"/>
                  <w:color w:val="0000FF"/>
                  <w:w w:val="94"/>
                </w:rPr>
                <w:t xml:space="preserve"> Senior Notes Indenture, dated as of November 26, 2019, among VICI</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gridSpan w:val="5"/>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40" w:type="dxa"/>
            <w:vAlign w:val="bottom"/>
            <w:gridSpan w:val="5"/>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80" w:type="dxa"/>
            <w:vAlign w:val="bottom"/>
            <w:gridSpan w:val="21"/>
          </w:tcPr>
          <w:p>
            <w:pPr>
              <w:spacing w:after="0" w:line="156" w:lineRule="exact"/>
              <w:rPr>
                <w:rFonts w:ascii="Arial" w:cs="Arial" w:eastAsia="Arial" w:hAnsi="Arial"/>
                <w:sz w:val="18"/>
                <w:szCs w:val="18"/>
                <w:color w:val="0000FF"/>
                <w:w w:val="93"/>
              </w:rPr>
            </w:pPr>
            <w:hyperlink r:id="rId99">
              <w:r>
                <w:rPr>
                  <w:rFonts w:ascii="Arial" w:cs="Arial" w:eastAsia="Arial" w:hAnsi="Arial"/>
                  <w:sz w:val="18"/>
                  <w:szCs w:val="18"/>
                  <w:color w:val="0000FF"/>
                  <w:w w:val="93"/>
                </w:rPr>
                <w:t>Properties L.P., VICI Note Co. Inc., the subsidiary guarantors party thereto and</w:t>
              </w:r>
            </w:hyperlink>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99">
              <w:r>
                <w:rPr>
                  <w:rFonts w:ascii="Arial" w:cs="Arial" w:eastAsia="Arial" w:hAnsi="Arial"/>
                  <w:sz w:val="18"/>
                  <w:szCs w:val="18"/>
                  <w:color w:val="0000FF"/>
                  <w:w w:val="91"/>
                </w:rPr>
                <w:t>UMB Bank, National Association, as trustee.</w:t>
              </w:r>
            </w:hyperlink>
          </w:p>
        </w:tc>
        <w:tc>
          <w:tcPr>
            <w:tcW w:w="2420" w:type="dxa"/>
            <w:vAlign w:val="bottom"/>
            <w:tcBorders>
              <w:top w:val="single" w:sz="8" w:color="0000FF"/>
            </w:tcBorders>
            <w:gridSpan w:val="9"/>
          </w:tcPr>
          <w:p>
            <w:pPr>
              <w:spacing w:after="0"/>
              <w:rPr>
                <w:sz w:val="13"/>
                <w:szCs w:val="13"/>
                <w:color w:val="auto"/>
              </w:rPr>
            </w:pPr>
          </w:p>
        </w:tc>
        <w:tc>
          <w:tcPr>
            <w:tcW w:w="2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320" w:type="dxa"/>
            <w:vAlign w:val="bottom"/>
          </w:tcPr>
          <w:p>
            <w:pPr>
              <w:spacing w:after="0"/>
              <w:rPr>
                <w:sz w:val="22"/>
                <w:szCs w:val="22"/>
                <w:color w:val="auto"/>
              </w:rPr>
            </w:pPr>
          </w:p>
        </w:tc>
        <w:tc>
          <w:tcPr>
            <w:tcW w:w="220" w:type="dxa"/>
            <w:vAlign w:val="bottom"/>
          </w:tcPr>
          <w:p>
            <w:pPr>
              <w:jc w:val="center"/>
              <w:spacing w:after="0"/>
              <w:rPr>
                <w:rFonts w:ascii="Arial" w:cs="Arial" w:eastAsia="Arial" w:hAnsi="Arial"/>
                <w:sz w:val="18"/>
                <w:szCs w:val="18"/>
                <w:color w:val="0000FF"/>
                <w:w w:val="87"/>
              </w:rPr>
            </w:pPr>
            <w:hyperlink r:id="rId100">
              <w:r>
                <w:rPr>
                  <w:rFonts w:ascii="Arial" w:cs="Arial" w:eastAsia="Arial" w:hAnsi="Arial"/>
                  <w:sz w:val="18"/>
                  <w:szCs w:val="18"/>
                  <w:color w:val="0000FF"/>
                  <w:w w:val="87"/>
                </w:rPr>
                <w:t>4.</w:t>
              </w:r>
              <w:r>
                <w:rPr>
                  <w:rFonts w:ascii="Arial" w:cs="Arial" w:eastAsia="Arial" w:hAnsi="Arial"/>
                  <w:sz w:val="18"/>
                  <w:szCs w:val="18"/>
                  <w:u w:val="single" w:color="auto"/>
                  <w:color w:val="0000FF"/>
                  <w:w w:val="87"/>
                </w:rPr>
                <w:t>2</w:t>
              </w:r>
            </w:hyperlink>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80" w:type="dxa"/>
            <w:vAlign w:val="bottom"/>
            <w:gridSpan w:val="21"/>
          </w:tcPr>
          <w:p>
            <w:pPr>
              <w:spacing w:after="0"/>
              <w:rPr>
                <w:rFonts w:ascii="Arial" w:cs="Arial" w:eastAsia="Arial" w:hAnsi="Arial"/>
                <w:sz w:val="18"/>
                <w:szCs w:val="18"/>
                <w:color w:val="0000FF"/>
                <w:w w:val="94"/>
              </w:rPr>
            </w:pPr>
            <w:hyperlink r:id="rId100">
              <w:r>
                <w:rPr>
                  <w:rFonts w:ascii="Arial" w:cs="Arial" w:eastAsia="Arial" w:hAnsi="Arial"/>
                  <w:sz w:val="18"/>
                  <w:szCs w:val="18"/>
                  <w:color w:val="0000FF"/>
                  <w:w w:val="94"/>
                </w:rPr>
                <w:t>4.</w:t>
              </w:r>
              <w:r>
                <w:rPr>
                  <w:rFonts w:ascii="Arial" w:cs="Arial" w:eastAsia="Arial" w:hAnsi="Arial"/>
                  <w:sz w:val="18"/>
                  <w:szCs w:val="18"/>
                  <w:u w:val="single" w:color="auto"/>
                  <w:color w:val="0000FF"/>
                  <w:w w:val="94"/>
                </w:rPr>
                <w:t>625%</w:t>
              </w:r>
              <w:r>
                <w:rPr>
                  <w:rFonts w:ascii="Arial" w:cs="Arial" w:eastAsia="Arial" w:hAnsi="Arial"/>
                  <w:sz w:val="18"/>
                  <w:szCs w:val="18"/>
                  <w:color w:val="0000FF"/>
                  <w:w w:val="94"/>
                </w:rPr>
                <w:t xml:space="preserve"> Senior Notes Indenture, dated as of November 26, 2019, among VICI</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gridSpan w:val="5"/>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2160" w:type="dxa"/>
            <w:vAlign w:val="bottom"/>
            <w:gridSpan w:val="6"/>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80" w:type="dxa"/>
            <w:vAlign w:val="bottom"/>
            <w:gridSpan w:val="21"/>
          </w:tcPr>
          <w:p>
            <w:pPr>
              <w:spacing w:after="0" w:line="156" w:lineRule="exact"/>
              <w:rPr>
                <w:rFonts w:ascii="Arial" w:cs="Arial" w:eastAsia="Arial" w:hAnsi="Arial"/>
                <w:sz w:val="18"/>
                <w:szCs w:val="18"/>
                <w:color w:val="0000FF"/>
                <w:w w:val="93"/>
              </w:rPr>
            </w:pPr>
            <w:hyperlink r:id="rId100">
              <w:r>
                <w:rPr>
                  <w:rFonts w:ascii="Arial" w:cs="Arial" w:eastAsia="Arial" w:hAnsi="Arial"/>
                  <w:sz w:val="18"/>
                  <w:szCs w:val="18"/>
                  <w:color w:val="0000FF"/>
                  <w:w w:val="93"/>
                </w:rPr>
                <w:t>Properties L.P., VICI Note Co. Inc., the subsidiary guarantors party thereto and</w:t>
              </w:r>
            </w:hyperlink>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100">
              <w:r>
                <w:rPr>
                  <w:rFonts w:ascii="Arial" w:cs="Arial" w:eastAsia="Arial" w:hAnsi="Arial"/>
                  <w:sz w:val="18"/>
                  <w:szCs w:val="18"/>
                  <w:color w:val="0000FF"/>
                  <w:w w:val="91"/>
                </w:rPr>
                <w:t>UMB Bank, National Association, as trustee.</w:t>
              </w:r>
            </w:hyperlink>
          </w:p>
        </w:tc>
        <w:tc>
          <w:tcPr>
            <w:tcW w:w="2420" w:type="dxa"/>
            <w:vAlign w:val="bottom"/>
            <w:tcBorders>
              <w:top w:val="single" w:sz="8" w:color="0000FF"/>
            </w:tcBorders>
            <w:gridSpan w:val="9"/>
          </w:tcPr>
          <w:p>
            <w:pPr>
              <w:spacing w:after="0"/>
              <w:rPr>
                <w:sz w:val="13"/>
                <w:szCs w:val="13"/>
                <w:color w:val="auto"/>
              </w:rPr>
            </w:pPr>
          </w:p>
        </w:tc>
        <w:tc>
          <w:tcPr>
            <w:tcW w:w="2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540" w:type="dxa"/>
            <w:vAlign w:val="bottom"/>
            <w:gridSpan w:val="2"/>
          </w:tcPr>
          <w:p>
            <w:pPr>
              <w:jc w:val="center"/>
              <w:ind w:left="233"/>
              <w:spacing w:after="0"/>
              <w:rPr>
                <w:rFonts w:ascii="Arial" w:cs="Arial" w:eastAsia="Arial" w:hAnsi="Arial"/>
                <w:sz w:val="18"/>
                <w:szCs w:val="18"/>
                <w:color w:val="0000FF"/>
                <w:w w:val="87"/>
              </w:rPr>
            </w:pPr>
            <w:hyperlink r:id="rId101">
              <w:r>
                <w:rPr>
                  <w:rFonts w:ascii="Arial" w:cs="Arial" w:eastAsia="Arial" w:hAnsi="Arial"/>
                  <w:sz w:val="18"/>
                  <w:szCs w:val="18"/>
                  <w:color w:val="0000FF"/>
                  <w:w w:val="87"/>
                </w:rPr>
                <w:t>4.</w:t>
              </w:r>
              <w:r>
                <w:rPr>
                  <w:rFonts w:ascii="Arial" w:cs="Arial" w:eastAsia="Arial" w:hAnsi="Arial"/>
                  <w:sz w:val="18"/>
                  <w:szCs w:val="18"/>
                  <w:u w:val="single" w:color="auto"/>
                  <w:color w:val="0000FF"/>
                  <w:w w:val="87"/>
                </w:rPr>
                <w:t>3</w:t>
              </w:r>
            </w:hyperlink>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80" w:type="dxa"/>
            <w:vAlign w:val="bottom"/>
            <w:gridSpan w:val="21"/>
          </w:tcPr>
          <w:p>
            <w:pPr>
              <w:spacing w:after="0"/>
              <w:rPr>
                <w:rFonts w:ascii="Arial" w:cs="Arial" w:eastAsia="Arial" w:hAnsi="Arial"/>
                <w:sz w:val="18"/>
                <w:szCs w:val="18"/>
                <w:color w:val="0000FF"/>
                <w:w w:val="98"/>
              </w:rPr>
            </w:pPr>
            <w:hyperlink r:id="rId101">
              <w:r>
                <w:rPr>
                  <w:rFonts w:ascii="Arial" w:cs="Arial" w:eastAsia="Arial" w:hAnsi="Arial"/>
                  <w:sz w:val="18"/>
                  <w:szCs w:val="18"/>
                  <w:color w:val="0000FF"/>
                  <w:w w:val="98"/>
                </w:rPr>
                <w:t>3.</w:t>
              </w:r>
              <w:r>
                <w:rPr>
                  <w:rFonts w:ascii="Arial" w:cs="Arial" w:eastAsia="Arial" w:hAnsi="Arial"/>
                  <w:sz w:val="18"/>
                  <w:szCs w:val="18"/>
                  <w:u w:val="single" w:color="auto"/>
                  <w:color w:val="0000FF"/>
                  <w:w w:val="98"/>
                </w:rPr>
                <w:t>500%</w:t>
              </w:r>
              <w:r>
                <w:rPr>
                  <w:rFonts w:ascii="Arial" w:cs="Arial" w:eastAsia="Arial" w:hAnsi="Arial"/>
                  <w:sz w:val="18"/>
                  <w:szCs w:val="18"/>
                  <w:color w:val="0000FF"/>
                  <w:w w:val="98"/>
                </w:rPr>
                <w:t xml:space="preserve"> Senior Notes Indenture, dated as of February 5, 2020, among VICI</w:t>
              </w:r>
            </w:hyperlink>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top w:val="single" w:sz="8" w:color="0000FF"/>
            </w:tcBorders>
            <w:gridSpan w:val="13"/>
          </w:tcPr>
          <w:p>
            <w:pPr>
              <w:spacing w:after="0" w:line="156" w:lineRule="exact"/>
              <w:rPr>
                <w:rFonts w:ascii="Arial" w:cs="Arial" w:eastAsia="Arial" w:hAnsi="Arial"/>
                <w:sz w:val="18"/>
                <w:szCs w:val="18"/>
                <w:color w:val="0000FF"/>
                <w:w w:val="90"/>
              </w:rPr>
            </w:pPr>
            <w:hyperlink r:id="rId101">
              <w:r>
                <w:rPr>
                  <w:rFonts w:ascii="Arial" w:cs="Arial" w:eastAsia="Arial" w:hAnsi="Arial"/>
                  <w:sz w:val="18"/>
                  <w:szCs w:val="18"/>
                  <w:color w:val="0000FF"/>
                  <w:w w:val="90"/>
                </w:rPr>
                <w:t>Properties L.P., VICI Note Co. Inc., the subsidiary guarantors party thereto</w:t>
              </w:r>
            </w:hyperlink>
          </w:p>
        </w:tc>
        <w:tc>
          <w:tcPr>
            <w:tcW w:w="480" w:type="dxa"/>
            <w:vAlign w:val="bottom"/>
            <w:gridSpan w:val="8"/>
          </w:tcPr>
          <w:p>
            <w:pPr>
              <w:ind w:left="20"/>
              <w:spacing w:after="0" w:line="156" w:lineRule="exact"/>
              <w:rPr>
                <w:rFonts w:ascii="Arial" w:cs="Arial" w:eastAsia="Arial" w:hAnsi="Arial"/>
                <w:sz w:val="18"/>
                <w:szCs w:val="18"/>
                <w:color w:val="0000FF"/>
              </w:rPr>
            </w:pPr>
            <w:hyperlink r:id="rId101">
              <w:r>
                <w:rPr>
                  <w:rFonts w:ascii="Arial" w:cs="Arial" w:eastAsia="Arial" w:hAnsi="Arial"/>
                  <w:sz w:val="18"/>
                  <w:szCs w:val="18"/>
                  <w:color w:val="0000FF"/>
                </w:rPr>
                <w:t>and</w:t>
              </w:r>
            </w:hyperlink>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101">
              <w:r>
                <w:rPr>
                  <w:rFonts w:ascii="Arial" w:cs="Arial" w:eastAsia="Arial" w:hAnsi="Arial"/>
                  <w:sz w:val="18"/>
                  <w:szCs w:val="18"/>
                  <w:color w:val="0000FF"/>
                  <w:w w:val="91"/>
                </w:rPr>
                <w:t>UMB Bank, National Association, as trustee.</w:t>
              </w:r>
            </w:hyperlink>
          </w:p>
        </w:tc>
        <w:tc>
          <w:tcPr>
            <w:tcW w:w="2420" w:type="dxa"/>
            <w:vAlign w:val="bottom"/>
            <w:tcBorders>
              <w:top w:val="single" w:sz="8" w:color="0000FF"/>
            </w:tcBorders>
            <w:gridSpan w:val="9"/>
          </w:tcPr>
          <w:p>
            <w:pPr>
              <w:spacing w:after="0"/>
              <w:rPr>
                <w:sz w:val="13"/>
                <w:szCs w:val="13"/>
                <w:color w:val="auto"/>
              </w:rPr>
            </w:pPr>
          </w:p>
        </w:tc>
        <w:tc>
          <w:tcPr>
            <w:tcW w:w="2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540" w:type="dxa"/>
            <w:vAlign w:val="bottom"/>
            <w:gridSpan w:val="2"/>
          </w:tcPr>
          <w:p>
            <w:pPr>
              <w:jc w:val="center"/>
              <w:ind w:left="233"/>
              <w:spacing w:after="0"/>
              <w:rPr>
                <w:rFonts w:ascii="Arial" w:cs="Arial" w:eastAsia="Arial" w:hAnsi="Arial"/>
                <w:sz w:val="18"/>
                <w:szCs w:val="18"/>
                <w:color w:val="0000FF"/>
                <w:w w:val="87"/>
              </w:rPr>
            </w:pPr>
            <w:hyperlink r:id="rId102">
              <w:r>
                <w:rPr>
                  <w:rFonts w:ascii="Arial" w:cs="Arial" w:eastAsia="Arial" w:hAnsi="Arial"/>
                  <w:sz w:val="18"/>
                  <w:szCs w:val="18"/>
                  <w:color w:val="0000FF"/>
                  <w:w w:val="87"/>
                </w:rPr>
                <w:t>4.</w:t>
              </w:r>
              <w:r>
                <w:rPr>
                  <w:rFonts w:ascii="Arial" w:cs="Arial" w:eastAsia="Arial" w:hAnsi="Arial"/>
                  <w:sz w:val="18"/>
                  <w:szCs w:val="18"/>
                  <w:u w:val="single" w:color="auto"/>
                  <w:color w:val="0000FF"/>
                  <w:w w:val="87"/>
                </w:rPr>
                <w:t>4</w:t>
              </w:r>
            </w:hyperlink>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80" w:type="dxa"/>
            <w:vAlign w:val="bottom"/>
            <w:gridSpan w:val="21"/>
          </w:tcPr>
          <w:p>
            <w:pPr>
              <w:spacing w:after="0"/>
              <w:rPr>
                <w:rFonts w:ascii="Arial" w:cs="Arial" w:eastAsia="Arial" w:hAnsi="Arial"/>
                <w:sz w:val="18"/>
                <w:szCs w:val="18"/>
                <w:color w:val="0000FF"/>
                <w:w w:val="98"/>
              </w:rPr>
            </w:pPr>
            <w:hyperlink r:id="rId102">
              <w:r>
                <w:rPr>
                  <w:rFonts w:ascii="Arial" w:cs="Arial" w:eastAsia="Arial" w:hAnsi="Arial"/>
                  <w:sz w:val="18"/>
                  <w:szCs w:val="18"/>
                  <w:color w:val="0000FF"/>
                  <w:w w:val="98"/>
                </w:rPr>
                <w:t>3.</w:t>
              </w:r>
              <w:r>
                <w:rPr>
                  <w:rFonts w:ascii="Arial" w:cs="Arial" w:eastAsia="Arial" w:hAnsi="Arial"/>
                  <w:sz w:val="18"/>
                  <w:szCs w:val="18"/>
                  <w:u w:val="single" w:color="auto"/>
                  <w:color w:val="0000FF"/>
                  <w:w w:val="98"/>
                </w:rPr>
                <w:t>750%</w:t>
              </w:r>
              <w:r>
                <w:rPr>
                  <w:rFonts w:ascii="Arial" w:cs="Arial" w:eastAsia="Arial" w:hAnsi="Arial"/>
                  <w:sz w:val="18"/>
                  <w:szCs w:val="18"/>
                  <w:color w:val="0000FF"/>
                  <w:w w:val="98"/>
                </w:rPr>
                <w:t xml:space="preserve"> Senior Notes Indenture, dated as of February 5, 2020, among VICI</w:t>
              </w:r>
            </w:hyperlink>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top w:val="single" w:sz="8" w:color="0000FF"/>
            </w:tcBorders>
            <w:gridSpan w:val="13"/>
          </w:tcPr>
          <w:p>
            <w:pPr>
              <w:spacing w:after="0" w:line="156" w:lineRule="exact"/>
              <w:rPr>
                <w:rFonts w:ascii="Arial" w:cs="Arial" w:eastAsia="Arial" w:hAnsi="Arial"/>
                <w:sz w:val="18"/>
                <w:szCs w:val="18"/>
                <w:color w:val="0000FF"/>
                <w:w w:val="90"/>
              </w:rPr>
            </w:pPr>
            <w:hyperlink r:id="rId102">
              <w:r>
                <w:rPr>
                  <w:rFonts w:ascii="Arial" w:cs="Arial" w:eastAsia="Arial" w:hAnsi="Arial"/>
                  <w:sz w:val="18"/>
                  <w:szCs w:val="18"/>
                  <w:color w:val="0000FF"/>
                  <w:w w:val="90"/>
                </w:rPr>
                <w:t>Properties L.P., VICI Note Co. Inc., the subsidiary guarantors party thereto</w:t>
              </w:r>
            </w:hyperlink>
          </w:p>
        </w:tc>
        <w:tc>
          <w:tcPr>
            <w:tcW w:w="480" w:type="dxa"/>
            <w:vAlign w:val="bottom"/>
            <w:gridSpan w:val="8"/>
          </w:tcPr>
          <w:p>
            <w:pPr>
              <w:ind w:left="20"/>
              <w:spacing w:after="0" w:line="156" w:lineRule="exact"/>
              <w:rPr>
                <w:rFonts w:ascii="Arial" w:cs="Arial" w:eastAsia="Arial" w:hAnsi="Arial"/>
                <w:sz w:val="18"/>
                <w:szCs w:val="18"/>
                <w:color w:val="0000FF"/>
              </w:rPr>
            </w:pPr>
            <w:hyperlink r:id="rId102">
              <w:r>
                <w:rPr>
                  <w:rFonts w:ascii="Arial" w:cs="Arial" w:eastAsia="Arial" w:hAnsi="Arial"/>
                  <w:sz w:val="18"/>
                  <w:szCs w:val="18"/>
                  <w:color w:val="0000FF"/>
                </w:rPr>
                <w:t>and</w:t>
              </w:r>
            </w:hyperlink>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102">
              <w:r>
                <w:rPr>
                  <w:rFonts w:ascii="Arial" w:cs="Arial" w:eastAsia="Arial" w:hAnsi="Arial"/>
                  <w:sz w:val="18"/>
                  <w:szCs w:val="18"/>
                  <w:color w:val="0000FF"/>
                  <w:w w:val="91"/>
                </w:rPr>
                <w:t>UMB Bank, National Association, as trustee.</w:t>
              </w:r>
            </w:hyperlink>
          </w:p>
        </w:tc>
        <w:tc>
          <w:tcPr>
            <w:tcW w:w="2420" w:type="dxa"/>
            <w:vAlign w:val="bottom"/>
            <w:tcBorders>
              <w:top w:val="single" w:sz="8" w:color="0000FF"/>
            </w:tcBorders>
            <w:gridSpan w:val="9"/>
          </w:tcPr>
          <w:p>
            <w:pPr>
              <w:spacing w:after="0"/>
              <w:rPr>
                <w:sz w:val="13"/>
                <w:szCs w:val="13"/>
                <w:color w:val="auto"/>
              </w:rPr>
            </w:pPr>
          </w:p>
        </w:tc>
        <w:tc>
          <w:tcPr>
            <w:tcW w:w="2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540" w:type="dxa"/>
            <w:vAlign w:val="bottom"/>
            <w:gridSpan w:val="2"/>
          </w:tcPr>
          <w:p>
            <w:pPr>
              <w:jc w:val="center"/>
              <w:ind w:left="233"/>
              <w:spacing w:after="0"/>
              <w:rPr>
                <w:rFonts w:ascii="Arial" w:cs="Arial" w:eastAsia="Arial" w:hAnsi="Arial"/>
                <w:sz w:val="18"/>
                <w:szCs w:val="18"/>
                <w:color w:val="0000FF"/>
                <w:w w:val="87"/>
              </w:rPr>
            </w:pPr>
            <w:hyperlink r:id="rId103">
              <w:r>
                <w:rPr>
                  <w:rFonts w:ascii="Arial" w:cs="Arial" w:eastAsia="Arial" w:hAnsi="Arial"/>
                  <w:sz w:val="18"/>
                  <w:szCs w:val="18"/>
                  <w:color w:val="0000FF"/>
                  <w:w w:val="87"/>
                </w:rPr>
                <w:t>4.</w:t>
              </w:r>
              <w:r>
                <w:rPr>
                  <w:rFonts w:ascii="Arial" w:cs="Arial" w:eastAsia="Arial" w:hAnsi="Arial"/>
                  <w:sz w:val="18"/>
                  <w:szCs w:val="18"/>
                  <w:u w:val="single" w:color="auto"/>
                  <w:color w:val="0000FF"/>
                  <w:w w:val="87"/>
                </w:rPr>
                <w:t>5</w:t>
              </w:r>
            </w:hyperlink>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80" w:type="dxa"/>
            <w:vAlign w:val="bottom"/>
            <w:gridSpan w:val="21"/>
          </w:tcPr>
          <w:p>
            <w:pPr>
              <w:spacing w:after="0"/>
              <w:rPr>
                <w:rFonts w:ascii="Arial" w:cs="Arial" w:eastAsia="Arial" w:hAnsi="Arial"/>
                <w:sz w:val="18"/>
                <w:szCs w:val="18"/>
                <w:color w:val="0000FF"/>
                <w:w w:val="98"/>
              </w:rPr>
            </w:pPr>
            <w:hyperlink r:id="rId103">
              <w:r>
                <w:rPr>
                  <w:rFonts w:ascii="Arial" w:cs="Arial" w:eastAsia="Arial" w:hAnsi="Arial"/>
                  <w:sz w:val="18"/>
                  <w:szCs w:val="18"/>
                  <w:color w:val="0000FF"/>
                  <w:w w:val="98"/>
                </w:rPr>
                <w:t>4.</w:t>
              </w:r>
              <w:r>
                <w:rPr>
                  <w:rFonts w:ascii="Arial" w:cs="Arial" w:eastAsia="Arial" w:hAnsi="Arial"/>
                  <w:sz w:val="18"/>
                  <w:szCs w:val="18"/>
                  <w:u w:val="single" w:color="auto"/>
                  <w:color w:val="0000FF"/>
                  <w:w w:val="98"/>
                </w:rPr>
                <w:t>125%</w:t>
              </w:r>
              <w:r>
                <w:rPr>
                  <w:rFonts w:ascii="Arial" w:cs="Arial" w:eastAsia="Arial" w:hAnsi="Arial"/>
                  <w:sz w:val="18"/>
                  <w:szCs w:val="18"/>
                  <w:color w:val="0000FF"/>
                  <w:w w:val="98"/>
                </w:rPr>
                <w:t xml:space="preserve"> Senior Notes Indenture, dated as of February 5, 2020, among VICI</w:t>
              </w:r>
            </w:hyperlink>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top w:val="single" w:sz="8" w:color="0000FF"/>
            </w:tcBorders>
            <w:gridSpan w:val="13"/>
          </w:tcPr>
          <w:p>
            <w:pPr>
              <w:spacing w:after="0" w:line="156" w:lineRule="exact"/>
              <w:rPr>
                <w:rFonts w:ascii="Arial" w:cs="Arial" w:eastAsia="Arial" w:hAnsi="Arial"/>
                <w:sz w:val="18"/>
                <w:szCs w:val="18"/>
                <w:color w:val="0000FF"/>
                <w:w w:val="90"/>
              </w:rPr>
            </w:pPr>
            <w:hyperlink r:id="rId103">
              <w:r>
                <w:rPr>
                  <w:rFonts w:ascii="Arial" w:cs="Arial" w:eastAsia="Arial" w:hAnsi="Arial"/>
                  <w:sz w:val="18"/>
                  <w:szCs w:val="18"/>
                  <w:color w:val="0000FF"/>
                  <w:w w:val="90"/>
                </w:rPr>
                <w:t>Properties L.P., VICI Note Co. Inc., the subsidiary guarantors party thereto</w:t>
              </w:r>
            </w:hyperlink>
          </w:p>
        </w:tc>
        <w:tc>
          <w:tcPr>
            <w:tcW w:w="480" w:type="dxa"/>
            <w:vAlign w:val="bottom"/>
            <w:gridSpan w:val="8"/>
          </w:tcPr>
          <w:p>
            <w:pPr>
              <w:ind w:left="20"/>
              <w:spacing w:after="0" w:line="156" w:lineRule="exact"/>
              <w:rPr>
                <w:rFonts w:ascii="Arial" w:cs="Arial" w:eastAsia="Arial" w:hAnsi="Arial"/>
                <w:sz w:val="18"/>
                <w:szCs w:val="18"/>
                <w:color w:val="0000FF"/>
              </w:rPr>
            </w:pPr>
            <w:hyperlink r:id="rId103">
              <w:r>
                <w:rPr>
                  <w:rFonts w:ascii="Arial" w:cs="Arial" w:eastAsia="Arial" w:hAnsi="Arial"/>
                  <w:sz w:val="18"/>
                  <w:szCs w:val="18"/>
                  <w:color w:val="0000FF"/>
                </w:rPr>
                <w:t>and</w:t>
              </w:r>
            </w:hyperlink>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4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103">
              <w:r>
                <w:rPr>
                  <w:rFonts w:ascii="Arial" w:cs="Arial" w:eastAsia="Arial" w:hAnsi="Arial"/>
                  <w:sz w:val="18"/>
                  <w:szCs w:val="18"/>
                  <w:color w:val="0000FF"/>
                  <w:w w:val="91"/>
                </w:rPr>
                <w:t>UMB Bank, National Association, as trustee.</w:t>
              </w:r>
            </w:hyperlink>
          </w:p>
        </w:tc>
        <w:tc>
          <w:tcPr>
            <w:tcW w:w="2440" w:type="dxa"/>
            <w:vAlign w:val="bottom"/>
            <w:tcBorders>
              <w:top w:val="single" w:sz="8" w:color="0000FF"/>
            </w:tcBorders>
            <w:gridSpan w:val="10"/>
          </w:tcPr>
          <w:p>
            <w:pPr>
              <w:spacing w:after="0"/>
              <w:rPr>
                <w:sz w:val="13"/>
                <w:szCs w:val="13"/>
                <w:color w:val="auto"/>
              </w:rPr>
            </w:pPr>
          </w:p>
        </w:tc>
        <w:tc>
          <w:tcPr>
            <w:tcW w:w="2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320" w:type="dxa"/>
            <w:vAlign w:val="bottom"/>
          </w:tcPr>
          <w:p>
            <w:pPr>
              <w:spacing w:after="0"/>
              <w:rPr>
                <w:sz w:val="22"/>
                <w:szCs w:val="22"/>
                <w:color w:val="auto"/>
              </w:rPr>
            </w:pPr>
          </w:p>
        </w:tc>
        <w:tc>
          <w:tcPr>
            <w:tcW w:w="220" w:type="dxa"/>
            <w:vAlign w:val="bottom"/>
            <w:tcBorders>
              <w:bottom w:val="single" w:sz="8" w:color="0000FF"/>
            </w:tcBorders>
          </w:tcPr>
          <w:p>
            <w:pPr>
              <w:jc w:val="center"/>
              <w:spacing w:after="0"/>
              <w:rPr>
                <w:rFonts w:ascii="Arial" w:cs="Arial" w:eastAsia="Arial" w:hAnsi="Arial"/>
                <w:sz w:val="18"/>
                <w:szCs w:val="18"/>
                <w:color w:val="0000FF"/>
                <w:w w:val="87"/>
              </w:rPr>
            </w:pPr>
            <w:hyperlink w:anchor="page145">
              <w:r>
                <w:rPr>
                  <w:rFonts w:ascii="Arial" w:cs="Arial" w:eastAsia="Arial" w:hAnsi="Arial"/>
                  <w:sz w:val="18"/>
                  <w:szCs w:val="18"/>
                  <w:color w:val="0000FF"/>
                  <w:w w:val="87"/>
                </w:rPr>
                <w:t>4.</w:t>
              </w:r>
              <w:r>
                <w:rPr>
                  <w:rFonts w:ascii="Arial" w:cs="Arial" w:eastAsia="Arial" w:hAnsi="Arial"/>
                  <w:sz w:val="18"/>
                  <w:szCs w:val="18"/>
                  <w:u w:val="single" w:color="auto"/>
                  <w:color w:val="0000FF"/>
                  <w:w w:val="87"/>
                </w:rPr>
                <w:t>6</w:t>
              </w:r>
            </w:hyperlink>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80" w:type="dxa"/>
            <w:vAlign w:val="bottom"/>
            <w:tcBorders>
              <w:bottom w:val="single" w:sz="8" w:color="0000FF"/>
            </w:tcBorders>
            <w:gridSpan w:val="5"/>
          </w:tcPr>
          <w:p>
            <w:pPr>
              <w:spacing w:after="0"/>
              <w:rPr>
                <w:rFonts w:ascii="Arial" w:cs="Arial" w:eastAsia="Arial" w:hAnsi="Arial"/>
                <w:sz w:val="18"/>
                <w:szCs w:val="18"/>
                <w:color w:val="0000FF"/>
                <w:w w:val="90"/>
              </w:rPr>
            </w:pPr>
            <w:hyperlink w:anchor="page145">
              <w:r>
                <w:rPr>
                  <w:rFonts w:ascii="Arial" w:cs="Arial" w:eastAsia="Arial" w:hAnsi="Arial"/>
                  <w:sz w:val="18"/>
                  <w:szCs w:val="18"/>
                  <w:color w:val="0000FF"/>
                  <w:w w:val="90"/>
                </w:rPr>
                <w:t>Description of Securities</w:t>
              </w:r>
            </w:hyperlink>
          </w:p>
        </w:tc>
        <w:tc>
          <w:tcPr>
            <w:tcW w:w="4100" w:type="dxa"/>
            <w:vAlign w:val="bottom"/>
            <w:gridSpan w:val="16"/>
          </w:tcPr>
          <w:p>
            <w:pPr>
              <w:spacing w:after="0"/>
              <w:rPr>
                <w:sz w:val="22"/>
                <w:szCs w:val="22"/>
                <w:color w:val="auto"/>
              </w:rPr>
            </w:pPr>
          </w:p>
        </w:tc>
        <w:tc>
          <w:tcPr>
            <w:tcW w:w="0" w:type="dxa"/>
            <w:vAlign w:val="bottom"/>
          </w:tcPr>
          <w:p>
            <w:pPr>
              <w:spacing w:after="0"/>
              <w:rPr>
                <w:sz w:val="1"/>
                <w:szCs w:val="1"/>
                <w:color w:val="auto"/>
              </w:rPr>
            </w:pPr>
          </w:p>
        </w:tc>
      </w:tr>
      <w:tr>
        <w:trPr>
          <w:trHeight w:val="911"/>
        </w:trPr>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0" w:type="dxa"/>
            <w:vAlign w:val="bottom"/>
            <w:gridSpan w:val="12"/>
          </w:tcPr>
          <w:p>
            <w:pPr>
              <w:jc w:val="right"/>
              <w:ind w:right="240"/>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0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21"/>
        </w:trPr>
        <w:tc>
          <w:tcPr>
            <w:tcW w:w="980" w:type="dxa"/>
            <w:vAlign w:val="bottom"/>
            <w:gridSpan w:val="2"/>
          </w:tcPr>
          <w:p>
            <w:pPr>
              <w:jc w:val="center"/>
              <w:ind w:right="100"/>
              <w:spacing w:after="0" w:line="122" w:lineRule="exact"/>
              <w:rPr>
                <w:sz w:val="20"/>
                <w:szCs w:val="20"/>
                <w:color w:val="auto"/>
              </w:rPr>
            </w:pPr>
            <w:r>
              <w:rPr>
                <w:rFonts w:ascii="Arial" w:cs="Arial" w:eastAsia="Arial" w:hAnsi="Arial"/>
                <w:sz w:val="14"/>
                <w:szCs w:val="14"/>
                <w:b w:val="1"/>
                <w:bCs w:val="1"/>
                <w:color w:val="auto"/>
                <w:w w:val="97"/>
              </w:rPr>
              <w:t>Filed</w:t>
            </w: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Form</w:t>
            </w:r>
          </w:p>
        </w:tc>
        <w:tc>
          <w:tcPr>
            <w:tcW w:w="9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Exhibit</w:t>
            </w:r>
          </w:p>
        </w:tc>
        <w:tc>
          <w:tcPr>
            <w:tcW w:w="11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88"/>
        </w:trPr>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Herewith</w:t>
            </w:r>
          </w:p>
        </w:tc>
        <w:tc>
          <w:tcPr>
            <w:tcW w:w="116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6"/>
              </w:rPr>
              <w:t>T-3/A of</w:t>
            </w:r>
          </w:p>
        </w:tc>
        <w:tc>
          <w:tcPr>
            <w:tcW w:w="10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rPr>
              <w:t>VICI</w:t>
            </w: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3"/>
              </w:rPr>
              <w:t>T3E-2</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89"/>
              </w:rPr>
              <w:t>8/11/2017</w:t>
            </w:r>
          </w:p>
        </w:tc>
        <w:tc>
          <w:tcPr>
            <w:tcW w:w="0" w:type="dxa"/>
            <w:vAlign w:val="bottom"/>
          </w:tcPr>
          <w:p>
            <w:pPr>
              <w:spacing w:after="0"/>
              <w:rPr>
                <w:sz w:val="1"/>
                <w:szCs w:val="1"/>
                <w:color w:val="auto"/>
              </w:rPr>
            </w:pPr>
          </w:p>
        </w:tc>
      </w:tr>
      <w:tr>
        <w:trPr>
          <w:trHeight w:val="135"/>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restart"/>
          </w:tcPr>
          <w:p>
            <w:pPr>
              <w:jc w:val="center"/>
              <w:ind w:right="100"/>
              <w:spacing w:after="0" w:line="176" w:lineRule="exact"/>
              <w:rPr>
                <w:sz w:val="20"/>
                <w:szCs w:val="20"/>
                <w:color w:val="auto"/>
              </w:rPr>
            </w:pPr>
            <w:r>
              <w:rPr>
                <w:rFonts w:ascii="Arial" w:cs="Arial" w:eastAsia="Arial" w:hAnsi="Arial"/>
                <w:sz w:val="18"/>
                <w:szCs w:val="18"/>
                <w:color w:val="auto"/>
                <w:w w:val="88"/>
              </w:rPr>
              <w:t>Properties 1</w:t>
            </w:r>
          </w:p>
        </w:tc>
        <w:tc>
          <w:tcPr>
            <w:tcW w:w="960" w:type="dxa"/>
            <w:vAlign w:val="bottom"/>
            <w:gridSpan w:val="2"/>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rPr>
              <w:t>LLC</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10/11/2017</w:t>
            </w:r>
          </w:p>
        </w:tc>
        <w:tc>
          <w:tcPr>
            <w:tcW w:w="0" w:type="dxa"/>
            <w:vAlign w:val="bottom"/>
          </w:tcPr>
          <w:p>
            <w:pPr>
              <w:spacing w:after="0"/>
              <w:rPr>
                <w:sz w:val="1"/>
                <w:szCs w:val="1"/>
                <w:color w:val="auto"/>
              </w:rPr>
            </w:pPr>
          </w:p>
        </w:tc>
      </w:tr>
      <w:tr>
        <w:trPr>
          <w:trHeight w:val="459"/>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7/12/2018</w:t>
            </w:r>
          </w:p>
        </w:tc>
        <w:tc>
          <w:tcPr>
            <w:tcW w:w="0" w:type="dxa"/>
            <w:vAlign w:val="bottom"/>
          </w:tcPr>
          <w:p>
            <w:pPr>
              <w:spacing w:after="0"/>
              <w:rPr>
                <w:sz w:val="1"/>
                <w:szCs w:val="1"/>
                <w:color w:val="auto"/>
              </w:rPr>
            </w:pPr>
          </w:p>
        </w:tc>
      </w:tr>
      <w:tr>
        <w:trPr>
          <w:trHeight w:val="553"/>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8/5/2021</w:t>
            </w:r>
          </w:p>
        </w:tc>
        <w:tc>
          <w:tcPr>
            <w:tcW w:w="0" w:type="dxa"/>
            <w:vAlign w:val="bottom"/>
          </w:tcPr>
          <w:p>
            <w:pPr>
              <w:spacing w:after="0"/>
              <w:rPr>
                <w:sz w:val="1"/>
                <w:szCs w:val="1"/>
                <w:color w:val="auto"/>
              </w:rPr>
            </w:pPr>
          </w:p>
        </w:tc>
      </w:tr>
      <w:tr>
        <w:trPr>
          <w:trHeight w:val="459"/>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10/11/2017</w:t>
            </w:r>
          </w:p>
        </w:tc>
        <w:tc>
          <w:tcPr>
            <w:tcW w:w="0" w:type="dxa"/>
            <w:vAlign w:val="bottom"/>
          </w:tcPr>
          <w:p>
            <w:pPr>
              <w:spacing w:after="0"/>
              <w:rPr>
                <w:sz w:val="1"/>
                <w:szCs w:val="1"/>
                <w:color w:val="auto"/>
              </w:rPr>
            </w:pPr>
          </w:p>
        </w:tc>
      </w:tr>
      <w:tr>
        <w:trPr>
          <w:trHeight w:val="459"/>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3/3/2021</w:t>
            </w:r>
          </w:p>
        </w:tc>
        <w:tc>
          <w:tcPr>
            <w:tcW w:w="0" w:type="dxa"/>
            <w:vAlign w:val="bottom"/>
          </w:tcPr>
          <w:p>
            <w:pPr>
              <w:spacing w:after="0"/>
              <w:rPr>
                <w:sz w:val="1"/>
                <w:szCs w:val="1"/>
                <w:color w:val="auto"/>
              </w:rPr>
            </w:pPr>
          </w:p>
        </w:tc>
      </w:tr>
      <w:tr>
        <w:trPr>
          <w:trHeight w:val="365"/>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9/14/2021</w:t>
            </w:r>
          </w:p>
        </w:tc>
        <w:tc>
          <w:tcPr>
            <w:tcW w:w="0" w:type="dxa"/>
            <w:vAlign w:val="bottom"/>
          </w:tcPr>
          <w:p>
            <w:pPr>
              <w:spacing w:after="0"/>
              <w:rPr>
                <w:sz w:val="1"/>
                <w:szCs w:val="1"/>
                <w:color w:val="auto"/>
              </w:rPr>
            </w:pPr>
          </w:p>
        </w:tc>
      </w:tr>
      <w:tr>
        <w:trPr>
          <w:trHeight w:val="459"/>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10-Q</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7/29/2020</w:t>
            </w:r>
          </w:p>
        </w:tc>
        <w:tc>
          <w:tcPr>
            <w:tcW w:w="0" w:type="dxa"/>
            <w:vAlign w:val="bottom"/>
          </w:tcPr>
          <w:p>
            <w:pPr>
              <w:spacing w:after="0"/>
              <w:rPr>
                <w:sz w:val="1"/>
                <w:szCs w:val="1"/>
                <w:color w:val="auto"/>
              </w:rPr>
            </w:pPr>
          </w:p>
        </w:tc>
      </w:tr>
      <w:tr>
        <w:trPr>
          <w:trHeight w:val="554"/>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11/26/2019</w:t>
            </w:r>
          </w:p>
        </w:tc>
        <w:tc>
          <w:tcPr>
            <w:tcW w:w="0" w:type="dxa"/>
            <w:vAlign w:val="bottom"/>
          </w:tcPr>
          <w:p>
            <w:pPr>
              <w:spacing w:after="0"/>
              <w:rPr>
                <w:sz w:val="1"/>
                <w:szCs w:val="1"/>
                <w:color w:val="auto"/>
              </w:rPr>
            </w:pPr>
          </w:p>
        </w:tc>
      </w:tr>
      <w:tr>
        <w:trPr>
          <w:trHeight w:val="634"/>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11/26/2019</w:t>
            </w:r>
          </w:p>
        </w:tc>
        <w:tc>
          <w:tcPr>
            <w:tcW w:w="0" w:type="dxa"/>
            <w:vAlign w:val="bottom"/>
          </w:tcPr>
          <w:p>
            <w:pPr>
              <w:spacing w:after="0"/>
              <w:rPr>
                <w:sz w:val="1"/>
                <w:szCs w:val="1"/>
                <w:color w:val="auto"/>
              </w:rPr>
            </w:pPr>
          </w:p>
        </w:tc>
      </w:tr>
      <w:tr>
        <w:trPr>
          <w:trHeight w:val="635"/>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2/20/2020</w:t>
            </w:r>
          </w:p>
        </w:tc>
        <w:tc>
          <w:tcPr>
            <w:tcW w:w="0" w:type="dxa"/>
            <w:vAlign w:val="bottom"/>
          </w:tcPr>
          <w:p>
            <w:pPr>
              <w:spacing w:after="0"/>
              <w:rPr>
                <w:sz w:val="1"/>
                <w:szCs w:val="1"/>
                <w:color w:val="auto"/>
              </w:rPr>
            </w:pPr>
          </w:p>
        </w:tc>
      </w:tr>
      <w:tr>
        <w:trPr>
          <w:trHeight w:val="635"/>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11/26/2019</w:t>
            </w:r>
          </w:p>
        </w:tc>
        <w:tc>
          <w:tcPr>
            <w:tcW w:w="0" w:type="dxa"/>
            <w:vAlign w:val="bottom"/>
          </w:tcPr>
          <w:p>
            <w:pPr>
              <w:spacing w:after="0"/>
              <w:rPr>
                <w:sz w:val="1"/>
                <w:szCs w:val="1"/>
                <w:color w:val="auto"/>
              </w:rPr>
            </w:pPr>
          </w:p>
        </w:tc>
      </w:tr>
      <w:tr>
        <w:trPr>
          <w:trHeight w:val="634"/>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2/20/2020</w:t>
            </w:r>
          </w:p>
        </w:tc>
        <w:tc>
          <w:tcPr>
            <w:tcW w:w="0" w:type="dxa"/>
            <w:vAlign w:val="bottom"/>
          </w:tcPr>
          <w:p>
            <w:pPr>
              <w:spacing w:after="0"/>
              <w:rPr>
                <w:sz w:val="1"/>
                <w:szCs w:val="1"/>
                <w:color w:val="auto"/>
              </w:rPr>
            </w:pPr>
          </w:p>
        </w:tc>
      </w:tr>
      <w:tr>
        <w:trPr>
          <w:trHeight w:val="459"/>
        </w:trPr>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6860" w:space="100"/>
            <w:col w:w="4280"/>
          </w:cols>
          <w:pgMar w:left="320" w:top="476"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1" w:lineRule="exact"/>
        <w:rPr>
          <w:sz w:val="20"/>
          <w:szCs w:val="20"/>
          <w:color w:val="auto"/>
        </w:rPr>
      </w:pPr>
    </w:p>
    <w:p>
      <w:pPr>
        <w:ind w:left="980" w:right="80" w:hanging="701"/>
        <w:spacing w:after="0" w:line="219" w:lineRule="auto"/>
        <w:tabs>
          <w:tab w:leader="none" w:pos="960" w:val="left"/>
        </w:tabs>
        <w:rPr>
          <w:rFonts w:ascii="Arial" w:cs="Arial" w:eastAsia="Arial" w:hAnsi="Arial"/>
          <w:sz w:val="18"/>
          <w:szCs w:val="18"/>
          <w:u w:val="single" w:color="auto"/>
          <w:color w:val="0000FF"/>
        </w:rPr>
      </w:pPr>
      <w:hyperlink r:id="rId105">
        <w:r>
          <w:rPr>
            <w:rFonts w:ascii="Arial" w:cs="Arial" w:eastAsia="Arial" w:hAnsi="Arial"/>
            <w:sz w:val="18"/>
            <w:szCs w:val="18"/>
            <w:u w:val="single" w:color="auto"/>
            <w:color w:val="0000FF"/>
          </w:rPr>
          <w:t>10.1</w:t>
        </w:r>
      </w:hyperlink>
      <w:r>
        <w:rPr>
          <w:rFonts w:ascii="Arial" w:cs="Arial" w:eastAsia="Arial" w:hAnsi="Arial"/>
          <w:sz w:val="18"/>
          <w:szCs w:val="18"/>
          <w:u w:val="single" w:color="auto"/>
          <w:color w:val="0000FF"/>
        </w:rPr>
        <w:tab/>
      </w:r>
      <w:hyperlink r:id="rId105">
        <w:r>
          <w:rPr>
            <w:rFonts w:ascii="Arial" w:cs="Arial" w:eastAsia="Arial" w:hAnsi="Arial"/>
            <w:sz w:val="18"/>
            <w:szCs w:val="18"/>
            <w:u w:val="single" w:color="auto"/>
            <w:color w:val="0000FF"/>
          </w:rPr>
          <w:t>Las Vegas Lease (Conformed through Second Amendment), dated as of July 20,</w:t>
        </w:r>
      </w:hyperlink>
      <w:r>
        <w:rPr>
          <w:rFonts w:ascii="Arial" w:cs="Arial" w:eastAsia="Arial" w:hAnsi="Arial"/>
          <w:sz w:val="18"/>
          <w:szCs w:val="18"/>
          <w:u w:val="single" w:color="auto"/>
          <w:color w:val="0000FF"/>
        </w:rPr>
        <w:t xml:space="preserve"> </w:t>
      </w:r>
      <w:hyperlink r:id="rId105">
        <w:r>
          <w:rPr>
            <w:rFonts w:ascii="Arial" w:cs="Arial" w:eastAsia="Arial" w:hAnsi="Arial"/>
            <w:sz w:val="18"/>
            <w:szCs w:val="18"/>
            <w:u w:val="single" w:color="auto"/>
            <w:color w:val="0000FF"/>
          </w:rPr>
          <w:t>2020, by and among CPLV Property Owner LLC and Claudine Propco LLC as</w:t>
        </w:r>
      </w:hyperlink>
      <w:r>
        <w:rPr>
          <w:rFonts w:ascii="Arial" w:cs="Arial" w:eastAsia="Arial" w:hAnsi="Arial"/>
          <w:sz w:val="18"/>
          <w:szCs w:val="18"/>
          <w:u w:val="single" w:color="auto"/>
          <w:color w:val="0000FF"/>
        </w:rPr>
        <w:t xml:space="preserve"> </w:t>
      </w:r>
      <w:hyperlink r:id="rId105">
        <w:r>
          <w:rPr>
            <w:rFonts w:ascii="Arial" w:cs="Arial" w:eastAsia="Arial" w:hAnsi="Arial"/>
            <w:sz w:val="18"/>
            <w:szCs w:val="18"/>
            <w:u w:val="single" w:color="auto"/>
            <w:color w:val="0000FF"/>
          </w:rPr>
          <w:t>Landlord and, Desert Palace LLC, CEOC, LLC and Harrah’s Las Vegas LLC as</w:t>
        </w:r>
      </w:hyperlink>
      <w:r>
        <w:rPr>
          <w:rFonts w:ascii="Arial" w:cs="Arial" w:eastAsia="Arial" w:hAnsi="Arial"/>
          <w:sz w:val="18"/>
          <w:szCs w:val="18"/>
          <w:u w:val="single" w:color="auto"/>
          <w:color w:val="0000FF"/>
        </w:rPr>
        <w:t xml:space="preserve"> </w:t>
      </w:r>
      <w:hyperlink r:id="rId105">
        <w:r>
          <w:rPr>
            <w:rFonts w:ascii="Arial" w:cs="Arial" w:eastAsia="Arial" w:hAnsi="Arial"/>
            <w:sz w:val="18"/>
            <w:szCs w:val="18"/>
            <w:u w:val="single" w:color="auto"/>
            <w:color w:val="0000FF"/>
          </w:rPr>
          <w:t>Tenant</w:t>
        </w:r>
      </w:hyperlink>
    </w:p>
    <w:p>
      <w:pPr>
        <w:spacing w:after="0" w:line="55" w:lineRule="exact"/>
        <w:rPr>
          <w:rFonts w:ascii="Arial" w:cs="Arial" w:eastAsia="Arial" w:hAnsi="Arial"/>
          <w:sz w:val="18"/>
          <w:szCs w:val="18"/>
          <w:u w:val="single" w:color="auto"/>
          <w:color w:val="0000FF"/>
        </w:rPr>
      </w:pPr>
    </w:p>
    <w:p>
      <w:pPr>
        <w:jc w:val="both"/>
        <w:ind w:left="980" w:right="100" w:hanging="701"/>
        <w:spacing w:after="0" w:line="237" w:lineRule="auto"/>
        <w:tabs>
          <w:tab w:leader="none" w:pos="960" w:val="left"/>
        </w:tabs>
        <w:rPr>
          <w:rFonts w:ascii="Arial" w:cs="Arial" w:eastAsia="Arial" w:hAnsi="Arial"/>
          <w:sz w:val="17"/>
          <w:szCs w:val="17"/>
          <w:u w:val="single" w:color="auto"/>
          <w:color w:val="0000FF"/>
        </w:rPr>
      </w:pPr>
      <w:hyperlink r:id="rId106">
        <w:r>
          <w:rPr>
            <w:rFonts w:ascii="Arial" w:cs="Arial" w:eastAsia="Arial" w:hAnsi="Arial"/>
            <w:sz w:val="18"/>
            <w:szCs w:val="18"/>
            <w:u w:val="single" w:color="auto"/>
            <w:color w:val="0000FF"/>
          </w:rPr>
          <w:t>10.2</w:t>
        </w:r>
      </w:hyperlink>
      <w:r>
        <w:rPr>
          <w:rFonts w:ascii="Arial" w:cs="Arial" w:eastAsia="Arial" w:hAnsi="Arial"/>
          <w:sz w:val="18"/>
          <w:szCs w:val="18"/>
          <w:u w:val="single" w:color="auto"/>
          <w:color w:val="0000FF"/>
        </w:rPr>
        <w:tab/>
      </w:r>
      <w:hyperlink r:id="rId106">
        <w:r>
          <w:rPr>
            <w:rFonts w:ascii="Arial" w:cs="Arial" w:eastAsia="Arial" w:hAnsi="Arial"/>
            <w:sz w:val="17"/>
            <w:szCs w:val="17"/>
            <w:u w:val="single" w:color="auto"/>
            <w:color w:val="0000FF"/>
          </w:rPr>
          <w:t>Third Amendment to Las Vegas Lease, dated as of September 30, 2020, by and</w:t>
        </w:r>
      </w:hyperlink>
      <w:r>
        <w:rPr>
          <w:rFonts w:ascii="Arial" w:cs="Arial" w:eastAsia="Arial" w:hAnsi="Arial"/>
          <w:sz w:val="17"/>
          <w:szCs w:val="17"/>
          <w:u w:val="single" w:color="auto"/>
          <w:color w:val="0000FF"/>
        </w:rPr>
        <w:t xml:space="preserve"> </w:t>
      </w:r>
      <w:hyperlink r:id="rId106">
        <w:r>
          <w:rPr>
            <w:rFonts w:ascii="Arial" w:cs="Arial" w:eastAsia="Arial" w:hAnsi="Arial"/>
            <w:sz w:val="17"/>
            <w:szCs w:val="17"/>
            <w:u w:val="single" w:color="auto"/>
            <w:color w:val="0000FF"/>
          </w:rPr>
          <w:t>among CPLV Property Owner LLC and Claudine Propco LLC as Landlord and,</w:t>
        </w:r>
      </w:hyperlink>
      <w:r>
        <w:rPr>
          <w:rFonts w:ascii="Arial" w:cs="Arial" w:eastAsia="Arial" w:hAnsi="Arial"/>
          <w:sz w:val="17"/>
          <w:szCs w:val="17"/>
          <w:u w:val="single" w:color="auto"/>
          <w:color w:val="0000FF"/>
        </w:rPr>
        <w:t xml:space="preserve"> </w:t>
      </w:r>
      <w:hyperlink r:id="rId106">
        <w:r>
          <w:rPr>
            <w:rFonts w:ascii="Arial" w:cs="Arial" w:eastAsia="Arial" w:hAnsi="Arial"/>
            <w:sz w:val="17"/>
            <w:szCs w:val="17"/>
            <w:u w:val="single" w:color="auto"/>
            <w:color w:val="0000FF"/>
          </w:rPr>
          <w:t>Desert Palace LLC, CEOC, LLC and Harrah’s Las Vegas LLC</w:t>
        </w:r>
      </w:hyperlink>
    </w:p>
    <w:p>
      <w:pPr>
        <w:spacing w:after="0" w:line="55" w:lineRule="exact"/>
        <w:rPr>
          <w:rFonts w:ascii="Arial" w:cs="Arial" w:eastAsia="Arial" w:hAnsi="Arial"/>
          <w:sz w:val="17"/>
          <w:szCs w:val="17"/>
          <w:u w:val="single" w:color="auto"/>
          <w:color w:val="0000FF"/>
        </w:rPr>
      </w:pPr>
    </w:p>
    <w:p>
      <w:pPr>
        <w:jc w:val="both"/>
        <w:ind w:left="980" w:right="80" w:hanging="701"/>
        <w:spacing w:after="0" w:line="237" w:lineRule="auto"/>
        <w:tabs>
          <w:tab w:leader="none" w:pos="960" w:val="left"/>
        </w:tabs>
        <w:rPr>
          <w:rFonts w:ascii="Arial" w:cs="Arial" w:eastAsia="Arial" w:hAnsi="Arial"/>
          <w:sz w:val="17"/>
          <w:szCs w:val="17"/>
          <w:u w:val="single" w:color="auto"/>
          <w:color w:val="0000FF"/>
        </w:rPr>
      </w:pPr>
      <w:hyperlink r:id="rId107">
        <w:r>
          <w:rPr>
            <w:rFonts w:ascii="Arial" w:cs="Arial" w:eastAsia="Arial" w:hAnsi="Arial"/>
            <w:sz w:val="18"/>
            <w:szCs w:val="18"/>
            <w:u w:val="single" w:color="auto"/>
            <w:color w:val="0000FF"/>
          </w:rPr>
          <w:t>10.3</w:t>
        </w:r>
      </w:hyperlink>
      <w:r>
        <w:rPr>
          <w:rFonts w:ascii="Arial" w:cs="Arial" w:eastAsia="Arial" w:hAnsi="Arial"/>
          <w:sz w:val="18"/>
          <w:szCs w:val="18"/>
          <w:u w:val="single" w:color="auto"/>
          <w:color w:val="0000FF"/>
        </w:rPr>
        <w:tab/>
      </w:r>
      <w:hyperlink r:id="rId107">
        <w:r>
          <w:rPr>
            <w:rFonts w:ascii="Arial" w:cs="Arial" w:eastAsia="Arial" w:hAnsi="Arial"/>
            <w:sz w:val="17"/>
            <w:szCs w:val="17"/>
            <w:u w:val="single" w:color="auto"/>
            <w:color w:val="0000FF"/>
          </w:rPr>
          <w:t>Fourth Amendment to Las Vegas Lease, dated as of November 18, 2020, by and</w:t>
        </w:r>
      </w:hyperlink>
      <w:r>
        <w:rPr>
          <w:rFonts w:ascii="Arial" w:cs="Arial" w:eastAsia="Arial" w:hAnsi="Arial"/>
          <w:sz w:val="17"/>
          <w:szCs w:val="17"/>
          <w:u w:val="single" w:color="auto"/>
          <w:color w:val="0000FF"/>
        </w:rPr>
        <w:t xml:space="preserve"> </w:t>
      </w:r>
      <w:hyperlink r:id="rId107">
        <w:r>
          <w:rPr>
            <w:rFonts w:ascii="Arial" w:cs="Arial" w:eastAsia="Arial" w:hAnsi="Arial"/>
            <w:sz w:val="17"/>
            <w:szCs w:val="17"/>
            <w:u w:val="single" w:color="auto"/>
            <w:color w:val="0000FF"/>
          </w:rPr>
          <w:t>among CPLV Property Owner LLC and Claudine Propco LLC as Landlord and,</w:t>
        </w:r>
      </w:hyperlink>
      <w:r>
        <w:rPr>
          <w:rFonts w:ascii="Arial" w:cs="Arial" w:eastAsia="Arial" w:hAnsi="Arial"/>
          <w:sz w:val="17"/>
          <w:szCs w:val="17"/>
          <w:u w:val="single" w:color="auto"/>
          <w:color w:val="0000FF"/>
        </w:rPr>
        <w:t xml:space="preserve"> </w:t>
      </w:r>
      <w:hyperlink r:id="rId107">
        <w:r>
          <w:rPr>
            <w:rFonts w:ascii="Arial" w:cs="Arial" w:eastAsia="Arial" w:hAnsi="Arial"/>
            <w:sz w:val="17"/>
            <w:szCs w:val="17"/>
            <w:u w:val="single" w:color="auto"/>
            <w:color w:val="0000FF"/>
          </w:rPr>
          <w:t>Desert Palace LLC, CEOC, LLC and Harrah’s Las Vegas LLC</w:t>
        </w:r>
      </w:hyperlink>
    </w:p>
    <w:p>
      <w:pPr>
        <w:spacing w:after="0" w:line="55" w:lineRule="exact"/>
        <w:rPr>
          <w:rFonts w:ascii="Arial" w:cs="Arial" w:eastAsia="Arial" w:hAnsi="Arial"/>
          <w:sz w:val="17"/>
          <w:szCs w:val="17"/>
          <w:u w:val="single" w:color="auto"/>
          <w:color w:val="0000FF"/>
        </w:rPr>
      </w:pPr>
    </w:p>
    <w:p>
      <w:pPr>
        <w:ind w:left="980" w:right="100" w:hanging="701"/>
        <w:spacing w:after="0" w:line="253" w:lineRule="auto"/>
        <w:tabs>
          <w:tab w:leader="none" w:pos="960" w:val="left"/>
        </w:tabs>
        <w:rPr>
          <w:rFonts w:ascii="Arial" w:cs="Arial" w:eastAsia="Arial" w:hAnsi="Arial"/>
          <w:sz w:val="17"/>
          <w:szCs w:val="17"/>
          <w:u w:val="single" w:color="auto"/>
          <w:color w:val="0000FF"/>
        </w:rPr>
      </w:pPr>
      <w:hyperlink r:id="rId108">
        <w:r>
          <w:rPr>
            <w:rFonts w:ascii="Arial" w:cs="Arial" w:eastAsia="Arial" w:hAnsi="Arial"/>
            <w:sz w:val="18"/>
            <w:szCs w:val="18"/>
            <w:u w:val="single" w:color="auto"/>
            <w:color w:val="0000FF"/>
          </w:rPr>
          <w:t>10.4</w:t>
        </w:r>
      </w:hyperlink>
      <w:r>
        <w:rPr>
          <w:rFonts w:ascii="Arial" w:cs="Arial" w:eastAsia="Arial" w:hAnsi="Arial"/>
          <w:sz w:val="18"/>
          <w:szCs w:val="18"/>
          <w:u w:val="single" w:color="auto"/>
          <w:color w:val="0000FF"/>
        </w:rPr>
        <w:tab/>
      </w:r>
      <w:hyperlink r:id="rId108">
        <w:r>
          <w:rPr>
            <w:rFonts w:ascii="Arial" w:cs="Arial" w:eastAsia="Arial" w:hAnsi="Arial"/>
            <w:sz w:val="17"/>
            <w:szCs w:val="17"/>
            <w:u w:val="single" w:color="auto"/>
            <w:color w:val="0000FF"/>
          </w:rPr>
          <w:t>Fifth Amendment to Las Vegas Lease, dated as of September 3, 2021, by and</w:t>
        </w:r>
      </w:hyperlink>
      <w:r>
        <w:rPr>
          <w:rFonts w:ascii="Arial" w:cs="Arial" w:eastAsia="Arial" w:hAnsi="Arial"/>
          <w:sz w:val="17"/>
          <w:szCs w:val="17"/>
          <w:u w:val="single" w:color="auto"/>
          <w:color w:val="0000FF"/>
        </w:rPr>
        <w:t xml:space="preserve"> </w:t>
      </w:r>
      <w:hyperlink r:id="rId108">
        <w:r>
          <w:rPr>
            <w:rFonts w:ascii="Arial" w:cs="Arial" w:eastAsia="Arial" w:hAnsi="Arial"/>
            <w:sz w:val="17"/>
            <w:szCs w:val="17"/>
            <w:u w:val="single" w:color="auto"/>
            <w:color w:val="0000FF"/>
          </w:rPr>
          <w:t>among CPLV Property Owner LLC and Claudine Propco LLC as Landlord and,</w:t>
        </w:r>
      </w:hyperlink>
      <w:r>
        <w:rPr>
          <w:rFonts w:ascii="Arial" w:cs="Arial" w:eastAsia="Arial" w:hAnsi="Arial"/>
          <w:sz w:val="17"/>
          <w:szCs w:val="17"/>
          <w:u w:val="single" w:color="auto"/>
          <w:color w:val="0000FF"/>
        </w:rPr>
        <w:t xml:space="preserve"> </w:t>
      </w:r>
      <w:hyperlink r:id="rId108">
        <w:r>
          <w:rPr>
            <w:rFonts w:ascii="Arial" w:cs="Arial" w:eastAsia="Arial" w:hAnsi="Arial"/>
            <w:sz w:val="17"/>
            <w:szCs w:val="17"/>
            <w:u w:val="single" w:color="auto"/>
            <w:color w:val="0000FF"/>
          </w:rPr>
          <w:t>Desert Palace LLC, CEOC, LLC and Harrah’s Las Vegas LLC</w:t>
        </w:r>
      </w:hyperlink>
    </w:p>
    <w:p>
      <w:pPr>
        <w:spacing w:after="0" w:line="57" w:lineRule="exact"/>
        <w:rPr>
          <w:rFonts w:ascii="Arial" w:cs="Arial" w:eastAsia="Arial" w:hAnsi="Arial"/>
          <w:sz w:val="17"/>
          <w:szCs w:val="17"/>
          <w:u w:val="single" w:color="auto"/>
          <w:color w:val="0000FF"/>
        </w:rPr>
      </w:pPr>
    </w:p>
    <w:p>
      <w:pPr>
        <w:ind w:left="980" w:right="100" w:hanging="701"/>
        <w:spacing w:after="0" w:line="253" w:lineRule="auto"/>
        <w:tabs>
          <w:tab w:leader="none" w:pos="960" w:val="left"/>
        </w:tabs>
        <w:rPr>
          <w:rFonts w:ascii="Arial" w:cs="Arial" w:eastAsia="Arial" w:hAnsi="Arial"/>
          <w:sz w:val="17"/>
          <w:szCs w:val="17"/>
          <w:u w:val="single" w:color="auto"/>
          <w:color w:val="0000FF"/>
        </w:rPr>
      </w:pPr>
      <w:hyperlink w:anchor="page157">
        <w:r>
          <w:rPr>
            <w:rFonts w:ascii="Arial" w:cs="Arial" w:eastAsia="Arial" w:hAnsi="Arial"/>
            <w:sz w:val="18"/>
            <w:szCs w:val="18"/>
            <w:u w:val="single" w:color="auto"/>
            <w:color w:val="0000FF"/>
          </w:rPr>
          <w:t>10.5</w:t>
        </w:r>
      </w:hyperlink>
      <w:r>
        <w:rPr>
          <w:rFonts w:ascii="Arial" w:cs="Arial" w:eastAsia="Arial" w:hAnsi="Arial"/>
          <w:sz w:val="18"/>
          <w:szCs w:val="18"/>
          <w:u w:val="single" w:color="auto"/>
          <w:color w:val="0000FF"/>
        </w:rPr>
        <w:tab/>
      </w:r>
      <w:hyperlink w:anchor="page157">
        <w:r>
          <w:rPr>
            <w:rFonts w:ascii="Arial" w:cs="Arial" w:eastAsia="Arial" w:hAnsi="Arial"/>
            <w:sz w:val="17"/>
            <w:szCs w:val="17"/>
            <w:u w:val="single" w:color="auto"/>
            <w:color w:val="0000FF"/>
          </w:rPr>
          <w:t>Sixth Amendment to Las Vegas Lease, dated as of November 1, 2021, by and</w:t>
        </w:r>
      </w:hyperlink>
      <w:r>
        <w:rPr>
          <w:rFonts w:ascii="Arial" w:cs="Arial" w:eastAsia="Arial" w:hAnsi="Arial"/>
          <w:sz w:val="17"/>
          <w:szCs w:val="17"/>
          <w:u w:val="single" w:color="auto"/>
          <w:color w:val="0000FF"/>
        </w:rPr>
        <w:t xml:space="preserve"> </w:t>
      </w:r>
      <w:hyperlink w:anchor="page157">
        <w:r>
          <w:rPr>
            <w:rFonts w:ascii="Arial" w:cs="Arial" w:eastAsia="Arial" w:hAnsi="Arial"/>
            <w:sz w:val="17"/>
            <w:szCs w:val="17"/>
            <w:u w:val="single" w:color="auto"/>
            <w:color w:val="0000FF"/>
          </w:rPr>
          <w:t>among CPLV Property Owner LLC and Claudine Propco LLC as Landlord and,</w:t>
        </w:r>
      </w:hyperlink>
      <w:r>
        <w:rPr>
          <w:rFonts w:ascii="Arial" w:cs="Arial" w:eastAsia="Arial" w:hAnsi="Arial"/>
          <w:sz w:val="17"/>
          <w:szCs w:val="17"/>
          <w:u w:val="single" w:color="auto"/>
          <w:color w:val="0000FF"/>
        </w:rPr>
        <w:t xml:space="preserve"> </w:t>
      </w:r>
      <w:hyperlink w:anchor="page157">
        <w:r>
          <w:rPr>
            <w:rFonts w:ascii="Arial" w:cs="Arial" w:eastAsia="Arial" w:hAnsi="Arial"/>
            <w:sz w:val="17"/>
            <w:szCs w:val="17"/>
            <w:u w:val="single" w:color="auto"/>
            <w:color w:val="0000FF"/>
          </w:rPr>
          <w:t>Desert Palace LLC, CEOC, LLC and Harrah’s Las Vegas LLC</w:t>
        </w:r>
      </w:hyperlink>
    </w:p>
    <w:p>
      <w:pPr>
        <w:spacing w:after="0" w:line="41" w:lineRule="exact"/>
        <w:rPr>
          <w:rFonts w:ascii="Arial" w:cs="Arial" w:eastAsia="Arial" w:hAnsi="Arial"/>
          <w:sz w:val="17"/>
          <w:szCs w:val="17"/>
          <w:u w:val="single" w:color="auto"/>
          <w:color w:val="0000FF"/>
        </w:rPr>
      </w:pPr>
    </w:p>
    <w:p>
      <w:pPr>
        <w:ind w:left="240"/>
        <w:spacing w:after="0"/>
        <w:tabs>
          <w:tab w:leader="none" w:pos="960" w:val="left"/>
        </w:tabs>
        <w:rPr>
          <w:rFonts w:ascii="Arial" w:cs="Arial" w:eastAsia="Arial" w:hAnsi="Arial"/>
          <w:sz w:val="16"/>
          <w:szCs w:val="16"/>
          <w:u w:val="single" w:color="auto"/>
          <w:color w:val="0000FF"/>
        </w:rPr>
      </w:pPr>
      <w:hyperlink r:id="rId109">
        <w:r>
          <w:rPr>
            <w:rFonts w:ascii="Arial" w:cs="Arial" w:eastAsia="Arial" w:hAnsi="Arial"/>
            <w:sz w:val="18"/>
            <w:szCs w:val="18"/>
            <w:u w:val="single" w:color="auto"/>
            <w:color w:val="0000FF"/>
          </w:rPr>
          <w:t>10.6+</w:t>
        </w:r>
      </w:hyperlink>
      <w:r>
        <w:rPr>
          <w:rFonts w:ascii="Arial" w:cs="Arial" w:eastAsia="Arial" w:hAnsi="Arial"/>
          <w:sz w:val="18"/>
          <w:szCs w:val="18"/>
          <w:u w:val="single" w:color="auto"/>
          <w:color w:val="0000FF"/>
        </w:rPr>
        <w:tab/>
      </w:r>
      <w:hyperlink r:id="rId109">
        <w:r>
          <w:rPr>
            <w:rFonts w:ascii="Arial" w:cs="Arial" w:eastAsia="Arial" w:hAnsi="Arial"/>
            <w:sz w:val="16"/>
            <w:szCs w:val="16"/>
            <w:u w:val="single" w:color="auto"/>
            <w:color w:val="0000FF"/>
          </w:rPr>
          <w:t>Regional Lease (Conformed through Fifth Amendment), dated as of July 20,</w:t>
        </w:r>
      </w:hyperlink>
    </w:p>
    <w:p>
      <w:pPr>
        <w:ind w:left="980"/>
        <w:spacing w:after="0" w:line="228" w:lineRule="auto"/>
        <w:rPr>
          <w:rFonts w:ascii="Arial" w:cs="Arial" w:eastAsia="Arial" w:hAnsi="Arial"/>
          <w:sz w:val="16"/>
          <w:szCs w:val="16"/>
          <w:u w:val="single" w:color="auto"/>
          <w:color w:val="0000FF"/>
        </w:rPr>
      </w:pPr>
      <w:hyperlink r:id="rId109">
        <w:r>
          <w:rPr>
            <w:rFonts w:ascii="Arial" w:cs="Arial" w:eastAsia="Arial" w:hAnsi="Arial"/>
            <w:sz w:val="16"/>
            <w:szCs w:val="16"/>
            <w:u w:val="single" w:color="auto"/>
            <w:color w:val="0000FF"/>
          </w:rPr>
          <w:t>2020, by and among the entities listed on Schedules A and B thereto and CEOC,</w:t>
        </w:r>
      </w:hyperlink>
    </w:p>
    <w:p>
      <w:pPr>
        <w:spacing w:after="0" w:line="1" w:lineRule="exact"/>
        <w:rPr>
          <w:sz w:val="20"/>
          <w:szCs w:val="20"/>
          <w:color w:val="auto"/>
        </w:rPr>
      </w:pPr>
    </w:p>
    <w:p>
      <w:pPr>
        <w:ind w:left="980"/>
        <w:spacing w:after="0"/>
        <w:rPr>
          <w:rFonts w:ascii="Arial" w:cs="Arial" w:eastAsia="Arial" w:hAnsi="Arial"/>
          <w:sz w:val="18"/>
          <w:szCs w:val="18"/>
          <w:u w:val="single" w:color="auto"/>
          <w:color w:val="0000FF"/>
        </w:rPr>
      </w:pPr>
      <w:hyperlink r:id="rId109">
        <w:r>
          <w:rPr>
            <w:rFonts w:ascii="Arial" w:cs="Arial" w:eastAsia="Arial" w:hAnsi="Arial"/>
            <w:sz w:val="18"/>
            <w:szCs w:val="18"/>
            <w:u w:val="single" w:color="auto"/>
            <w:color w:val="0000FF"/>
          </w:rPr>
          <w:t>LLC</w:t>
        </w:r>
      </w:hyperlink>
    </w:p>
    <w:p>
      <w:pPr>
        <w:spacing w:after="0" w:line="61" w:lineRule="exact"/>
        <w:rPr>
          <w:sz w:val="20"/>
          <w:szCs w:val="20"/>
          <w:color w:val="auto"/>
        </w:rPr>
      </w:pPr>
    </w:p>
    <w:p>
      <w:pPr>
        <w:ind w:left="980" w:right="260" w:hanging="752"/>
        <w:spacing w:after="0" w:line="235" w:lineRule="auto"/>
        <w:tabs>
          <w:tab w:leader="none" w:pos="960" w:val="left"/>
        </w:tabs>
        <w:rPr>
          <w:rFonts w:ascii="Arial" w:cs="Arial" w:eastAsia="Arial" w:hAnsi="Arial"/>
          <w:sz w:val="18"/>
          <w:szCs w:val="18"/>
          <w:u w:val="single" w:color="auto"/>
          <w:color w:val="0000FF"/>
        </w:rPr>
      </w:pPr>
      <w:hyperlink r:id="rId110">
        <w:r>
          <w:rPr>
            <w:rFonts w:ascii="Arial" w:cs="Arial" w:eastAsia="Arial" w:hAnsi="Arial"/>
            <w:sz w:val="18"/>
            <w:szCs w:val="18"/>
            <w:u w:val="single" w:color="auto"/>
            <w:color w:val="0000FF"/>
          </w:rPr>
          <w:t>10.7+</w:t>
        </w:r>
      </w:hyperlink>
      <w:r>
        <w:rPr>
          <w:rFonts w:ascii="Arial" w:cs="Arial" w:eastAsia="Arial" w:hAnsi="Arial"/>
          <w:sz w:val="18"/>
          <w:szCs w:val="18"/>
          <w:u w:val="single" w:color="auto"/>
          <w:color w:val="0000FF"/>
        </w:rPr>
        <w:tab/>
      </w:r>
      <w:hyperlink r:id="rId110">
        <w:r>
          <w:rPr>
            <w:rFonts w:ascii="Arial" w:cs="Arial" w:eastAsia="Arial" w:hAnsi="Arial"/>
            <w:sz w:val="18"/>
            <w:szCs w:val="18"/>
            <w:u w:val="single" w:color="auto"/>
            <w:color w:val="0000FF"/>
          </w:rPr>
          <w:t>Sixth Amendment to Regional Lease, dated as of September 30, 2020, by and</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among the entities listed on Schedules A and B thereto</w:t>
        </w:r>
      </w:hyperlink>
    </w:p>
    <w:p>
      <w:pPr>
        <w:spacing w:after="0" w:line="54" w:lineRule="exact"/>
        <w:rPr>
          <w:rFonts w:ascii="Arial" w:cs="Arial" w:eastAsia="Arial" w:hAnsi="Arial"/>
          <w:sz w:val="18"/>
          <w:szCs w:val="18"/>
          <w:u w:val="single" w:color="auto"/>
          <w:color w:val="0000FF"/>
        </w:rPr>
      </w:pPr>
    </w:p>
    <w:p>
      <w:pPr>
        <w:ind w:left="980" w:right="80" w:hanging="701"/>
        <w:spacing w:after="0" w:line="235" w:lineRule="auto"/>
        <w:tabs>
          <w:tab w:leader="none" w:pos="960" w:val="left"/>
        </w:tabs>
        <w:rPr>
          <w:rFonts w:ascii="Arial" w:cs="Arial" w:eastAsia="Arial" w:hAnsi="Arial"/>
          <w:sz w:val="18"/>
          <w:szCs w:val="18"/>
          <w:u w:val="single" w:color="auto"/>
          <w:color w:val="0000FF"/>
        </w:rPr>
      </w:pPr>
      <w:hyperlink r:id="rId111">
        <w:r>
          <w:rPr>
            <w:rFonts w:ascii="Arial" w:cs="Arial" w:eastAsia="Arial" w:hAnsi="Arial"/>
            <w:sz w:val="18"/>
            <w:szCs w:val="18"/>
            <w:u w:val="single" w:color="auto"/>
            <w:color w:val="0000FF"/>
          </w:rPr>
          <w:t>10.8</w:t>
        </w:r>
      </w:hyperlink>
      <w:r>
        <w:rPr>
          <w:rFonts w:ascii="Arial" w:cs="Arial" w:eastAsia="Arial" w:hAnsi="Arial"/>
          <w:sz w:val="18"/>
          <w:szCs w:val="18"/>
          <w:u w:val="single" w:color="auto"/>
          <w:color w:val="0000FF"/>
        </w:rPr>
        <w:tab/>
      </w:r>
      <w:hyperlink r:id="rId111">
        <w:r>
          <w:rPr>
            <w:rFonts w:ascii="Arial" w:cs="Arial" w:eastAsia="Arial" w:hAnsi="Arial"/>
            <w:sz w:val="18"/>
            <w:szCs w:val="18"/>
            <w:u w:val="single" w:color="auto"/>
            <w:color w:val="0000FF"/>
          </w:rPr>
          <w:t>Seventh Amendment to Regional Lease, dated as of November 18, 2020, by and</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among the entities listed on Schedules A and B thereto</w:t>
        </w:r>
      </w:hyperlink>
    </w:p>
    <w:p>
      <w:pPr>
        <w:spacing w:after="0" w:line="54" w:lineRule="exact"/>
        <w:rPr>
          <w:rFonts w:ascii="Arial" w:cs="Arial" w:eastAsia="Arial" w:hAnsi="Arial"/>
          <w:sz w:val="18"/>
          <w:szCs w:val="18"/>
          <w:u w:val="single" w:color="auto"/>
          <w:color w:val="0000FF"/>
        </w:rPr>
      </w:pPr>
    </w:p>
    <w:p>
      <w:pPr>
        <w:ind w:left="980" w:right="260" w:hanging="701"/>
        <w:spacing w:after="0" w:line="235" w:lineRule="auto"/>
        <w:tabs>
          <w:tab w:leader="none" w:pos="960" w:val="left"/>
        </w:tabs>
        <w:rPr>
          <w:rFonts w:ascii="Arial" w:cs="Arial" w:eastAsia="Arial" w:hAnsi="Arial"/>
          <w:sz w:val="18"/>
          <w:szCs w:val="18"/>
          <w:u w:val="single" w:color="auto"/>
          <w:color w:val="0000FF"/>
        </w:rPr>
      </w:pPr>
      <w:hyperlink r:id="rId112">
        <w:r>
          <w:rPr>
            <w:rFonts w:ascii="Arial" w:cs="Arial" w:eastAsia="Arial" w:hAnsi="Arial"/>
            <w:sz w:val="18"/>
            <w:szCs w:val="18"/>
            <w:u w:val="single" w:color="auto"/>
            <w:color w:val="0000FF"/>
          </w:rPr>
          <w:t>10.9</w:t>
        </w:r>
      </w:hyperlink>
      <w:r>
        <w:rPr>
          <w:rFonts w:ascii="Arial" w:cs="Arial" w:eastAsia="Arial" w:hAnsi="Arial"/>
          <w:sz w:val="18"/>
          <w:szCs w:val="18"/>
          <w:u w:val="single" w:color="auto"/>
          <w:color w:val="0000FF"/>
        </w:rPr>
        <w:tab/>
      </w:r>
      <w:hyperlink r:id="rId112">
        <w:r>
          <w:rPr>
            <w:rFonts w:ascii="Arial" w:cs="Arial" w:eastAsia="Arial" w:hAnsi="Arial"/>
            <w:sz w:val="18"/>
            <w:szCs w:val="18"/>
            <w:u w:val="single" w:color="auto"/>
            <w:color w:val="0000FF"/>
          </w:rPr>
          <w:t>Eighth Amendment to Regional Lease, dated as of September 3, 2021, by and</w:t>
        </w:r>
      </w:hyperlink>
      <w:r>
        <w:rPr>
          <w:rFonts w:ascii="Arial" w:cs="Arial" w:eastAsia="Arial" w:hAnsi="Arial"/>
          <w:sz w:val="18"/>
          <w:szCs w:val="18"/>
          <w:u w:val="single" w:color="auto"/>
          <w:color w:val="0000FF"/>
        </w:rPr>
        <w:t xml:space="preserve"> </w:t>
      </w:r>
      <w:hyperlink r:id="rId112">
        <w:r>
          <w:rPr>
            <w:rFonts w:ascii="Arial" w:cs="Arial" w:eastAsia="Arial" w:hAnsi="Arial"/>
            <w:sz w:val="18"/>
            <w:szCs w:val="18"/>
            <w:u w:val="single" w:color="auto"/>
            <w:color w:val="0000FF"/>
          </w:rPr>
          <w:t>among the entities listed on Schedules A and B thereto</w:t>
        </w:r>
      </w:hyperlink>
    </w:p>
    <w:p>
      <w:pPr>
        <w:spacing w:after="0" w:line="54" w:lineRule="exact"/>
        <w:rPr>
          <w:rFonts w:ascii="Arial" w:cs="Arial" w:eastAsia="Arial" w:hAnsi="Arial"/>
          <w:sz w:val="18"/>
          <w:szCs w:val="18"/>
          <w:u w:val="single" w:color="auto"/>
          <w:color w:val="0000FF"/>
        </w:rPr>
      </w:pPr>
    </w:p>
    <w:p>
      <w:pPr>
        <w:ind w:left="980" w:right="340" w:hanging="797"/>
        <w:spacing w:after="0" w:line="246" w:lineRule="auto"/>
        <w:tabs>
          <w:tab w:leader="none" w:pos="960" w:val="left"/>
        </w:tabs>
        <w:rPr>
          <w:rFonts w:ascii="Arial" w:cs="Arial" w:eastAsia="Arial" w:hAnsi="Arial"/>
          <w:sz w:val="18"/>
          <w:szCs w:val="18"/>
          <w:u w:val="single" w:color="auto"/>
          <w:color w:val="0000FF"/>
        </w:rPr>
      </w:pPr>
      <w:hyperlink w:anchor="page165">
        <w:r>
          <w:rPr>
            <w:rFonts w:ascii="Arial" w:cs="Arial" w:eastAsia="Arial" w:hAnsi="Arial"/>
            <w:sz w:val="18"/>
            <w:szCs w:val="18"/>
            <w:u w:val="single" w:color="auto"/>
            <w:color w:val="0000FF"/>
          </w:rPr>
          <w:t>10.10+</w:t>
        </w:r>
      </w:hyperlink>
      <w:r>
        <w:rPr>
          <w:rFonts w:ascii="Arial" w:cs="Arial" w:eastAsia="Arial" w:hAnsi="Arial"/>
          <w:sz w:val="18"/>
          <w:szCs w:val="18"/>
          <w:u w:val="single" w:color="auto"/>
          <w:color w:val="0000FF"/>
        </w:rPr>
        <w:tab/>
      </w:r>
      <w:hyperlink w:anchor="page165">
        <w:r>
          <w:rPr>
            <w:rFonts w:ascii="Arial" w:cs="Arial" w:eastAsia="Arial" w:hAnsi="Arial"/>
            <w:sz w:val="18"/>
            <w:szCs w:val="18"/>
            <w:u w:val="single" w:color="auto"/>
            <w:color w:val="0000FF"/>
          </w:rPr>
          <w:t>Ninth Amendment to Regional Lease, dated as of November 1, 2021, by and</w:t>
        </w:r>
      </w:hyperlink>
      <w:r>
        <w:rPr>
          <w:rFonts w:ascii="Arial" w:cs="Arial" w:eastAsia="Arial" w:hAnsi="Arial"/>
          <w:sz w:val="18"/>
          <w:szCs w:val="18"/>
          <w:u w:val="single" w:color="auto"/>
          <w:color w:val="0000FF"/>
        </w:rPr>
        <w:t xml:space="preserve"> </w:t>
      </w:r>
      <w:hyperlink w:anchor="page165">
        <w:r>
          <w:rPr>
            <w:rFonts w:ascii="Arial" w:cs="Arial" w:eastAsia="Arial" w:hAnsi="Arial"/>
            <w:sz w:val="18"/>
            <w:szCs w:val="18"/>
            <w:u w:val="single" w:color="auto"/>
            <w:color w:val="0000FF"/>
          </w:rPr>
          <w:t>among the entities listed on Schedules A and B thereto</w:t>
        </w:r>
      </w:hyperlink>
    </w:p>
    <w:p>
      <w:pPr>
        <w:spacing w:after="0" w:line="62" w:lineRule="exact"/>
        <w:rPr>
          <w:rFonts w:ascii="Arial" w:cs="Arial" w:eastAsia="Arial" w:hAnsi="Arial"/>
          <w:sz w:val="18"/>
          <w:szCs w:val="18"/>
          <w:u w:val="single" w:color="auto"/>
          <w:color w:val="0000FF"/>
        </w:rPr>
      </w:pPr>
    </w:p>
    <w:p>
      <w:pPr>
        <w:ind w:left="980" w:right="260" w:hanging="743"/>
        <w:spacing w:after="0" w:line="246" w:lineRule="auto"/>
        <w:tabs>
          <w:tab w:leader="none" w:pos="960" w:val="left"/>
        </w:tabs>
        <w:rPr>
          <w:rFonts w:ascii="Arial" w:cs="Arial" w:eastAsia="Arial" w:hAnsi="Arial"/>
          <w:sz w:val="18"/>
          <w:szCs w:val="18"/>
          <w:u w:val="single" w:color="auto"/>
          <w:color w:val="0000FF"/>
        </w:rPr>
      </w:pPr>
      <w:hyperlink w:anchor="page193">
        <w:r>
          <w:rPr>
            <w:rFonts w:ascii="Arial" w:cs="Arial" w:eastAsia="Arial" w:hAnsi="Arial"/>
            <w:sz w:val="18"/>
            <w:szCs w:val="18"/>
            <w:u w:val="single" w:color="auto"/>
            <w:color w:val="0000FF"/>
          </w:rPr>
          <w:t>10.11</w:t>
        </w:r>
      </w:hyperlink>
      <w:r>
        <w:rPr>
          <w:rFonts w:ascii="Arial" w:cs="Arial" w:eastAsia="Arial" w:hAnsi="Arial"/>
          <w:sz w:val="18"/>
          <w:szCs w:val="18"/>
          <w:u w:val="single" w:color="auto"/>
          <w:color w:val="0000FF"/>
        </w:rPr>
        <w:tab/>
      </w:r>
      <w:hyperlink w:anchor="page193">
        <w:r>
          <w:rPr>
            <w:rFonts w:ascii="Arial" w:cs="Arial" w:eastAsia="Arial" w:hAnsi="Arial"/>
            <w:sz w:val="18"/>
            <w:szCs w:val="18"/>
            <w:u w:val="single" w:color="auto"/>
            <w:color w:val="0000FF"/>
          </w:rPr>
          <w:t>Tenth Amendment to Regional Lease, dated as of December 30, 2021, by and</w:t>
        </w:r>
      </w:hyperlink>
      <w:r>
        <w:rPr>
          <w:rFonts w:ascii="Arial" w:cs="Arial" w:eastAsia="Arial" w:hAnsi="Arial"/>
          <w:sz w:val="18"/>
          <w:szCs w:val="18"/>
          <w:u w:val="single" w:color="auto"/>
          <w:color w:val="0000FF"/>
        </w:rPr>
        <w:t xml:space="preserve"> </w:t>
      </w:r>
      <w:hyperlink w:anchor="page193">
        <w:r>
          <w:rPr>
            <w:rFonts w:ascii="Arial" w:cs="Arial" w:eastAsia="Arial" w:hAnsi="Arial"/>
            <w:sz w:val="18"/>
            <w:szCs w:val="18"/>
            <w:u w:val="single" w:color="auto"/>
            <w:color w:val="0000FF"/>
          </w:rPr>
          <w:t>among the entities listed on Schedules A and B thereto</w:t>
        </w:r>
      </w:hyperlink>
    </w:p>
    <w:p>
      <w:pPr>
        <w:spacing w:after="0" w:line="62" w:lineRule="exact"/>
        <w:rPr>
          <w:rFonts w:ascii="Arial" w:cs="Arial" w:eastAsia="Arial" w:hAnsi="Arial"/>
          <w:sz w:val="18"/>
          <w:szCs w:val="18"/>
          <w:u w:val="single" w:color="auto"/>
          <w:color w:val="0000FF"/>
        </w:rPr>
      </w:pPr>
    </w:p>
    <w:p>
      <w:pPr>
        <w:ind w:left="980" w:hanging="797"/>
        <w:spacing w:after="0" w:line="224" w:lineRule="auto"/>
        <w:tabs>
          <w:tab w:leader="none" w:pos="960" w:val="left"/>
        </w:tabs>
        <w:rPr>
          <w:rFonts w:ascii="Arial" w:cs="Arial" w:eastAsia="Arial" w:hAnsi="Arial"/>
          <w:sz w:val="18"/>
          <w:szCs w:val="18"/>
          <w:u w:val="single" w:color="auto"/>
          <w:color w:val="0000FF"/>
        </w:rPr>
      </w:pPr>
      <w:hyperlink r:id="rId113">
        <w:r>
          <w:rPr>
            <w:rFonts w:ascii="Arial" w:cs="Arial" w:eastAsia="Arial" w:hAnsi="Arial"/>
            <w:sz w:val="18"/>
            <w:szCs w:val="18"/>
            <w:u w:val="single" w:color="auto"/>
            <w:color w:val="0000FF"/>
          </w:rPr>
          <w:t>10.12+</w:t>
        </w:r>
      </w:hyperlink>
      <w:r>
        <w:rPr>
          <w:rFonts w:ascii="Arial" w:cs="Arial" w:eastAsia="Arial" w:hAnsi="Arial"/>
          <w:sz w:val="18"/>
          <w:szCs w:val="18"/>
          <w:u w:val="single" w:color="auto"/>
          <w:color w:val="0000FF"/>
        </w:rPr>
        <w:tab/>
      </w:r>
      <w:hyperlink r:id="rId113">
        <w:r>
          <w:rPr>
            <w:rFonts w:ascii="Arial" w:cs="Arial" w:eastAsia="Arial" w:hAnsi="Arial"/>
            <w:sz w:val="18"/>
            <w:szCs w:val="18"/>
            <w:u w:val="single" w:color="auto"/>
            <w:color w:val="0000FF"/>
          </w:rPr>
          <w:t>Lease (Joliet) (Conformed through Second Amendment), dated as of July 20,</w:t>
        </w:r>
      </w:hyperlink>
      <w:r>
        <w:rPr>
          <w:rFonts w:ascii="Arial" w:cs="Arial" w:eastAsia="Arial" w:hAnsi="Arial"/>
          <w:sz w:val="18"/>
          <w:szCs w:val="18"/>
          <w:u w:val="single" w:color="auto"/>
          <w:color w:val="0000FF"/>
        </w:rPr>
        <w:t xml:space="preserve"> </w:t>
      </w:r>
      <w:hyperlink r:id="rId113">
        <w:r>
          <w:rPr>
            <w:rFonts w:ascii="Arial" w:cs="Arial" w:eastAsia="Arial" w:hAnsi="Arial"/>
            <w:sz w:val="18"/>
            <w:szCs w:val="18"/>
            <w:u w:val="single" w:color="auto"/>
            <w:color w:val="0000FF"/>
          </w:rPr>
          <w:t>2020, by and between Harrah’s Joliet Landco LLC and Des Plaines Development</w:t>
        </w:r>
      </w:hyperlink>
      <w:r>
        <w:rPr>
          <w:rFonts w:ascii="Arial" w:cs="Arial" w:eastAsia="Arial" w:hAnsi="Arial"/>
          <w:sz w:val="18"/>
          <w:szCs w:val="18"/>
          <w:u w:val="single" w:color="auto"/>
          <w:color w:val="0000FF"/>
        </w:rPr>
        <w:t xml:space="preserve"> </w:t>
      </w:r>
      <w:hyperlink r:id="rId113">
        <w:r>
          <w:rPr>
            <w:rFonts w:ascii="Arial" w:cs="Arial" w:eastAsia="Arial" w:hAnsi="Arial"/>
            <w:sz w:val="18"/>
            <w:szCs w:val="18"/>
            <w:u w:val="single" w:color="auto"/>
            <w:color w:val="0000FF"/>
          </w:rPr>
          <w:t>Limited Partnership</w:t>
        </w:r>
      </w:hyperlink>
    </w:p>
    <w:p>
      <w:pPr>
        <w:spacing w:after="0" w:line="55" w:lineRule="exact"/>
        <w:rPr>
          <w:rFonts w:ascii="Arial" w:cs="Arial" w:eastAsia="Arial" w:hAnsi="Arial"/>
          <w:sz w:val="18"/>
          <w:szCs w:val="18"/>
          <w:u w:val="single" w:color="auto"/>
          <w:color w:val="0000FF"/>
        </w:rPr>
      </w:pPr>
    </w:p>
    <w:p>
      <w:pPr>
        <w:jc w:val="both"/>
        <w:ind w:left="980" w:right="360" w:hanging="746"/>
        <w:spacing w:after="0" w:line="224" w:lineRule="auto"/>
        <w:tabs>
          <w:tab w:leader="none" w:pos="960" w:val="left"/>
        </w:tabs>
        <w:rPr>
          <w:rFonts w:ascii="Arial" w:cs="Arial" w:eastAsia="Arial" w:hAnsi="Arial"/>
          <w:sz w:val="18"/>
          <w:szCs w:val="18"/>
          <w:u w:val="single" w:color="auto"/>
          <w:color w:val="0000FF"/>
        </w:rPr>
      </w:pPr>
      <w:hyperlink r:id="rId114">
        <w:r>
          <w:rPr>
            <w:rFonts w:ascii="Arial" w:cs="Arial" w:eastAsia="Arial" w:hAnsi="Arial"/>
            <w:sz w:val="18"/>
            <w:szCs w:val="18"/>
            <w:u w:val="single" w:color="auto"/>
            <w:color w:val="0000FF"/>
          </w:rPr>
          <w:t>10.13</w:t>
        </w:r>
      </w:hyperlink>
      <w:r>
        <w:rPr>
          <w:rFonts w:ascii="Arial" w:cs="Arial" w:eastAsia="Arial" w:hAnsi="Arial"/>
          <w:sz w:val="18"/>
          <w:szCs w:val="18"/>
          <w:u w:val="single" w:color="auto"/>
          <w:color w:val="0000FF"/>
        </w:rPr>
        <w:tab/>
      </w:r>
      <w:hyperlink r:id="rId114">
        <w:r>
          <w:rPr>
            <w:rFonts w:ascii="Arial" w:cs="Arial" w:eastAsia="Arial" w:hAnsi="Arial"/>
            <w:sz w:val="18"/>
            <w:szCs w:val="18"/>
            <w:u w:val="single" w:color="auto"/>
            <w:color w:val="0000FF"/>
          </w:rPr>
          <w:t>Third Amendment to Lease (Joliet), dated as of September 30, 2020, by and</w:t>
        </w:r>
      </w:hyperlink>
      <w:r>
        <w:rPr>
          <w:rFonts w:ascii="Arial" w:cs="Arial" w:eastAsia="Arial" w:hAnsi="Arial"/>
          <w:sz w:val="18"/>
          <w:szCs w:val="18"/>
          <w:u w:val="single" w:color="auto"/>
          <w:color w:val="0000FF"/>
        </w:rPr>
        <w:t xml:space="preserve"> </w:t>
      </w:r>
      <w:hyperlink r:id="rId114">
        <w:r>
          <w:rPr>
            <w:rFonts w:ascii="Arial" w:cs="Arial" w:eastAsia="Arial" w:hAnsi="Arial"/>
            <w:sz w:val="18"/>
            <w:szCs w:val="18"/>
            <w:u w:val="single" w:color="auto"/>
            <w:color w:val="0000FF"/>
          </w:rPr>
          <w:t>between Harrah’s Joliet Landco LLC and Des Plaines Development Limited</w:t>
        </w:r>
      </w:hyperlink>
      <w:r>
        <w:rPr>
          <w:rFonts w:ascii="Arial" w:cs="Arial" w:eastAsia="Arial" w:hAnsi="Arial"/>
          <w:sz w:val="18"/>
          <w:szCs w:val="18"/>
          <w:u w:val="single" w:color="auto"/>
          <w:color w:val="0000FF"/>
        </w:rPr>
        <w:t xml:space="preserve"> </w:t>
      </w:r>
      <w:hyperlink r:id="rId114">
        <w:r>
          <w:rPr>
            <w:rFonts w:ascii="Arial" w:cs="Arial" w:eastAsia="Arial" w:hAnsi="Arial"/>
            <w:sz w:val="18"/>
            <w:szCs w:val="18"/>
            <w:u w:val="single" w:color="auto"/>
            <w:color w:val="0000FF"/>
          </w:rPr>
          <w:t>Partnership</w:t>
        </w:r>
      </w:hyperlink>
    </w:p>
    <w:p>
      <w:pPr>
        <w:spacing w:after="0" w:line="55" w:lineRule="exact"/>
        <w:rPr>
          <w:rFonts w:ascii="Arial" w:cs="Arial" w:eastAsia="Arial" w:hAnsi="Arial"/>
          <w:sz w:val="18"/>
          <w:szCs w:val="18"/>
          <w:u w:val="single" w:color="auto"/>
          <w:color w:val="0000FF"/>
        </w:rPr>
      </w:pPr>
    </w:p>
    <w:p>
      <w:pPr>
        <w:jc w:val="both"/>
        <w:ind w:left="980" w:right="320" w:hanging="746"/>
        <w:spacing w:after="0" w:line="224" w:lineRule="auto"/>
        <w:tabs>
          <w:tab w:leader="none" w:pos="960" w:val="left"/>
        </w:tabs>
        <w:rPr>
          <w:rFonts w:ascii="Arial" w:cs="Arial" w:eastAsia="Arial" w:hAnsi="Arial"/>
          <w:sz w:val="18"/>
          <w:szCs w:val="18"/>
          <w:u w:val="single" w:color="auto"/>
          <w:color w:val="0000FF"/>
        </w:rPr>
      </w:pPr>
      <w:hyperlink r:id="rId115">
        <w:r>
          <w:rPr>
            <w:rFonts w:ascii="Arial" w:cs="Arial" w:eastAsia="Arial" w:hAnsi="Arial"/>
            <w:sz w:val="18"/>
            <w:szCs w:val="18"/>
            <w:u w:val="single" w:color="auto"/>
            <w:color w:val="0000FF"/>
          </w:rPr>
          <w:t>10.14</w:t>
        </w:r>
      </w:hyperlink>
      <w:r>
        <w:rPr>
          <w:rFonts w:ascii="Arial" w:cs="Arial" w:eastAsia="Arial" w:hAnsi="Arial"/>
          <w:sz w:val="18"/>
          <w:szCs w:val="18"/>
          <w:u w:val="single" w:color="auto"/>
          <w:color w:val="0000FF"/>
        </w:rPr>
        <w:tab/>
      </w:r>
      <w:hyperlink r:id="rId115">
        <w:r>
          <w:rPr>
            <w:rFonts w:ascii="Arial" w:cs="Arial" w:eastAsia="Arial" w:hAnsi="Arial"/>
            <w:sz w:val="18"/>
            <w:szCs w:val="18"/>
            <w:u w:val="single" w:color="auto"/>
            <w:color w:val="0000FF"/>
          </w:rPr>
          <w:t>Fourth Amendment to Lease (Joliet), dated as of November 18, 2020, by and</w:t>
        </w:r>
      </w:hyperlink>
      <w:r>
        <w:rPr>
          <w:rFonts w:ascii="Arial" w:cs="Arial" w:eastAsia="Arial" w:hAnsi="Arial"/>
          <w:sz w:val="18"/>
          <w:szCs w:val="18"/>
          <w:u w:val="single" w:color="auto"/>
          <w:color w:val="0000FF"/>
        </w:rPr>
        <w:t xml:space="preserve"> </w:t>
      </w:r>
      <w:hyperlink r:id="rId115">
        <w:r>
          <w:rPr>
            <w:rFonts w:ascii="Arial" w:cs="Arial" w:eastAsia="Arial" w:hAnsi="Arial"/>
            <w:sz w:val="18"/>
            <w:szCs w:val="18"/>
            <w:u w:val="single" w:color="auto"/>
            <w:color w:val="0000FF"/>
          </w:rPr>
          <w:t>between Harrah’s Joliet Landco LLC and Des Plaines Development Limited</w:t>
        </w:r>
      </w:hyperlink>
      <w:r>
        <w:rPr>
          <w:rFonts w:ascii="Arial" w:cs="Arial" w:eastAsia="Arial" w:hAnsi="Arial"/>
          <w:sz w:val="18"/>
          <w:szCs w:val="18"/>
          <w:u w:val="single" w:color="auto"/>
          <w:color w:val="0000FF"/>
        </w:rPr>
        <w:t xml:space="preserve"> </w:t>
      </w:r>
      <w:hyperlink r:id="rId115">
        <w:r>
          <w:rPr>
            <w:rFonts w:ascii="Arial" w:cs="Arial" w:eastAsia="Arial" w:hAnsi="Arial"/>
            <w:sz w:val="18"/>
            <w:szCs w:val="18"/>
            <w:u w:val="single" w:color="auto"/>
            <w:color w:val="0000FF"/>
          </w:rPr>
          <w:t>Partnership</w:t>
        </w:r>
      </w:hyperlink>
    </w:p>
    <w:p>
      <w:pPr>
        <w:spacing w:after="0" w:line="55" w:lineRule="exact"/>
        <w:rPr>
          <w:rFonts w:ascii="Arial" w:cs="Arial" w:eastAsia="Arial" w:hAnsi="Arial"/>
          <w:sz w:val="18"/>
          <w:szCs w:val="18"/>
          <w:u w:val="single" w:color="auto"/>
          <w:color w:val="0000FF"/>
        </w:rPr>
      </w:pPr>
    </w:p>
    <w:p>
      <w:pPr>
        <w:ind w:left="980" w:right="360" w:hanging="746"/>
        <w:spacing w:after="0" w:line="235" w:lineRule="auto"/>
        <w:tabs>
          <w:tab w:leader="none" w:pos="960" w:val="left"/>
        </w:tabs>
        <w:rPr>
          <w:rFonts w:ascii="Arial" w:cs="Arial" w:eastAsia="Arial" w:hAnsi="Arial"/>
          <w:sz w:val="18"/>
          <w:szCs w:val="18"/>
          <w:u w:val="single" w:color="auto"/>
          <w:color w:val="0000FF"/>
        </w:rPr>
      </w:pPr>
      <w:hyperlink r:id="rId116">
        <w:r>
          <w:rPr>
            <w:rFonts w:ascii="Arial" w:cs="Arial" w:eastAsia="Arial" w:hAnsi="Arial"/>
            <w:sz w:val="18"/>
            <w:szCs w:val="18"/>
            <w:u w:val="single" w:color="auto"/>
            <w:color w:val="0000FF"/>
          </w:rPr>
          <w:t>10.15</w:t>
        </w:r>
      </w:hyperlink>
      <w:r>
        <w:rPr>
          <w:rFonts w:ascii="Arial" w:cs="Arial" w:eastAsia="Arial" w:hAnsi="Arial"/>
          <w:sz w:val="18"/>
          <w:szCs w:val="18"/>
          <w:u w:val="single" w:color="auto"/>
          <w:color w:val="0000FF"/>
        </w:rPr>
        <w:tab/>
      </w:r>
      <w:hyperlink r:id="rId116">
        <w:r>
          <w:rPr>
            <w:rFonts w:ascii="Arial" w:cs="Arial" w:eastAsia="Arial" w:hAnsi="Arial"/>
            <w:sz w:val="18"/>
            <w:szCs w:val="18"/>
            <w:u w:val="single" w:color="auto"/>
            <w:color w:val="0000FF"/>
          </w:rPr>
          <w:t>Fifth Amendment to Lease (Joliet), dated as of September 3, 2021, by and</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between Harrah’s Joliet Landco LLC and Des Plaines Development Limited</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Partnership</w:t>
        </w:r>
      </w:hyperlink>
    </w:p>
    <w:p>
      <w:pPr>
        <w:spacing w:after="0" w:line="67" w:lineRule="exact"/>
        <w:rPr>
          <w:rFonts w:ascii="Arial" w:cs="Arial" w:eastAsia="Arial" w:hAnsi="Arial"/>
          <w:sz w:val="18"/>
          <w:szCs w:val="18"/>
          <w:u w:val="single" w:color="auto"/>
          <w:color w:val="0000FF"/>
        </w:rPr>
      </w:pPr>
    </w:p>
    <w:p>
      <w:pPr>
        <w:ind w:left="980" w:right="360" w:hanging="746"/>
        <w:spacing w:after="0" w:line="235" w:lineRule="auto"/>
        <w:tabs>
          <w:tab w:leader="none" w:pos="960" w:val="left"/>
        </w:tabs>
        <w:rPr>
          <w:rFonts w:ascii="Arial" w:cs="Arial" w:eastAsia="Arial" w:hAnsi="Arial"/>
          <w:sz w:val="18"/>
          <w:szCs w:val="18"/>
          <w:u w:val="single" w:color="auto"/>
          <w:color w:val="0000FF"/>
        </w:rPr>
      </w:pPr>
      <w:hyperlink w:anchor="page205">
        <w:r>
          <w:rPr>
            <w:rFonts w:ascii="Arial" w:cs="Arial" w:eastAsia="Arial" w:hAnsi="Arial"/>
            <w:sz w:val="18"/>
            <w:szCs w:val="18"/>
            <w:u w:val="single" w:color="auto"/>
            <w:color w:val="0000FF"/>
          </w:rPr>
          <w:t>10.16</w:t>
        </w:r>
      </w:hyperlink>
      <w:r>
        <w:rPr>
          <w:rFonts w:ascii="Arial" w:cs="Arial" w:eastAsia="Arial" w:hAnsi="Arial"/>
          <w:sz w:val="18"/>
          <w:szCs w:val="18"/>
          <w:u w:val="single" w:color="auto"/>
          <w:color w:val="0000FF"/>
        </w:rPr>
        <w:tab/>
      </w:r>
      <w:hyperlink w:anchor="page205">
        <w:r>
          <w:rPr>
            <w:rFonts w:ascii="Arial" w:cs="Arial" w:eastAsia="Arial" w:hAnsi="Arial"/>
            <w:sz w:val="18"/>
            <w:szCs w:val="18"/>
            <w:u w:val="single" w:color="auto"/>
            <w:color w:val="0000FF"/>
          </w:rPr>
          <w:t>Sixth Amendment to Lease (Joliet), dated as of November 1, 2021, by and</w:t>
        </w:r>
      </w:hyperlink>
      <w:r>
        <w:rPr>
          <w:rFonts w:ascii="Arial" w:cs="Arial" w:eastAsia="Arial" w:hAnsi="Arial"/>
          <w:sz w:val="18"/>
          <w:szCs w:val="18"/>
          <w:u w:val="single" w:color="auto"/>
          <w:color w:val="0000FF"/>
        </w:rPr>
        <w:t xml:space="preserve"> </w:t>
      </w:r>
      <w:hyperlink w:anchor="page205">
        <w:r>
          <w:rPr>
            <w:rFonts w:ascii="Arial" w:cs="Arial" w:eastAsia="Arial" w:hAnsi="Arial"/>
            <w:sz w:val="18"/>
            <w:szCs w:val="18"/>
            <w:u w:val="single" w:color="auto"/>
            <w:color w:val="0000FF"/>
          </w:rPr>
          <w:t>between Harrah’s Joliet Landco LLC and Des Plaines Development Limited</w:t>
        </w:r>
      </w:hyperlink>
      <w:r>
        <w:rPr>
          <w:rFonts w:ascii="Arial" w:cs="Arial" w:eastAsia="Arial" w:hAnsi="Arial"/>
          <w:sz w:val="18"/>
          <w:szCs w:val="18"/>
          <w:u w:val="single" w:color="auto"/>
          <w:color w:val="0000FF"/>
        </w:rPr>
        <w:t xml:space="preserve"> </w:t>
      </w:r>
      <w:hyperlink w:anchor="page205">
        <w:r>
          <w:rPr>
            <w:rFonts w:ascii="Arial" w:cs="Arial" w:eastAsia="Arial" w:hAnsi="Arial"/>
            <w:sz w:val="18"/>
            <w:szCs w:val="18"/>
            <w:u w:val="single" w:color="auto"/>
            <w:color w:val="0000FF"/>
          </w:rPr>
          <w:t>Partnership</w:t>
        </w:r>
      </w:hyperlink>
    </w:p>
    <w:p>
      <w:pPr>
        <w:spacing w:after="0" w:line="67" w:lineRule="exact"/>
        <w:rPr>
          <w:rFonts w:ascii="Arial" w:cs="Arial" w:eastAsia="Arial" w:hAnsi="Arial"/>
          <w:sz w:val="18"/>
          <w:szCs w:val="18"/>
          <w:u w:val="single" w:color="auto"/>
          <w:color w:val="0000FF"/>
        </w:rPr>
      </w:pPr>
    </w:p>
    <w:p>
      <w:pPr>
        <w:ind w:left="240"/>
        <w:spacing w:after="0"/>
        <w:tabs>
          <w:tab w:leader="none" w:pos="960" w:val="left"/>
        </w:tabs>
        <w:rPr>
          <w:rFonts w:ascii="Arial" w:cs="Arial" w:eastAsia="Arial" w:hAnsi="Arial"/>
          <w:sz w:val="16"/>
          <w:szCs w:val="16"/>
          <w:u w:val="single" w:color="auto"/>
          <w:color w:val="0000FF"/>
        </w:rPr>
      </w:pPr>
      <w:hyperlink r:id="rId117">
        <w:r>
          <w:rPr>
            <w:rFonts w:ascii="Arial" w:cs="Arial" w:eastAsia="Arial" w:hAnsi="Arial"/>
            <w:sz w:val="18"/>
            <w:szCs w:val="18"/>
            <w:u w:val="single" w:color="auto"/>
            <w:color w:val="0000FF"/>
          </w:rPr>
          <w:t>10.17</w:t>
        </w:r>
      </w:hyperlink>
      <w:r>
        <w:rPr>
          <w:rFonts w:ascii="Arial" w:cs="Arial" w:eastAsia="Arial" w:hAnsi="Arial"/>
          <w:sz w:val="18"/>
          <w:szCs w:val="18"/>
          <w:u w:val="single" w:color="auto"/>
          <w:color w:val="0000FF"/>
        </w:rPr>
        <w:tab/>
      </w:r>
      <w:hyperlink r:id="rId117">
        <w:r>
          <w:rPr>
            <w:rFonts w:ascii="Arial" w:cs="Arial" w:eastAsia="Arial" w:hAnsi="Arial"/>
            <w:sz w:val="16"/>
            <w:szCs w:val="16"/>
            <w:u w:val="single" w:color="auto"/>
            <w:color w:val="0000FF"/>
          </w:rPr>
          <w:t>Amended and Restated Omnibus Amendment to Leases, dated October 27, 2020</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920" w:type="dxa"/>
        <w:tblCellMar>
          <w:top w:w="0" w:type="dxa"/>
          <w:left w:w="0" w:type="dxa"/>
          <w:bottom w:w="0" w:type="dxa"/>
          <w:right w:w="0" w:type="dxa"/>
        </w:tblCellMar>
      </w:tblPr>
      <w:tr>
        <w:trPr>
          <w:trHeight w:val="230"/>
        </w:trPr>
        <w:tc>
          <w:tcPr>
            <w:tcW w:w="72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7/21/2020</w:t>
            </w:r>
          </w:p>
        </w:tc>
      </w:tr>
      <w:tr>
        <w:trPr>
          <w:trHeight w:val="729"/>
        </w:trPr>
        <w:tc>
          <w:tcPr>
            <w:tcW w:w="720" w:type="dxa"/>
            <w:vAlign w:val="bottom"/>
          </w:tcPr>
          <w:p>
            <w:pPr>
              <w:jc w:val="center"/>
              <w:ind w:right="250"/>
              <w:spacing w:after="0"/>
              <w:rPr>
                <w:sz w:val="20"/>
                <w:szCs w:val="20"/>
                <w:color w:val="auto"/>
              </w:rPr>
            </w:pPr>
            <w:r>
              <w:rPr>
                <w:rFonts w:ascii="Arial" w:cs="Arial" w:eastAsia="Arial" w:hAnsi="Arial"/>
                <w:sz w:val="18"/>
                <w:szCs w:val="18"/>
                <w:color w:val="auto"/>
                <w:w w:val="94"/>
              </w:rPr>
              <w:t>10-Q</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0"/>
              </w:rPr>
              <w:t>10/28/2020</w:t>
            </w:r>
          </w:p>
        </w:tc>
      </w:tr>
      <w:tr>
        <w:trPr>
          <w:trHeight w:val="635"/>
        </w:trPr>
        <w:tc>
          <w:tcPr>
            <w:tcW w:w="720" w:type="dxa"/>
            <w:vAlign w:val="bottom"/>
          </w:tcPr>
          <w:p>
            <w:pPr>
              <w:jc w:val="center"/>
              <w:ind w:right="250"/>
              <w:spacing w:after="0"/>
              <w:rPr>
                <w:sz w:val="20"/>
                <w:szCs w:val="20"/>
                <w:color w:val="auto"/>
              </w:rPr>
            </w:pPr>
            <w:r>
              <w:rPr>
                <w:rFonts w:ascii="Arial" w:cs="Arial" w:eastAsia="Arial" w:hAnsi="Arial"/>
                <w:sz w:val="18"/>
                <w:szCs w:val="18"/>
                <w:color w:val="auto"/>
                <w:w w:val="99"/>
              </w:rPr>
              <w:t>10-K</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2/18/2021</w:t>
            </w:r>
          </w:p>
        </w:tc>
      </w:tr>
      <w:tr>
        <w:trPr>
          <w:trHeight w:val="648"/>
        </w:trPr>
        <w:tc>
          <w:tcPr>
            <w:tcW w:w="720" w:type="dxa"/>
            <w:vAlign w:val="bottom"/>
          </w:tcPr>
          <w:p>
            <w:pPr>
              <w:jc w:val="center"/>
              <w:ind w:right="250"/>
              <w:spacing w:after="0"/>
              <w:rPr>
                <w:sz w:val="20"/>
                <w:szCs w:val="20"/>
                <w:color w:val="auto"/>
              </w:rPr>
            </w:pPr>
            <w:r>
              <w:rPr>
                <w:rFonts w:ascii="Arial" w:cs="Arial" w:eastAsia="Arial" w:hAnsi="Arial"/>
                <w:sz w:val="18"/>
                <w:szCs w:val="18"/>
                <w:color w:val="auto"/>
                <w:w w:val="94"/>
              </w:rPr>
              <w:t>10-Q</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0"/>
              </w:rPr>
              <w:t>10/27/2021</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55"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72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7/21/2020</w:t>
            </w:r>
          </w:p>
        </w:tc>
      </w:tr>
      <w:tr>
        <w:trPr>
          <w:trHeight w:val="540"/>
        </w:trPr>
        <w:tc>
          <w:tcPr>
            <w:tcW w:w="720" w:type="dxa"/>
            <w:vAlign w:val="bottom"/>
          </w:tcPr>
          <w:p>
            <w:pPr>
              <w:jc w:val="center"/>
              <w:ind w:right="250"/>
              <w:spacing w:after="0"/>
              <w:rPr>
                <w:sz w:val="20"/>
                <w:szCs w:val="20"/>
                <w:color w:val="auto"/>
              </w:rPr>
            </w:pPr>
            <w:r>
              <w:rPr>
                <w:rFonts w:ascii="Arial" w:cs="Arial" w:eastAsia="Arial" w:hAnsi="Arial"/>
                <w:sz w:val="18"/>
                <w:szCs w:val="18"/>
                <w:color w:val="auto"/>
                <w:w w:val="94"/>
              </w:rPr>
              <w:t>10-Q</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0"/>
              </w:rPr>
              <w:t>10/28/2020</w:t>
            </w:r>
          </w:p>
        </w:tc>
      </w:tr>
      <w:tr>
        <w:trPr>
          <w:trHeight w:val="459"/>
        </w:trPr>
        <w:tc>
          <w:tcPr>
            <w:tcW w:w="720" w:type="dxa"/>
            <w:vAlign w:val="bottom"/>
          </w:tcPr>
          <w:p>
            <w:pPr>
              <w:jc w:val="center"/>
              <w:ind w:right="250"/>
              <w:spacing w:after="0"/>
              <w:rPr>
                <w:sz w:val="20"/>
                <w:szCs w:val="20"/>
                <w:color w:val="auto"/>
              </w:rPr>
            </w:pPr>
            <w:r>
              <w:rPr>
                <w:rFonts w:ascii="Arial" w:cs="Arial" w:eastAsia="Arial" w:hAnsi="Arial"/>
                <w:sz w:val="18"/>
                <w:szCs w:val="18"/>
                <w:color w:val="auto"/>
                <w:w w:val="99"/>
              </w:rPr>
              <w:t>10-K</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2/18/2021</w:t>
            </w:r>
          </w:p>
        </w:tc>
      </w:tr>
      <w:tr>
        <w:trPr>
          <w:trHeight w:val="459"/>
        </w:trPr>
        <w:tc>
          <w:tcPr>
            <w:tcW w:w="720" w:type="dxa"/>
            <w:vAlign w:val="bottom"/>
          </w:tcPr>
          <w:p>
            <w:pPr>
              <w:jc w:val="center"/>
              <w:ind w:right="250"/>
              <w:spacing w:after="0"/>
              <w:rPr>
                <w:sz w:val="20"/>
                <w:szCs w:val="20"/>
                <w:color w:val="auto"/>
              </w:rPr>
            </w:pPr>
            <w:r>
              <w:rPr>
                <w:rFonts w:ascii="Arial" w:cs="Arial" w:eastAsia="Arial" w:hAnsi="Arial"/>
                <w:sz w:val="18"/>
                <w:szCs w:val="18"/>
                <w:color w:val="auto"/>
                <w:w w:val="94"/>
              </w:rPr>
              <w:t>10-Q</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0"/>
              </w:rPr>
              <w:t>10/27/2021</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360"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72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7/21/2020</w:t>
            </w:r>
          </w:p>
        </w:tc>
      </w:tr>
      <w:tr>
        <w:trPr>
          <w:trHeight w:val="635"/>
        </w:trPr>
        <w:tc>
          <w:tcPr>
            <w:tcW w:w="720" w:type="dxa"/>
            <w:vAlign w:val="bottom"/>
          </w:tcPr>
          <w:p>
            <w:pPr>
              <w:jc w:val="center"/>
              <w:ind w:right="250"/>
              <w:spacing w:after="0"/>
              <w:rPr>
                <w:sz w:val="20"/>
                <w:szCs w:val="20"/>
                <w:color w:val="auto"/>
              </w:rPr>
            </w:pPr>
            <w:r>
              <w:rPr>
                <w:rFonts w:ascii="Arial" w:cs="Arial" w:eastAsia="Arial" w:hAnsi="Arial"/>
                <w:sz w:val="18"/>
                <w:szCs w:val="18"/>
                <w:color w:val="auto"/>
                <w:w w:val="94"/>
              </w:rPr>
              <w:t>10-Q</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0"/>
              </w:rPr>
              <w:t>10/28/2020</w:t>
            </w:r>
          </w:p>
        </w:tc>
      </w:tr>
      <w:tr>
        <w:trPr>
          <w:trHeight w:val="634"/>
        </w:trPr>
        <w:tc>
          <w:tcPr>
            <w:tcW w:w="720" w:type="dxa"/>
            <w:vAlign w:val="bottom"/>
          </w:tcPr>
          <w:p>
            <w:pPr>
              <w:jc w:val="center"/>
              <w:ind w:right="250"/>
              <w:spacing w:after="0"/>
              <w:rPr>
                <w:sz w:val="20"/>
                <w:szCs w:val="20"/>
                <w:color w:val="auto"/>
              </w:rPr>
            </w:pPr>
            <w:r>
              <w:rPr>
                <w:rFonts w:ascii="Arial" w:cs="Arial" w:eastAsia="Arial" w:hAnsi="Arial"/>
                <w:sz w:val="18"/>
                <w:szCs w:val="18"/>
                <w:color w:val="auto"/>
                <w:w w:val="99"/>
              </w:rPr>
              <w:t>10-K</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2/18/2021</w:t>
            </w:r>
          </w:p>
        </w:tc>
      </w:tr>
      <w:tr>
        <w:trPr>
          <w:trHeight w:val="648"/>
        </w:trPr>
        <w:tc>
          <w:tcPr>
            <w:tcW w:w="720" w:type="dxa"/>
            <w:vAlign w:val="bottom"/>
          </w:tcPr>
          <w:p>
            <w:pPr>
              <w:jc w:val="center"/>
              <w:ind w:right="250"/>
              <w:spacing w:after="0"/>
              <w:rPr>
                <w:sz w:val="20"/>
                <w:szCs w:val="20"/>
                <w:color w:val="auto"/>
              </w:rPr>
            </w:pPr>
            <w:r>
              <w:rPr>
                <w:rFonts w:ascii="Arial" w:cs="Arial" w:eastAsia="Arial" w:hAnsi="Arial"/>
                <w:sz w:val="18"/>
                <w:szCs w:val="18"/>
                <w:color w:val="auto"/>
                <w:w w:val="94"/>
              </w:rPr>
              <w:t>10-Q</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0"/>
              </w:rPr>
              <w:t>10/27/2021</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79" w:lineRule="exact"/>
        <w:rPr>
          <w:sz w:val="20"/>
          <w:szCs w:val="20"/>
          <w:color w:val="auto"/>
        </w:rPr>
      </w:pPr>
    </w:p>
    <w:p>
      <w:pPr>
        <w:jc w:val="right"/>
        <w:spacing w:after="0"/>
        <w:tabs>
          <w:tab w:leader="none" w:pos="1720" w:val="left"/>
          <w:tab w:leader="none" w:pos="80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10/28/2020</w:t>
      </w:r>
    </w:p>
    <w:p>
      <w:pPr>
        <w:sectPr>
          <w:pgSz w:w="11900" w:h="16838" w:orient="portrait"/>
          <w:cols w:equalWidth="0" w:num="2">
            <w:col w:w="6840" w:space="520"/>
            <w:col w:w="3700"/>
          </w:cols>
          <w:pgMar w:left="320" w:top="476" w:right="51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7" w:lineRule="exact"/>
        <w:rPr>
          <w:sz w:val="20"/>
          <w:szCs w:val="20"/>
          <w:color w:val="auto"/>
        </w:rPr>
      </w:pPr>
    </w:p>
    <w:p>
      <w:pPr>
        <w:ind w:left="980" w:right="900" w:hanging="746"/>
        <w:spacing w:after="0" w:line="216" w:lineRule="auto"/>
        <w:tabs>
          <w:tab w:leader="none" w:pos="960" w:val="left"/>
        </w:tabs>
        <w:rPr>
          <w:rFonts w:ascii="Arial" w:cs="Arial" w:eastAsia="Arial" w:hAnsi="Arial"/>
          <w:sz w:val="18"/>
          <w:szCs w:val="18"/>
          <w:u w:val="single" w:color="auto"/>
          <w:color w:val="0000FF"/>
        </w:rPr>
      </w:pPr>
      <w:hyperlink r:id="rId119">
        <w:r>
          <w:rPr>
            <w:rFonts w:ascii="Arial" w:cs="Arial" w:eastAsia="Arial" w:hAnsi="Arial"/>
            <w:sz w:val="18"/>
            <w:szCs w:val="18"/>
            <w:u w:val="single" w:color="auto"/>
            <w:color w:val="0000FF"/>
          </w:rPr>
          <w:t>10.18</w:t>
        </w:r>
      </w:hyperlink>
      <w:r>
        <w:rPr>
          <w:rFonts w:ascii="Arial" w:cs="Arial" w:eastAsia="Arial" w:hAnsi="Arial"/>
          <w:sz w:val="18"/>
          <w:szCs w:val="18"/>
          <w:u w:val="single" w:color="auto"/>
          <w:color w:val="0000FF"/>
        </w:rPr>
        <w:tab/>
      </w:r>
      <w:hyperlink r:id="rId119">
        <w:r>
          <w:rPr>
            <w:rFonts w:ascii="Arial" w:cs="Arial" w:eastAsia="Arial" w:hAnsi="Arial"/>
            <w:sz w:val="18"/>
            <w:szCs w:val="18"/>
            <w:u w:val="single" w:color="auto"/>
            <w:color w:val="0000FF"/>
          </w:rPr>
          <w:t>Second Amendment, dated as of July 20, 2020, to Golf Course Use Agreement,</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dated as of October 6, 2017, by and among Rio Secco LLC, Cascata LLC,</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Chariot Run LLC, Grand Bear LLC, Caesars Enterprise Services, LLC, CEOC,</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LLC and, solely for purposes of Section 2.1(c) thereof, Caesars License</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Company, LLC</w:t>
        </w:r>
      </w:hyperlink>
    </w:p>
    <w:p>
      <w:pPr>
        <w:spacing w:after="0" w:line="54" w:lineRule="exact"/>
        <w:rPr>
          <w:rFonts w:ascii="Arial" w:cs="Arial" w:eastAsia="Arial" w:hAnsi="Arial"/>
          <w:sz w:val="18"/>
          <w:szCs w:val="18"/>
          <w:u w:val="single" w:color="auto"/>
          <w:color w:val="0000FF"/>
        </w:rPr>
      </w:pPr>
    </w:p>
    <w:p>
      <w:pPr>
        <w:jc w:val="both"/>
        <w:ind w:left="980" w:right="1120" w:hanging="746"/>
        <w:spacing w:after="0" w:line="232" w:lineRule="auto"/>
        <w:tabs>
          <w:tab w:leader="none" w:pos="960" w:val="left"/>
        </w:tabs>
        <w:rPr>
          <w:rFonts w:ascii="Arial" w:cs="Arial" w:eastAsia="Arial" w:hAnsi="Arial"/>
          <w:sz w:val="17"/>
          <w:szCs w:val="17"/>
          <w:u w:val="single" w:color="auto"/>
          <w:color w:val="0000FF"/>
        </w:rPr>
      </w:pPr>
      <w:hyperlink r:id="rId120">
        <w:r>
          <w:rPr>
            <w:rFonts w:ascii="Arial" w:cs="Arial" w:eastAsia="Arial" w:hAnsi="Arial"/>
            <w:sz w:val="18"/>
            <w:szCs w:val="18"/>
            <w:u w:val="single" w:color="auto"/>
            <w:color w:val="0000FF"/>
          </w:rPr>
          <w:t>10.19</w:t>
        </w:r>
      </w:hyperlink>
      <w:r>
        <w:rPr>
          <w:rFonts w:ascii="Arial" w:cs="Arial" w:eastAsia="Arial" w:hAnsi="Arial"/>
          <w:sz w:val="18"/>
          <w:szCs w:val="18"/>
          <w:u w:val="single" w:color="auto"/>
          <w:color w:val="0000FF"/>
        </w:rPr>
        <w:tab/>
      </w:r>
      <w:hyperlink r:id="rId120">
        <w:r>
          <w:rPr>
            <w:rFonts w:ascii="Arial" w:cs="Arial" w:eastAsia="Arial" w:hAnsi="Arial"/>
            <w:sz w:val="17"/>
            <w:szCs w:val="17"/>
            <w:u w:val="single" w:color="auto"/>
            <w:color w:val="0000FF"/>
          </w:rPr>
          <w:t>Guaranty of Lease entered into as of July 20, 2020 by and between Eldorado</w:t>
        </w:r>
      </w:hyperlink>
      <w:r>
        <w:rPr>
          <w:rFonts w:ascii="Arial" w:cs="Arial" w:eastAsia="Arial" w:hAnsi="Arial"/>
          <w:sz w:val="17"/>
          <w:szCs w:val="17"/>
          <w:u w:val="single" w:color="auto"/>
          <w:color w:val="0000FF"/>
        </w:rPr>
        <w:t xml:space="preserve"> </w:t>
      </w:r>
      <w:hyperlink r:id="rId120">
        <w:r>
          <w:rPr>
            <w:rFonts w:ascii="Arial" w:cs="Arial" w:eastAsia="Arial" w:hAnsi="Arial"/>
            <w:sz w:val="17"/>
            <w:szCs w:val="17"/>
            <w:u w:val="single" w:color="auto"/>
            <w:color w:val="0000FF"/>
          </w:rPr>
          <w:t>Resorts, Inc. (to be renamed Caesars Entertainment, Inc. and converted to a</w:t>
        </w:r>
      </w:hyperlink>
      <w:r>
        <w:rPr>
          <w:rFonts w:ascii="Arial" w:cs="Arial" w:eastAsia="Arial" w:hAnsi="Arial"/>
          <w:sz w:val="17"/>
          <w:szCs w:val="17"/>
          <w:u w:val="single" w:color="auto"/>
          <w:color w:val="0000FF"/>
        </w:rPr>
        <w:t xml:space="preserve"> </w:t>
      </w:r>
      <w:hyperlink r:id="rId120">
        <w:r>
          <w:rPr>
            <w:rFonts w:ascii="Arial" w:cs="Arial" w:eastAsia="Arial" w:hAnsi="Arial"/>
            <w:sz w:val="17"/>
            <w:szCs w:val="17"/>
            <w:u w:val="single" w:color="auto"/>
            <w:color w:val="0000FF"/>
          </w:rPr>
          <w:t>Delaware corporation on the date thereof), CPLV Property Owner LLC, and</w:t>
        </w:r>
      </w:hyperlink>
      <w:r>
        <w:rPr>
          <w:rFonts w:ascii="Arial" w:cs="Arial" w:eastAsia="Arial" w:hAnsi="Arial"/>
          <w:sz w:val="17"/>
          <w:szCs w:val="17"/>
          <w:u w:val="single" w:color="auto"/>
          <w:color w:val="0000FF"/>
        </w:rPr>
        <w:t xml:space="preserve"> </w:t>
      </w:r>
      <w:hyperlink r:id="rId120">
        <w:r>
          <w:rPr>
            <w:rFonts w:ascii="Arial" w:cs="Arial" w:eastAsia="Arial" w:hAnsi="Arial"/>
            <w:sz w:val="17"/>
            <w:szCs w:val="17"/>
            <w:u w:val="single" w:color="auto"/>
            <w:color w:val="0000FF"/>
          </w:rPr>
          <w:t>Claudine Propco LLC (Las Vegas Master Lease)</w:t>
        </w:r>
      </w:hyperlink>
    </w:p>
    <w:p>
      <w:pPr>
        <w:spacing w:after="0" w:line="54" w:lineRule="exact"/>
        <w:rPr>
          <w:rFonts w:ascii="Arial" w:cs="Arial" w:eastAsia="Arial" w:hAnsi="Arial"/>
          <w:sz w:val="17"/>
          <w:szCs w:val="17"/>
          <w:u w:val="single" w:color="auto"/>
          <w:color w:val="0000FF"/>
        </w:rPr>
      </w:pPr>
    </w:p>
    <w:p>
      <w:pPr>
        <w:ind w:left="980" w:right="940" w:hanging="746"/>
        <w:spacing w:after="0" w:line="219" w:lineRule="auto"/>
        <w:tabs>
          <w:tab w:leader="none" w:pos="960" w:val="left"/>
        </w:tabs>
        <w:rPr>
          <w:rFonts w:ascii="Arial" w:cs="Arial" w:eastAsia="Arial" w:hAnsi="Arial"/>
          <w:sz w:val="18"/>
          <w:szCs w:val="18"/>
          <w:u w:val="single" w:color="auto"/>
          <w:color w:val="0000FF"/>
        </w:rPr>
      </w:pPr>
      <w:hyperlink r:id="rId121">
        <w:r>
          <w:rPr>
            <w:rFonts w:ascii="Arial" w:cs="Arial" w:eastAsia="Arial" w:hAnsi="Arial"/>
            <w:sz w:val="18"/>
            <w:szCs w:val="18"/>
            <w:u w:val="single" w:color="auto"/>
            <w:color w:val="0000FF"/>
          </w:rPr>
          <w:t>10.20</w:t>
        </w:r>
      </w:hyperlink>
      <w:r>
        <w:rPr>
          <w:rFonts w:ascii="Arial" w:cs="Arial" w:eastAsia="Arial" w:hAnsi="Arial"/>
          <w:sz w:val="18"/>
          <w:szCs w:val="18"/>
          <w:u w:val="single" w:color="auto"/>
          <w:color w:val="0000FF"/>
        </w:rPr>
        <w:tab/>
      </w:r>
      <w:hyperlink r:id="rId121">
        <w:r>
          <w:rPr>
            <w:rFonts w:ascii="Arial" w:cs="Arial" w:eastAsia="Arial" w:hAnsi="Arial"/>
            <w:sz w:val="18"/>
            <w:szCs w:val="18"/>
            <w:u w:val="single" w:color="auto"/>
            <w:color w:val="0000FF"/>
          </w:rPr>
          <w:t>Guaranty of Lease entered into as of July 20, 2020 by and between Eldorado</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Resorts, Inc. (to be renamed Caesars Entertainment, Inc. and converted to a</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Delaware corporation on the date thereof) and the entities listed on Schedule A</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thereto (Regional Lease)</w:t>
        </w:r>
      </w:hyperlink>
    </w:p>
    <w:p>
      <w:pPr>
        <w:spacing w:after="0" w:line="55" w:lineRule="exact"/>
        <w:rPr>
          <w:rFonts w:ascii="Arial" w:cs="Arial" w:eastAsia="Arial" w:hAnsi="Arial"/>
          <w:sz w:val="18"/>
          <w:szCs w:val="18"/>
          <w:u w:val="single" w:color="auto"/>
          <w:color w:val="0000FF"/>
        </w:rPr>
      </w:pPr>
    </w:p>
    <w:p>
      <w:pPr>
        <w:ind w:left="980" w:right="760" w:hanging="746"/>
        <w:spacing w:after="0" w:line="219" w:lineRule="auto"/>
        <w:tabs>
          <w:tab w:leader="none" w:pos="960" w:val="left"/>
        </w:tabs>
        <w:rPr>
          <w:rFonts w:ascii="Arial" w:cs="Arial" w:eastAsia="Arial" w:hAnsi="Arial"/>
          <w:sz w:val="18"/>
          <w:szCs w:val="18"/>
          <w:u w:val="single" w:color="auto"/>
          <w:color w:val="0000FF"/>
        </w:rPr>
      </w:pPr>
      <w:hyperlink r:id="rId122">
        <w:r>
          <w:rPr>
            <w:rFonts w:ascii="Arial" w:cs="Arial" w:eastAsia="Arial" w:hAnsi="Arial"/>
            <w:sz w:val="18"/>
            <w:szCs w:val="18"/>
            <w:u w:val="single" w:color="auto"/>
            <w:color w:val="0000FF"/>
          </w:rPr>
          <w:t>10.21</w:t>
        </w:r>
      </w:hyperlink>
      <w:r>
        <w:rPr>
          <w:rFonts w:ascii="Arial" w:cs="Arial" w:eastAsia="Arial" w:hAnsi="Arial"/>
          <w:sz w:val="18"/>
          <w:szCs w:val="18"/>
          <w:u w:val="single" w:color="auto"/>
          <w:color w:val="0000FF"/>
        </w:rPr>
        <w:tab/>
      </w:r>
      <w:hyperlink r:id="rId122">
        <w:r>
          <w:rPr>
            <w:rFonts w:ascii="Arial" w:cs="Arial" w:eastAsia="Arial" w:hAnsi="Arial"/>
            <w:sz w:val="18"/>
            <w:szCs w:val="18"/>
            <w:u w:val="single" w:color="auto"/>
            <w:color w:val="0000FF"/>
          </w:rPr>
          <w:t>Guaranty of Lease entered into as of July 20, 2020 by and between Eldorado</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Resorts, Inc. (to be renamed Caesars Entertainment, Inc. and converted to a</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Delaware corporation on the date thereof) and Harrah’s Joliet Landco LLC (Joliet</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Lease)</w:t>
        </w:r>
      </w:hyperlink>
    </w:p>
    <w:p>
      <w:pPr>
        <w:spacing w:after="0" w:line="55" w:lineRule="exact"/>
        <w:rPr>
          <w:rFonts w:ascii="Arial" w:cs="Arial" w:eastAsia="Arial" w:hAnsi="Arial"/>
          <w:sz w:val="18"/>
          <w:szCs w:val="18"/>
          <w:u w:val="single" w:color="auto"/>
          <w:color w:val="0000FF"/>
        </w:rPr>
      </w:pPr>
    </w:p>
    <w:p>
      <w:pPr>
        <w:ind w:left="980" w:right="760" w:hanging="746"/>
        <w:spacing w:after="0" w:line="224" w:lineRule="auto"/>
        <w:tabs>
          <w:tab w:leader="none" w:pos="960" w:val="left"/>
        </w:tabs>
        <w:rPr>
          <w:rFonts w:ascii="Arial" w:cs="Arial" w:eastAsia="Arial" w:hAnsi="Arial"/>
          <w:sz w:val="18"/>
          <w:szCs w:val="18"/>
          <w:u w:val="single" w:color="auto"/>
          <w:color w:val="0000FF"/>
        </w:rPr>
      </w:pPr>
      <w:hyperlink r:id="rId123">
        <w:r>
          <w:rPr>
            <w:rFonts w:ascii="Arial" w:cs="Arial" w:eastAsia="Arial" w:hAnsi="Arial"/>
            <w:sz w:val="18"/>
            <w:szCs w:val="18"/>
            <w:u w:val="single" w:color="auto"/>
            <w:color w:val="0000FF"/>
          </w:rPr>
          <w:t>10.22</w:t>
        </w:r>
      </w:hyperlink>
      <w:r>
        <w:rPr>
          <w:rFonts w:ascii="Arial" w:cs="Arial" w:eastAsia="Arial" w:hAnsi="Arial"/>
          <w:sz w:val="18"/>
          <w:szCs w:val="18"/>
          <w:u w:val="single" w:color="auto"/>
          <w:color w:val="0000FF"/>
        </w:rPr>
        <w:tab/>
      </w:r>
      <w:hyperlink r:id="rId123">
        <w:r>
          <w:rPr>
            <w:rFonts w:ascii="Arial" w:cs="Arial" w:eastAsia="Arial" w:hAnsi="Arial"/>
            <w:sz w:val="18"/>
            <w:szCs w:val="18"/>
            <w:u w:val="single" w:color="auto"/>
            <w:color w:val="0000FF"/>
          </w:rPr>
          <w:t>Second Amended and Restated Lease Agreement, dated April 3, 2020, by and</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among Jazz Casino Company, L.L.C., New Orleans Building Corporation and the</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City of New Orleans</w:t>
        </w:r>
      </w:hyperlink>
    </w:p>
    <w:p>
      <w:pPr>
        <w:spacing w:after="0" w:line="55" w:lineRule="exact"/>
        <w:rPr>
          <w:rFonts w:ascii="Arial" w:cs="Arial" w:eastAsia="Arial" w:hAnsi="Arial"/>
          <w:sz w:val="18"/>
          <w:szCs w:val="18"/>
          <w:u w:val="single" w:color="auto"/>
          <w:color w:val="0000FF"/>
        </w:rPr>
      </w:pPr>
    </w:p>
    <w:p>
      <w:pPr>
        <w:ind w:left="980" w:right="1260" w:hanging="746"/>
        <w:spacing w:after="0" w:line="235" w:lineRule="auto"/>
        <w:tabs>
          <w:tab w:leader="none" w:pos="960" w:val="left"/>
        </w:tabs>
        <w:rPr>
          <w:rFonts w:ascii="Arial" w:cs="Arial" w:eastAsia="Arial" w:hAnsi="Arial"/>
          <w:sz w:val="18"/>
          <w:szCs w:val="18"/>
          <w:u w:val="single" w:color="auto"/>
          <w:color w:val="0000FF"/>
        </w:rPr>
      </w:pPr>
      <w:hyperlink r:id="rId124">
        <w:r>
          <w:rPr>
            <w:rFonts w:ascii="Arial" w:cs="Arial" w:eastAsia="Arial" w:hAnsi="Arial"/>
            <w:sz w:val="18"/>
            <w:szCs w:val="18"/>
            <w:u w:val="single" w:color="auto"/>
            <w:color w:val="0000FF"/>
          </w:rPr>
          <w:t>10.23</w:t>
        </w:r>
      </w:hyperlink>
      <w:r>
        <w:rPr>
          <w:rFonts w:ascii="Arial" w:cs="Arial" w:eastAsia="Arial" w:hAnsi="Arial"/>
          <w:sz w:val="18"/>
          <w:szCs w:val="18"/>
          <w:u w:val="single" w:color="auto"/>
          <w:color w:val="0000FF"/>
        </w:rPr>
        <w:tab/>
      </w:r>
      <w:hyperlink r:id="rId124">
        <w:r>
          <w:rPr>
            <w:rFonts w:ascii="Arial" w:cs="Arial" w:eastAsia="Arial" w:hAnsi="Arial"/>
            <w:sz w:val="18"/>
            <w:szCs w:val="18"/>
            <w:u w:val="single" w:color="auto"/>
            <w:color w:val="0000FF"/>
          </w:rPr>
          <w:t>Put-Call Right Agreement entered into as of July 20, 2020 by and between</w:t>
        </w:r>
      </w:hyperlink>
      <w:r>
        <w:rPr>
          <w:rFonts w:ascii="Arial" w:cs="Arial" w:eastAsia="Arial" w:hAnsi="Arial"/>
          <w:sz w:val="18"/>
          <w:szCs w:val="18"/>
          <w:u w:val="single" w:color="auto"/>
          <w:color w:val="0000FF"/>
        </w:rPr>
        <w:t xml:space="preserve"> </w:t>
      </w:r>
      <w:hyperlink r:id="rId124">
        <w:r>
          <w:rPr>
            <w:rFonts w:ascii="Arial" w:cs="Arial" w:eastAsia="Arial" w:hAnsi="Arial"/>
            <w:sz w:val="18"/>
            <w:szCs w:val="18"/>
            <w:u w:val="single" w:color="auto"/>
            <w:color w:val="0000FF"/>
          </w:rPr>
          <w:t>Centaur Propco LLC and Caesars Resort Collection, LLC</w:t>
        </w:r>
      </w:hyperlink>
    </w:p>
    <w:p>
      <w:pPr>
        <w:spacing w:after="0" w:line="54" w:lineRule="exact"/>
        <w:rPr>
          <w:rFonts w:ascii="Arial" w:cs="Arial" w:eastAsia="Arial" w:hAnsi="Arial"/>
          <w:sz w:val="18"/>
          <w:szCs w:val="18"/>
          <w:u w:val="single" w:color="auto"/>
          <w:color w:val="0000FF"/>
        </w:rPr>
      </w:pPr>
    </w:p>
    <w:p>
      <w:pPr>
        <w:ind w:left="980" w:right="1160" w:hanging="746"/>
        <w:spacing w:after="0" w:line="224" w:lineRule="auto"/>
        <w:tabs>
          <w:tab w:leader="none" w:pos="960" w:val="left"/>
        </w:tabs>
        <w:rPr>
          <w:rFonts w:ascii="Arial" w:cs="Arial" w:eastAsia="Arial" w:hAnsi="Arial"/>
          <w:sz w:val="18"/>
          <w:szCs w:val="18"/>
          <w:u w:val="single" w:color="auto"/>
          <w:color w:val="0000FF"/>
        </w:rPr>
      </w:pPr>
      <w:hyperlink r:id="rId125">
        <w:r>
          <w:rPr>
            <w:rFonts w:ascii="Arial" w:cs="Arial" w:eastAsia="Arial" w:hAnsi="Arial"/>
            <w:sz w:val="18"/>
            <w:szCs w:val="18"/>
            <w:u w:val="single" w:color="auto"/>
            <w:color w:val="0000FF"/>
          </w:rPr>
          <w:t>10.24</w:t>
        </w:r>
      </w:hyperlink>
      <w:r>
        <w:rPr>
          <w:rFonts w:ascii="Arial" w:cs="Arial" w:eastAsia="Arial" w:hAnsi="Arial"/>
          <w:sz w:val="18"/>
          <w:szCs w:val="18"/>
          <w:u w:val="single" w:color="auto"/>
          <w:color w:val="0000FF"/>
        </w:rPr>
        <w:tab/>
      </w:r>
      <w:hyperlink r:id="rId125">
        <w:r>
          <w:rPr>
            <w:rFonts w:ascii="Arial" w:cs="Arial" w:eastAsia="Arial" w:hAnsi="Arial"/>
            <w:sz w:val="18"/>
            <w:szCs w:val="18"/>
            <w:u w:val="single" w:color="auto"/>
            <w:color w:val="0000FF"/>
          </w:rPr>
          <w:t>Second Amended and Restated Put-Call Right Agreement entered into as of</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September 18, 2020 by and among Claudine Propco LLC and Caesars</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Convention Center Owner, LLC</w:t>
        </w:r>
      </w:hyperlink>
    </w:p>
    <w:p>
      <w:pPr>
        <w:spacing w:after="0" w:line="55" w:lineRule="exact"/>
        <w:rPr>
          <w:rFonts w:ascii="Arial" w:cs="Arial" w:eastAsia="Arial" w:hAnsi="Arial"/>
          <w:sz w:val="18"/>
          <w:szCs w:val="18"/>
          <w:u w:val="single" w:color="auto"/>
          <w:color w:val="0000FF"/>
        </w:rPr>
      </w:pPr>
    </w:p>
    <w:p>
      <w:pPr>
        <w:ind w:left="980" w:right="920" w:hanging="746"/>
        <w:spacing w:after="0" w:line="219" w:lineRule="auto"/>
        <w:tabs>
          <w:tab w:leader="none" w:pos="960" w:val="left"/>
        </w:tabs>
        <w:rPr>
          <w:rFonts w:ascii="Arial" w:cs="Arial" w:eastAsia="Arial" w:hAnsi="Arial"/>
          <w:sz w:val="18"/>
          <w:szCs w:val="18"/>
          <w:u w:val="single" w:color="auto"/>
          <w:color w:val="0000FF"/>
        </w:rPr>
      </w:pPr>
      <w:hyperlink r:id="rId126">
        <w:r>
          <w:rPr>
            <w:rFonts w:ascii="Arial" w:cs="Arial" w:eastAsia="Arial" w:hAnsi="Arial"/>
            <w:sz w:val="18"/>
            <w:szCs w:val="18"/>
            <w:u w:val="single" w:color="auto"/>
            <w:color w:val="0000FF"/>
          </w:rPr>
          <w:t>10.25</w:t>
        </w:r>
      </w:hyperlink>
      <w:r>
        <w:rPr>
          <w:rFonts w:ascii="Arial" w:cs="Arial" w:eastAsia="Arial" w:hAnsi="Arial"/>
          <w:sz w:val="18"/>
          <w:szCs w:val="18"/>
          <w:u w:val="single" w:color="auto"/>
          <w:color w:val="0000FF"/>
        </w:rPr>
        <w:tab/>
      </w:r>
      <w:hyperlink r:id="rId126">
        <w:r>
          <w:rPr>
            <w:rFonts w:ascii="Arial" w:cs="Arial" w:eastAsia="Arial" w:hAnsi="Arial"/>
            <w:sz w:val="18"/>
            <w:szCs w:val="18"/>
            <w:u w:val="single" w:color="auto"/>
            <w:color w:val="0000FF"/>
          </w:rPr>
          <w:t>Right of First Refusal Agreement entered into as of July 20, 2020 by and</w:t>
        </w:r>
      </w:hyperlink>
      <w:r>
        <w:rPr>
          <w:rFonts w:ascii="Arial" w:cs="Arial" w:eastAsia="Arial" w:hAnsi="Arial"/>
          <w:sz w:val="18"/>
          <w:szCs w:val="18"/>
          <w:u w:val="single" w:color="auto"/>
          <w:color w:val="0000FF"/>
        </w:rPr>
        <w:t xml:space="preserve"> </w:t>
      </w:r>
      <w:hyperlink r:id="rId126">
        <w:r>
          <w:rPr>
            <w:rFonts w:ascii="Arial" w:cs="Arial" w:eastAsia="Arial" w:hAnsi="Arial"/>
            <w:sz w:val="18"/>
            <w:szCs w:val="18"/>
            <w:u w:val="single" w:color="auto"/>
            <w:color w:val="0000FF"/>
          </w:rPr>
          <w:t>between Eldorado Resorts, Inc. (to be renamed Caesars Entertainment, Inc. and</w:t>
        </w:r>
      </w:hyperlink>
      <w:r>
        <w:rPr>
          <w:rFonts w:ascii="Arial" w:cs="Arial" w:eastAsia="Arial" w:hAnsi="Arial"/>
          <w:sz w:val="18"/>
          <w:szCs w:val="18"/>
          <w:u w:val="single" w:color="auto"/>
          <w:color w:val="0000FF"/>
        </w:rPr>
        <w:t xml:space="preserve"> </w:t>
      </w:r>
      <w:hyperlink r:id="rId126">
        <w:r>
          <w:rPr>
            <w:rFonts w:ascii="Arial" w:cs="Arial" w:eastAsia="Arial" w:hAnsi="Arial"/>
            <w:sz w:val="18"/>
            <w:szCs w:val="18"/>
            <w:u w:val="single" w:color="auto"/>
            <w:color w:val="0000FF"/>
          </w:rPr>
          <w:t>converted to a Delaware corporation on the date thereof) and VICI Properties</w:t>
        </w:r>
      </w:hyperlink>
      <w:r>
        <w:rPr>
          <w:rFonts w:ascii="Arial" w:cs="Arial" w:eastAsia="Arial" w:hAnsi="Arial"/>
          <w:sz w:val="18"/>
          <w:szCs w:val="18"/>
          <w:u w:val="single" w:color="auto"/>
          <w:color w:val="0000FF"/>
        </w:rPr>
        <w:t xml:space="preserve"> </w:t>
      </w:r>
      <w:hyperlink r:id="rId126">
        <w:r>
          <w:rPr>
            <w:rFonts w:ascii="Arial" w:cs="Arial" w:eastAsia="Arial" w:hAnsi="Arial"/>
            <w:sz w:val="18"/>
            <w:szCs w:val="18"/>
            <w:u w:val="single" w:color="auto"/>
            <w:color w:val="0000FF"/>
          </w:rPr>
          <w:t>L.P. (Las Vegas Strip Assets)</w:t>
        </w:r>
      </w:hyperlink>
    </w:p>
    <w:p>
      <w:pPr>
        <w:spacing w:after="0" w:line="55" w:lineRule="exact"/>
        <w:rPr>
          <w:rFonts w:ascii="Arial" w:cs="Arial" w:eastAsia="Arial" w:hAnsi="Arial"/>
          <w:sz w:val="18"/>
          <w:szCs w:val="18"/>
          <w:u w:val="single" w:color="auto"/>
          <w:color w:val="0000FF"/>
        </w:rPr>
      </w:pPr>
    </w:p>
    <w:p>
      <w:pPr>
        <w:ind w:left="980" w:right="920" w:hanging="746"/>
        <w:spacing w:after="0" w:line="219" w:lineRule="auto"/>
        <w:tabs>
          <w:tab w:leader="none" w:pos="960" w:val="left"/>
        </w:tabs>
        <w:rPr>
          <w:rFonts w:ascii="Arial" w:cs="Arial" w:eastAsia="Arial" w:hAnsi="Arial"/>
          <w:sz w:val="18"/>
          <w:szCs w:val="18"/>
          <w:u w:val="single" w:color="auto"/>
          <w:color w:val="0000FF"/>
        </w:rPr>
      </w:pPr>
      <w:hyperlink r:id="rId127">
        <w:r>
          <w:rPr>
            <w:rFonts w:ascii="Arial" w:cs="Arial" w:eastAsia="Arial" w:hAnsi="Arial"/>
            <w:sz w:val="18"/>
            <w:szCs w:val="18"/>
            <w:u w:val="single" w:color="auto"/>
            <w:color w:val="0000FF"/>
          </w:rPr>
          <w:t>10.26</w:t>
        </w:r>
      </w:hyperlink>
      <w:r>
        <w:rPr>
          <w:rFonts w:ascii="Arial" w:cs="Arial" w:eastAsia="Arial" w:hAnsi="Arial"/>
          <w:sz w:val="18"/>
          <w:szCs w:val="18"/>
          <w:u w:val="single" w:color="auto"/>
          <w:color w:val="0000FF"/>
        </w:rPr>
        <w:tab/>
      </w:r>
      <w:hyperlink r:id="rId127">
        <w:r>
          <w:rPr>
            <w:rFonts w:ascii="Arial" w:cs="Arial" w:eastAsia="Arial" w:hAnsi="Arial"/>
            <w:sz w:val="18"/>
            <w:szCs w:val="18"/>
            <w:u w:val="single" w:color="auto"/>
            <w:color w:val="0000FF"/>
          </w:rPr>
          <w:t>Right of First Refusal Agreement entered into as of July 20, 2020 by and</w:t>
        </w:r>
      </w:hyperlink>
      <w:r>
        <w:rPr>
          <w:rFonts w:ascii="Arial" w:cs="Arial" w:eastAsia="Arial" w:hAnsi="Arial"/>
          <w:sz w:val="18"/>
          <w:szCs w:val="18"/>
          <w:u w:val="single" w:color="auto"/>
          <w:color w:val="0000FF"/>
        </w:rPr>
        <w:t xml:space="preserve"> </w:t>
      </w:r>
      <w:hyperlink r:id="rId127">
        <w:r>
          <w:rPr>
            <w:rFonts w:ascii="Arial" w:cs="Arial" w:eastAsia="Arial" w:hAnsi="Arial"/>
            <w:sz w:val="18"/>
            <w:szCs w:val="18"/>
            <w:u w:val="single" w:color="auto"/>
            <w:color w:val="0000FF"/>
          </w:rPr>
          <w:t>between Eldorado Resorts, Inc. (to be renamed Caesars Entertainment, Inc. and</w:t>
        </w:r>
      </w:hyperlink>
      <w:r>
        <w:rPr>
          <w:rFonts w:ascii="Arial" w:cs="Arial" w:eastAsia="Arial" w:hAnsi="Arial"/>
          <w:sz w:val="18"/>
          <w:szCs w:val="18"/>
          <w:u w:val="single" w:color="auto"/>
          <w:color w:val="0000FF"/>
        </w:rPr>
        <w:t xml:space="preserve"> </w:t>
      </w:r>
      <w:hyperlink r:id="rId127">
        <w:r>
          <w:rPr>
            <w:rFonts w:ascii="Arial" w:cs="Arial" w:eastAsia="Arial" w:hAnsi="Arial"/>
            <w:sz w:val="18"/>
            <w:szCs w:val="18"/>
            <w:u w:val="single" w:color="auto"/>
            <w:color w:val="0000FF"/>
          </w:rPr>
          <w:t>converted to a Delaware corporation on the date thereof) and VICI Properties</w:t>
        </w:r>
      </w:hyperlink>
      <w:r>
        <w:rPr>
          <w:rFonts w:ascii="Arial" w:cs="Arial" w:eastAsia="Arial" w:hAnsi="Arial"/>
          <w:sz w:val="18"/>
          <w:szCs w:val="18"/>
          <w:u w:val="single" w:color="auto"/>
          <w:color w:val="0000FF"/>
        </w:rPr>
        <w:t xml:space="preserve"> </w:t>
      </w:r>
      <w:hyperlink r:id="rId127">
        <w:r>
          <w:rPr>
            <w:rFonts w:ascii="Arial" w:cs="Arial" w:eastAsia="Arial" w:hAnsi="Arial"/>
            <w:sz w:val="18"/>
            <w:szCs w:val="18"/>
            <w:u w:val="single" w:color="auto"/>
            <w:color w:val="0000FF"/>
          </w:rPr>
          <w:t>L.P. (Horseshoe Baltimore)</w:t>
        </w:r>
      </w:hyperlink>
    </w:p>
    <w:p>
      <w:pPr>
        <w:spacing w:after="0" w:line="55" w:lineRule="exact"/>
        <w:rPr>
          <w:rFonts w:ascii="Arial" w:cs="Arial" w:eastAsia="Arial" w:hAnsi="Arial"/>
          <w:sz w:val="18"/>
          <w:szCs w:val="18"/>
          <w:u w:val="single" w:color="auto"/>
          <w:color w:val="0000FF"/>
        </w:rPr>
      </w:pPr>
    </w:p>
    <w:p>
      <w:pPr>
        <w:ind w:left="980" w:right="920" w:hanging="746"/>
        <w:spacing w:after="0" w:line="224" w:lineRule="auto"/>
        <w:tabs>
          <w:tab w:leader="none" w:pos="960" w:val="left"/>
        </w:tabs>
        <w:rPr>
          <w:rFonts w:ascii="Arial" w:cs="Arial" w:eastAsia="Arial" w:hAnsi="Arial"/>
          <w:sz w:val="18"/>
          <w:szCs w:val="18"/>
          <w:u w:val="single" w:color="auto"/>
          <w:color w:val="0000FF"/>
        </w:rPr>
      </w:pPr>
      <w:hyperlink r:id="rId128">
        <w:r>
          <w:rPr>
            <w:rFonts w:ascii="Arial" w:cs="Arial" w:eastAsia="Arial" w:hAnsi="Arial"/>
            <w:sz w:val="18"/>
            <w:szCs w:val="18"/>
            <w:u w:val="single" w:color="auto"/>
            <w:color w:val="0000FF"/>
          </w:rPr>
          <w:t>10.27</w:t>
        </w:r>
      </w:hyperlink>
      <w:r>
        <w:rPr>
          <w:rFonts w:ascii="Arial" w:cs="Arial" w:eastAsia="Arial" w:hAnsi="Arial"/>
          <w:sz w:val="18"/>
          <w:szCs w:val="18"/>
          <w:u w:val="single" w:color="auto"/>
          <w:color w:val="0000FF"/>
        </w:rPr>
        <w:tab/>
      </w:r>
      <w:hyperlink r:id="rId128">
        <w:r>
          <w:rPr>
            <w:rFonts w:ascii="Arial" w:cs="Arial" w:eastAsia="Arial" w:hAnsi="Arial"/>
            <w:sz w:val="18"/>
            <w:szCs w:val="18"/>
            <w:u w:val="single" w:color="auto"/>
            <w:color w:val="0000FF"/>
          </w:rPr>
          <w:t>Tax Matters Agreement, dated as of October 6, 2017, by and among Caesars</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Entertainment Corporation, CEOC, LLC, VICI Properties Inc., VICI Properties</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L.P. and CPLV Property Owner LLC.</w:t>
        </w:r>
      </w:hyperlink>
    </w:p>
    <w:p>
      <w:pPr>
        <w:spacing w:after="0" w:line="55" w:lineRule="exact"/>
        <w:rPr>
          <w:rFonts w:ascii="Arial" w:cs="Arial" w:eastAsia="Arial" w:hAnsi="Arial"/>
          <w:sz w:val="18"/>
          <w:szCs w:val="18"/>
          <w:u w:val="single" w:color="auto"/>
          <w:color w:val="0000FF"/>
        </w:rPr>
      </w:pPr>
    </w:p>
    <w:p>
      <w:pPr>
        <w:ind w:left="980" w:right="880" w:hanging="746"/>
        <w:spacing w:after="0" w:line="224" w:lineRule="auto"/>
        <w:tabs>
          <w:tab w:leader="none" w:pos="960" w:val="left"/>
        </w:tabs>
        <w:rPr>
          <w:rFonts w:ascii="Arial" w:cs="Arial" w:eastAsia="Arial" w:hAnsi="Arial"/>
          <w:sz w:val="18"/>
          <w:szCs w:val="18"/>
          <w:u w:val="single" w:color="auto"/>
          <w:color w:val="0000FF"/>
        </w:rPr>
      </w:pPr>
      <w:hyperlink r:id="rId129">
        <w:r>
          <w:rPr>
            <w:rFonts w:ascii="Arial" w:cs="Arial" w:eastAsia="Arial" w:hAnsi="Arial"/>
            <w:sz w:val="18"/>
            <w:szCs w:val="18"/>
            <w:u w:val="single" w:color="auto"/>
            <w:color w:val="0000FF"/>
          </w:rPr>
          <w:t>10.28</w:t>
        </w:r>
      </w:hyperlink>
      <w:r>
        <w:rPr>
          <w:rFonts w:ascii="Arial" w:cs="Arial" w:eastAsia="Arial" w:hAnsi="Arial"/>
          <w:sz w:val="18"/>
          <w:szCs w:val="18"/>
          <w:u w:val="single" w:color="auto"/>
          <w:color w:val="0000FF"/>
        </w:rPr>
        <w:tab/>
      </w:r>
      <w:hyperlink r:id="rId129">
        <w:r>
          <w:rPr>
            <w:rFonts w:ascii="Arial" w:cs="Arial" w:eastAsia="Arial" w:hAnsi="Arial"/>
            <w:sz w:val="18"/>
            <w:szCs w:val="18"/>
            <w:u w:val="single" w:color="auto"/>
            <w:color w:val="0000FF"/>
          </w:rPr>
          <w:t>Credit Agreement, dated as of February 8, 2022, among VICI Properties LP, the</w:t>
        </w:r>
      </w:hyperlink>
      <w:r>
        <w:rPr>
          <w:rFonts w:ascii="Arial" w:cs="Arial" w:eastAsia="Arial" w:hAnsi="Arial"/>
          <w:sz w:val="18"/>
          <w:szCs w:val="18"/>
          <w:u w:val="single" w:color="auto"/>
          <w:color w:val="0000FF"/>
        </w:rPr>
        <w:t xml:space="preserve"> </w:t>
      </w:r>
      <w:hyperlink r:id="rId129">
        <w:r>
          <w:rPr>
            <w:rFonts w:ascii="Arial" w:cs="Arial" w:eastAsia="Arial" w:hAnsi="Arial"/>
            <w:sz w:val="18"/>
            <w:szCs w:val="18"/>
            <w:u w:val="single" w:color="auto"/>
            <w:color w:val="0000FF"/>
          </w:rPr>
          <w:t>lenders from time to time party thereto and JPMorgan Chase Bank, N.A., as</w:t>
        </w:r>
      </w:hyperlink>
      <w:r>
        <w:rPr>
          <w:rFonts w:ascii="Arial" w:cs="Arial" w:eastAsia="Arial" w:hAnsi="Arial"/>
          <w:sz w:val="18"/>
          <w:szCs w:val="18"/>
          <w:u w:val="single" w:color="auto"/>
          <w:color w:val="0000FF"/>
        </w:rPr>
        <w:t xml:space="preserve"> </w:t>
      </w:r>
      <w:hyperlink r:id="rId129">
        <w:r>
          <w:rPr>
            <w:rFonts w:ascii="Arial" w:cs="Arial" w:eastAsia="Arial" w:hAnsi="Arial"/>
            <w:sz w:val="18"/>
            <w:szCs w:val="18"/>
            <w:u w:val="single" w:color="auto"/>
            <w:color w:val="0000FF"/>
          </w:rPr>
          <w:t>administrative agent.</w:t>
        </w:r>
      </w:hyperlink>
    </w:p>
    <w:p>
      <w:pPr>
        <w:spacing w:after="0" w:line="55" w:lineRule="exact"/>
        <w:rPr>
          <w:rFonts w:ascii="Arial" w:cs="Arial" w:eastAsia="Arial" w:hAnsi="Arial"/>
          <w:sz w:val="18"/>
          <w:szCs w:val="18"/>
          <w:u w:val="single" w:color="auto"/>
          <w:color w:val="0000FF"/>
        </w:rPr>
      </w:pPr>
    </w:p>
    <w:p>
      <w:pPr>
        <w:ind w:left="980" w:right="960" w:hanging="746"/>
        <w:spacing w:after="0" w:line="289" w:lineRule="auto"/>
        <w:tabs>
          <w:tab w:leader="none" w:pos="960" w:val="left"/>
        </w:tabs>
        <w:rPr>
          <w:rFonts w:ascii="Arial" w:cs="Arial" w:eastAsia="Arial" w:hAnsi="Arial"/>
          <w:sz w:val="16"/>
          <w:szCs w:val="16"/>
          <w:u w:val="single" w:color="auto"/>
          <w:color w:val="0000FF"/>
        </w:rPr>
      </w:pPr>
      <w:hyperlink r:id="rId130">
        <w:r>
          <w:rPr>
            <w:rFonts w:ascii="Arial" w:cs="Arial" w:eastAsia="Arial" w:hAnsi="Arial"/>
            <w:sz w:val="18"/>
            <w:szCs w:val="18"/>
            <w:u w:val="single" w:color="auto"/>
            <w:color w:val="0000FF"/>
          </w:rPr>
          <w:t>10.29</w:t>
        </w:r>
      </w:hyperlink>
      <w:r>
        <w:rPr>
          <w:rFonts w:ascii="Arial" w:cs="Arial" w:eastAsia="Arial" w:hAnsi="Arial"/>
          <w:sz w:val="18"/>
          <w:szCs w:val="18"/>
          <w:u w:val="single" w:color="auto"/>
          <w:color w:val="0000FF"/>
        </w:rPr>
        <w:tab/>
      </w:r>
      <w:hyperlink r:id="rId130">
        <w:r>
          <w:rPr>
            <w:rFonts w:ascii="Arial" w:cs="Arial" w:eastAsia="Arial" w:hAnsi="Arial"/>
            <w:sz w:val="16"/>
            <w:szCs w:val="16"/>
            <w:u w:val="single" w:color="auto"/>
            <w:color w:val="0000FF"/>
          </w:rPr>
          <w:t>Debt Commitment Letter, dated August 4, 2021, from Morgan Stanley Senior</w:t>
        </w:r>
      </w:hyperlink>
      <w:r>
        <w:rPr>
          <w:rFonts w:ascii="Arial" w:cs="Arial" w:eastAsia="Arial" w:hAnsi="Arial"/>
          <w:sz w:val="16"/>
          <w:szCs w:val="16"/>
          <w:u w:val="single" w:color="auto"/>
          <w:color w:val="0000FF"/>
        </w:rPr>
        <w:t xml:space="preserve"> </w:t>
      </w:r>
      <w:hyperlink r:id="rId130">
        <w:r>
          <w:rPr>
            <w:rFonts w:ascii="Arial" w:cs="Arial" w:eastAsia="Arial" w:hAnsi="Arial"/>
            <w:sz w:val="16"/>
            <w:szCs w:val="16"/>
            <w:u w:val="single" w:color="auto"/>
            <w:color w:val="0000FF"/>
          </w:rPr>
          <w:t>Funding, Inc., JPMorgan Chase Bank, N.A. and Citigroup Global Markets Inc.</w:t>
        </w:r>
      </w:hyperlink>
    </w:p>
    <w:p>
      <w:pPr>
        <w:spacing w:after="0" w:line="16" w:lineRule="exact"/>
        <w:rPr>
          <w:rFonts w:ascii="Arial" w:cs="Arial" w:eastAsia="Arial" w:hAnsi="Arial"/>
          <w:sz w:val="18"/>
          <w:szCs w:val="18"/>
          <w:u w:val="single" w:color="auto"/>
          <w:color w:val="0000FF"/>
        </w:rPr>
      </w:pPr>
    </w:p>
    <w:p>
      <w:pPr>
        <w:ind w:left="980" w:right="1060" w:hanging="746"/>
        <w:spacing w:after="0" w:line="235" w:lineRule="auto"/>
        <w:tabs>
          <w:tab w:leader="none" w:pos="960" w:val="left"/>
        </w:tabs>
        <w:rPr>
          <w:rFonts w:ascii="Arial" w:cs="Arial" w:eastAsia="Arial" w:hAnsi="Arial"/>
          <w:sz w:val="18"/>
          <w:szCs w:val="18"/>
          <w:u w:val="single" w:color="auto"/>
          <w:color w:val="0000FF"/>
        </w:rPr>
      </w:pPr>
      <w:hyperlink r:id="rId131">
        <w:r>
          <w:rPr>
            <w:rFonts w:ascii="Arial" w:cs="Arial" w:eastAsia="Arial" w:hAnsi="Arial"/>
            <w:sz w:val="18"/>
            <w:szCs w:val="18"/>
            <w:u w:val="single" w:color="auto"/>
            <w:color w:val="0000FF"/>
          </w:rPr>
          <w:t>10.30</w:t>
        </w:r>
      </w:hyperlink>
      <w:r>
        <w:rPr>
          <w:rFonts w:ascii="Arial" w:cs="Arial" w:eastAsia="Arial" w:hAnsi="Arial"/>
          <w:sz w:val="18"/>
          <w:szCs w:val="18"/>
          <w:u w:val="single" w:color="auto"/>
          <w:color w:val="0000FF"/>
        </w:rPr>
        <w:tab/>
      </w:r>
      <w:hyperlink r:id="rId131">
        <w:r>
          <w:rPr>
            <w:rFonts w:ascii="Arial" w:cs="Arial" w:eastAsia="Arial" w:hAnsi="Arial"/>
            <w:sz w:val="18"/>
            <w:szCs w:val="18"/>
            <w:u w:val="single" w:color="auto"/>
            <w:color w:val="0000FF"/>
          </w:rPr>
          <w:t>Amended and Restated Agreement of Limited Partnership of VICI Properties</w:t>
        </w:r>
      </w:hyperlink>
      <w:r>
        <w:rPr>
          <w:rFonts w:ascii="Arial" w:cs="Arial" w:eastAsia="Arial" w:hAnsi="Arial"/>
          <w:sz w:val="18"/>
          <w:szCs w:val="18"/>
          <w:u w:val="single" w:color="auto"/>
          <w:color w:val="0000FF"/>
        </w:rPr>
        <w:t xml:space="preserve"> </w:t>
      </w:r>
      <w:hyperlink r:id="rId131">
        <w:r>
          <w:rPr>
            <w:rFonts w:ascii="Arial" w:cs="Arial" w:eastAsia="Arial" w:hAnsi="Arial"/>
            <w:sz w:val="18"/>
            <w:szCs w:val="18"/>
            <w:u w:val="single" w:color="auto"/>
            <w:color w:val="0000FF"/>
          </w:rPr>
          <w:t>L.P.</w:t>
        </w:r>
      </w:hyperlink>
    </w:p>
    <w:p>
      <w:pPr>
        <w:spacing w:after="0" w:line="54" w:lineRule="exact"/>
        <w:rPr>
          <w:rFonts w:ascii="Arial" w:cs="Arial" w:eastAsia="Arial" w:hAnsi="Arial"/>
          <w:sz w:val="18"/>
          <w:szCs w:val="18"/>
          <w:u w:val="single" w:color="auto"/>
          <w:color w:val="0000FF"/>
        </w:rPr>
      </w:pPr>
    </w:p>
    <w:p>
      <w:pPr>
        <w:ind w:left="980" w:right="1300" w:hanging="746"/>
        <w:spacing w:after="0" w:line="235" w:lineRule="auto"/>
        <w:tabs>
          <w:tab w:leader="none" w:pos="960" w:val="left"/>
        </w:tabs>
        <w:rPr>
          <w:rFonts w:ascii="Arial" w:cs="Arial" w:eastAsia="Arial" w:hAnsi="Arial"/>
          <w:sz w:val="18"/>
          <w:szCs w:val="18"/>
          <w:u w:val="single" w:color="auto"/>
          <w:color w:val="0000FF"/>
        </w:rPr>
      </w:pPr>
      <w:hyperlink r:id="rId132">
        <w:r>
          <w:rPr>
            <w:rFonts w:ascii="Arial" w:cs="Arial" w:eastAsia="Arial" w:hAnsi="Arial"/>
            <w:sz w:val="18"/>
            <w:szCs w:val="18"/>
            <w:u w:val="single" w:color="auto"/>
            <w:color w:val="0000FF"/>
          </w:rPr>
          <w:t>10.31</w:t>
        </w:r>
      </w:hyperlink>
      <w:r>
        <w:rPr>
          <w:rFonts w:ascii="Arial" w:cs="Arial" w:eastAsia="Arial" w:hAnsi="Arial"/>
          <w:sz w:val="18"/>
          <w:szCs w:val="18"/>
          <w:u w:val="single" w:color="auto"/>
          <w:color w:val="0000FF"/>
        </w:rPr>
        <w:tab/>
      </w:r>
      <w:hyperlink r:id="rId132">
        <w:r>
          <w:rPr>
            <w:rFonts w:ascii="Arial" w:cs="Arial" w:eastAsia="Arial" w:hAnsi="Arial"/>
            <w:sz w:val="18"/>
            <w:szCs w:val="18"/>
            <w:u w:val="single" w:color="auto"/>
            <w:color w:val="0000FF"/>
          </w:rPr>
          <w:t>Form of Indemnification Agreement, between VICI Properties Inc. and its</w:t>
        </w:r>
      </w:hyperlink>
      <w:r>
        <w:rPr>
          <w:rFonts w:ascii="Arial" w:cs="Arial" w:eastAsia="Arial" w:hAnsi="Arial"/>
          <w:sz w:val="18"/>
          <w:szCs w:val="18"/>
          <w:u w:val="single" w:color="auto"/>
          <w:color w:val="0000FF"/>
        </w:rPr>
        <w:t xml:space="preserve"> </w:t>
      </w:r>
      <w:hyperlink r:id="rId132">
        <w:r>
          <w:rPr>
            <w:rFonts w:ascii="Arial" w:cs="Arial" w:eastAsia="Arial" w:hAnsi="Arial"/>
            <w:sz w:val="18"/>
            <w:szCs w:val="18"/>
            <w:u w:val="single" w:color="auto"/>
            <w:color w:val="0000FF"/>
          </w:rPr>
          <w:t>directors and officers.</w:t>
        </w:r>
      </w:hyperlink>
    </w:p>
    <w:p>
      <w:pPr>
        <w:spacing w:after="0" w:line="38" w:lineRule="exact"/>
        <w:rPr>
          <w:rFonts w:ascii="Arial" w:cs="Arial" w:eastAsia="Arial" w:hAnsi="Arial"/>
          <w:sz w:val="18"/>
          <w:szCs w:val="18"/>
          <w:u w:val="single" w:color="auto"/>
          <w:color w:val="0000FF"/>
        </w:rPr>
      </w:pPr>
    </w:p>
    <w:p>
      <w:pPr>
        <w:ind w:left="200"/>
        <w:spacing w:after="0"/>
        <w:tabs>
          <w:tab w:leader="none" w:pos="960" w:val="left"/>
        </w:tabs>
        <w:rPr>
          <w:rFonts w:ascii="Arial" w:cs="Arial" w:eastAsia="Arial" w:hAnsi="Arial"/>
          <w:sz w:val="16"/>
          <w:szCs w:val="16"/>
          <w:u w:val="single" w:color="auto"/>
          <w:color w:val="0000FF"/>
        </w:rPr>
      </w:pPr>
      <w:hyperlink r:id="rId133">
        <w:r>
          <w:rPr>
            <w:rFonts w:ascii="Arial" w:cs="Arial" w:eastAsia="Arial" w:hAnsi="Arial"/>
            <w:sz w:val="18"/>
            <w:szCs w:val="18"/>
            <w:u w:val="single" w:color="auto"/>
            <w:color w:val="0000FF"/>
          </w:rPr>
          <w:t>10.32†</w:t>
        </w:r>
      </w:hyperlink>
      <w:r>
        <w:rPr>
          <w:rFonts w:ascii="Arial" w:cs="Arial" w:eastAsia="Arial" w:hAnsi="Arial"/>
          <w:sz w:val="18"/>
          <w:szCs w:val="18"/>
          <w:u w:val="single" w:color="auto"/>
          <w:color w:val="0000FF"/>
        </w:rPr>
        <w:tab/>
      </w:r>
      <w:hyperlink r:id="rId133">
        <w:r>
          <w:rPr>
            <w:rFonts w:ascii="Arial" w:cs="Arial" w:eastAsia="Arial" w:hAnsi="Arial"/>
            <w:sz w:val="16"/>
            <w:szCs w:val="16"/>
            <w:u w:val="single" w:color="auto"/>
            <w:color w:val="0000FF"/>
          </w:rPr>
          <w:t>Amended and Restated Employment Agreement, dated as of September 25,</w:t>
        </w:r>
      </w:hyperlink>
    </w:p>
    <w:p>
      <w:pPr>
        <w:ind w:left="980"/>
        <w:spacing w:after="0"/>
        <w:rPr>
          <w:rFonts w:ascii="Arial" w:cs="Arial" w:eastAsia="Arial" w:hAnsi="Arial"/>
          <w:sz w:val="16"/>
          <w:szCs w:val="16"/>
          <w:u w:val="single" w:color="auto"/>
          <w:color w:val="0000FF"/>
        </w:rPr>
      </w:pPr>
      <w:hyperlink r:id="rId133">
        <w:r>
          <w:rPr>
            <w:rFonts w:ascii="Arial" w:cs="Arial" w:eastAsia="Arial" w:hAnsi="Arial"/>
            <w:sz w:val="16"/>
            <w:szCs w:val="16"/>
            <w:u w:val="single" w:color="auto"/>
            <w:color w:val="0000FF"/>
          </w:rPr>
          <w:t>2019, by and between VICI Properties Inc., VICI Properties L.P. and John Payne</w:t>
        </w:r>
      </w:hyperlink>
    </w:p>
    <w:p>
      <w:pPr>
        <w:spacing w:after="0" w:line="84" w:lineRule="exact"/>
        <w:rPr>
          <w:sz w:val="20"/>
          <w:szCs w:val="20"/>
          <w:color w:val="auto"/>
        </w:rPr>
      </w:pPr>
    </w:p>
    <w:p>
      <w:pPr>
        <w:ind w:left="980" w:right="1080" w:hanging="791"/>
        <w:spacing w:after="0" w:line="224" w:lineRule="auto"/>
        <w:tabs>
          <w:tab w:leader="none" w:pos="960" w:val="left"/>
        </w:tabs>
        <w:rPr>
          <w:rFonts w:ascii="Arial" w:cs="Arial" w:eastAsia="Arial" w:hAnsi="Arial"/>
          <w:sz w:val="18"/>
          <w:szCs w:val="18"/>
          <w:u w:val="single" w:color="auto"/>
          <w:color w:val="0000FF"/>
        </w:rPr>
      </w:pPr>
      <w:hyperlink r:id="rId134">
        <w:r>
          <w:rPr>
            <w:rFonts w:ascii="Arial" w:cs="Arial" w:eastAsia="Arial" w:hAnsi="Arial"/>
            <w:sz w:val="18"/>
            <w:szCs w:val="18"/>
            <w:u w:val="single" w:color="auto"/>
            <w:color w:val="0000FF"/>
          </w:rPr>
          <w:t>10.33†</w:t>
        </w:r>
      </w:hyperlink>
      <w:r>
        <w:rPr>
          <w:rFonts w:ascii="Arial" w:cs="Arial" w:eastAsia="Arial" w:hAnsi="Arial"/>
          <w:sz w:val="18"/>
          <w:szCs w:val="18"/>
          <w:u w:val="single" w:color="auto"/>
          <w:color w:val="0000FF"/>
        </w:rPr>
        <w:tab/>
      </w:r>
      <w:hyperlink r:id="rId134">
        <w:r>
          <w:rPr>
            <w:rFonts w:ascii="Arial" w:cs="Arial" w:eastAsia="Arial" w:hAnsi="Arial"/>
            <w:sz w:val="18"/>
            <w:szCs w:val="18"/>
            <w:u w:val="single" w:color="auto"/>
            <w:color w:val="0000FF"/>
          </w:rPr>
          <w:t>Amended and Restated Employment Agreement, dated as of September 25,</w:t>
        </w:r>
      </w:hyperlink>
      <w:r>
        <w:rPr>
          <w:rFonts w:ascii="Arial" w:cs="Arial" w:eastAsia="Arial" w:hAnsi="Arial"/>
          <w:sz w:val="18"/>
          <w:szCs w:val="18"/>
          <w:u w:val="single" w:color="auto"/>
          <w:color w:val="0000FF"/>
        </w:rPr>
        <w:t xml:space="preserve"> </w:t>
      </w:r>
      <w:hyperlink r:id="rId134">
        <w:r>
          <w:rPr>
            <w:rFonts w:ascii="Arial" w:cs="Arial" w:eastAsia="Arial" w:hAnsi="Arial"/>
            <w:sz w:val="18"/>
            <w:szCs w:val="18"/>
            <w:u w:val="single" w:color="auto"/>
            <w:color w:val="0000FF"/>
          </w:rPr>
          <w:t>2019, by and between VICI Properties Inc., VICI Properties L.P. and Edward</w:t>
        </w:r>
      </w:hyperlink>
      <w:r>
        <w:rPr>
          <w:rFonts w:ascii="Arial" w:cs="Arial" w:eastAsia="Arial" w:hAnsi="Arial"/>
          <w:sz w:val="18"/>
          <w:szCs w:val="18"/>
          <w:u w:val="single" w:color="auto"/>
          <w:color w:val="0000FF"/>
        </w:rPr>
        <w:t xml:space="preserve"> </w:t>
      </w:r>
      <w:hyperlink r:id="rId134">
        <w:r>
          <w:rPr>
            <w:rFonts w:ascii="Arial" w:cs="Arial" w:eastAsia="Arial" w:hAnsi="Arial"/>
            <w:sz w:val="18"/>
            <w:szCs w:val="18"/>
            <w:u w:val="single" w:color="auto"/>
            <w:color w:val="0000FF"/>
          </w:rPr>
          <w:t>Pitoniak</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30" w:lineRule="exact"/>
        <w:rPr>
          <w:rFonts w:ascii="Arial" w:cs="Arial" w:eastAsia="Arial" w:hAnsi="Arial"/>
          <w:sz w:val="18"/>
          <w:szCs w:val="18"/>
          <w:u w:val="single" w:color="auto"/>
          <w:color w:val="0000FF"/>
        </w:rPr>
      </w:pPr>
    </w:p>
    <w:p>
      <w:pPr>
        <w:ind w:left="5540"/>
        <w:spacing w:after="0"/>
        <w:rPr>
          <w:sz w:val="20"/>
          <w:szCs w:val="20"/>
          <w:color w:val="auto"/>
        </w:rPr>
      </w:pPr>
      <w:r>
        <w:rPr>
          <w:rFonts w:ascii="Arial" w:cs="Arial" w:eastAsia="Arial" w:hAnsi="Arial"/>
          <w:sz w:val="18"/>
          <w:szCs w:val="18"/>
          <w:color w:val="auto"/>
        </w:rPr>
        <w:t>78</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84" w:lineRule="exact"/>
        <w:rPr>
          <w:rFonts w:ascii="Arial" w:cs="Arial" w:eastAsia="Arial" w:hAnsi="Arial"/>
          <w:sz w:val="18"/>
          <w:szCs w:val="18"/>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30"/>
        </w:trPr>
        <w:tc>
          <w:tcPr>
            <w:tcW w:w="62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ind w:left="10"/>
              <w:spacing w:after="0"/>
              <w:rPr>
                <w:sz w:val="20"/>
                <w:szCs w:val="20"/>
                <w:color w:val="auto"/>
              </w:rPr>
            </w:pPr>
            <w:r>
              <w:rPr>
                <w:rFonts w:ascii="Arial" w:cs="Arial" w:eastAsia="Arial" w:hAnsi="Arial"/>
                <w:sz w:val="18"/>
                <w:szCs w:val="18"/>
                <w:color w:val="auto"/>
                <w:w w:val="88"/>
              </w:rPr>
              <w:t>10.12</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7/21/2020</w:t>
            </w:r>
          </w:p>
        </w:tc>
      </w:tr>
      <w:tr>
        <w:trPr>
          <w:trHeight w:val="891"/>
        </w:trPr>
        <w:tc>
          <w:tcPr>
            <w:tcW w:w="62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ind w:left="10"/>
              <w:spacing w:after="0"/>
              <w:rPr>
                <w:sz w:val="20"/>
                <w:szCs w:val="20"/>
                <w:color w:val="auto"/>
              </w:rPr>
            </w:pPr>
            <w:r>
              <w:rPr>
                <w:rFonts w:ascii="Arial" w:cs="Arial" w:eastAsia="Arial" w:hAnsi="Arial"/>
                <w:sz w:val="18"/>
                <w:szCs w:val="18"/>
                <w:color w:val="auto"/>
                <w:w w:val="91"/>
              </w:rPr>
              <w:t>10.4</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7/21/2020</w:t>
            </w:r>
          </w:p>
        </w:tc>
      </w:tr>
      <w:tr>
        <w:trPr>
          <w:trHeight w:val="810"/>
        </w:trPr>
        <w:tc>
          <w:tcPr>
            <w:tcW w:w="62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ind w:left="10"/>
              <w:spacing w:after="0"/>
              <w:rPr>
                <w:sz w:val="20"/>
                <w:szCs w:val="20"/>
                <w:color w:val="auto"/>
              </w:rPr>
            </w:pPr>
            <w:r>
              <w:rPr>
                <w:rFonts w:ascii="Arial" w:cs="Arial" w:eastAsia="Arial" w:hAnsi="Arial"/>
                <w:sz w:val="18"/>
                <w:szCs w:val="18"/>
                <w:color w:val="auto"/>
                <w:w w:val="91"/>
              </w:rPr>
              <w:t>10.5</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7/21/2020</w:t>
            </w:r>
          </w:p>
        </w:tc>
      </w:tr>
      <w:tr>
        <w:trPr>
          <w:trHeight w:val="810"/>
        </w:trPr>
        <w:tc>
          <w:tcPr>
            <w:tcW w:w="62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ind w:left="10"/>
              <w:spacing w:after="0"/>
              <w:rPr>
                <w:sz w:val="20"/>
                <w:szCs w:val="20"/>
                <w:color w:val="auto"/>
              </w:rPr>
            </w:pPr>
            <w:r>
              <w:rPr>
                <w:rFonts w:ascii="Arial" w:cs="Arial" w:eastAsia="Arial" w:hAnsi="Arial"/>
                <w:sz w:val="18"/>
                <w:szCs w:val="18"/>
                <w:color w:val="auto"/>
                <w:w w:val="91"/>
              </w:rPr>
              <w:t>10.6</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7/21/2020</w:t>
            </w:r>
          </w:p>
        </w:tc>
      </w:tr>
      <w:tr>
        <w:trPr>
          <w:trHeight w:val="729"/>
        </w:trPr>
        <w:tc>
          <w:tcPr>
            <w:tcW w:w="62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ind w:left="10"/>
              <w:spacing w:after="0"/>
              <w:rPr>
                <w:sz w:val="20"/>
                <w:szCs w:val="20"/>
                <w:color w:val="auto"/>
              </w:rPr>
            </w:pPr>
            <w:r>
              <w:rPr>
                <w:rFonts w:ascii="Arial" w:cs="Arial" w:eastAsia="Arial" w:hAnsi="Arial"/>
                <w:sz w:val="18"/>
                <w:szCs w:val="18"/>
                <w:color w:val="auto"/>
                <w:w w:val="91"/>
              </w:rPr>
              <w:t>10.7</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7/21/2020</w:t>
            </w:r>
          </w:p>
        </w:tc>
      </w:tr>
      <w:tr>
        <w:trPr>
          <w:trHeight w:val="540"/>
        </w:trPr>
        <w:tc>
          <w:tcPr>
            <w:tcW w:w="62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ind w:left="10"/>
              <w:spacing w:after="0"/>
              <w:rPr>
                <w:sz w:val="20"/>
                <w:szCs w:val="20"/>
                <w:color w:val="auto"/>
              </w:rPr>
            </w:pPr>
            <w:r>
              <w:rPr>
                <w:rFonts w:ascii="Arial" w:cs="Arial" w:eastAsia="Arial" w:hAnsi="Arial"/>
                <w:sz w:val="18"/>
                <w:szCs w:val="18"/>
                <w:color w:val="auto"/>
                <w:w w:val="91"/>
              </w:rPr>
              <w:t>10.8</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7/21/2020</w:t>
            </w:r>
          </w:p>
        </w:tc>
      </w:tr>
      <w:tr>
        <w:trPr>
          <w:trHeight w:val="553"/>
        </w:trPr>
        <w:tc>
          <w:tcPr>
            <w:tcW w:w="62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ind w:left="10"/>
              <w:spacing w:after="0"/>
              <w:rPr>
                <w:sz w:val="20"/>
                <w:szCs w:val="20"/>
                <w:color w:val="auto"/>
              </w:rPr>
            </w:pPr>
            <w:r>
              <w:rPr>
                <w:rFonts w:ascii="Arial" w:cs="Arial" w:eastAsia="Arial" w:hAnsi="Arial"/>
                <w:sz w:val="18"/>
                <w:szCs w:val="18"/>
                <w:color w:val="auto"/>
                <w:w w:val="91"/>
              </w:rPr>
              <w:t>10.1</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9/18/2020</w:t>
            </w:r>
          </w:p>
        </w:tc>
      </w:tr>
      <w:tr>
        <w:trPr>
          <w:trHeight w:val="715"/>
        </w:trPr>
        <w:tc>
          <w:tcPr>
            <w:tcW w:w="62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ind w:left="10"/>
              <w:spacing w:after="0"/>
              <w:rPr>
                <w:sz w:val="20"/>
                <w:szCs w:val="20"/>
                <w:color w:val="auto"/>
              </w:rPr>
            </w:pPr>
            <w:r>
              <w:rPr>
                <w:rFonts w:ascii="Arial" w:cs="Arial" w:eastAsia="Arial" w:hAnsi="Arial"/>
                <w:sz w:val="18"/>
                <w:szCs w:val="18"/>
                <w:color w:val="auto"/>
                <w:w w:val="88"/>
              </w:rPr>
              <w:t>10.10</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7/21/2020</w:t>
            </w:r>
          </w:p>
        </w:tc>
      </w:tr>
      <w:tr>
        <w:trPr>
          <w:trHeight w:val="810"/>
        </w:trPr>
        <w:tc>
          <w:tcPr>
            <w:tcW w:w="62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ind w:left="10"/>
              <w:spacing w:after="0"/>
              <w:rPr>
                <w:sz w:val="20"/>
                <w:szCs w:val="20"/>
                <w:color w:val="auto"/>
              </w:rPr>
            </w:pPr>
            <w:r>
              <w:rPr>
                <w:rFonts w:ascii="Arial" w:cs="Arial" w:eastAsia="Arial" w:hAnsi="Arial"/>
                <w:sz w:val="18"/>
                <w:szCs w:val="18"/>
                <w:color w:val="auto"/>
                <w:w w:val="88"/>
              </w:rPr>
              <w:t>10.11</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7/21/2020</w:t>
            </w:r>
          </w:p>
        </w:tc>
      </w:tr>
      <w:tr>
        <w:trPr>
          <w:trHeight w:val="729"/>
        </w:trPr>
        <w:tc>
          <w:tcPr>
            <w:tcW w:w="62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ind w:left="10"/>
              <w:spacing w:after="0"/>
              <w:rPr>
                <w:sz w:val="20"/>
                <w:szCs w:val="20"/>
                <w:color w:val="auto"/>
              </w:rPr>
            </w:pPr>
            <w:r>
              <w:rPr>
                <w:rFonts w:ascii="Arial" w:cs="Arial" w:eastAsia="Arial" w:hAnsi="Arial"/>
                <w:sz w:val="18"/>
                <w:szCs w:val="18"/>
                <w:color w:val="auto"/>
                <w:w w:val="88"/>
              </w:rPr>
              <w:t>10.12</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0"/>
              </w:rPr>
              <w:t>10/11/2017</w:t>
            </w:r>
          </w:p>
        </w:tc>
      </w:tr>
      <w:tr>
        <w:trPr>
          <w:trHeight w:val="634"/>
        </w:trPr>
        <w:tc>
          <w:tcPr>
            <w:tcW w:w="62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ind w:left="10"/>
              <w:spacing w:after="0"/>
              <w:rPr>
                <w:sz w:val="20"/>
                <w:szCs w:val="20"/>
                <w:color w:val="auto"/>
              </w:rPr>
            </w:pPr>
            <w:r>
              <w:rPr>
                <w:rFonts w:ascii="Arial" w:cs="Arial" w:eastAsia="Arial" w:hAnsi="Arial"/>
                <w:sz w:val="18"/>
                <w:szCs w:val="18"/>
                <w:color w:val="auto"/>
                <w:w w:val="91"/>
              </w:rPr>
              <w:t>10.1</w:t>
            </w:r>
          </w:p>
        </w:tc>
        <w:tc>
          <w:tcPr>
            <w:tcW w:w="1080" w:type="dxa"/>
            <w:vAlign w:val="bottom"/>
          </w:tcPr>
          <w:p>
            <w:pPr>
              <w:jc w:val="center"/>
              <w:ind w:left="150"/>
              <w:spacing w:after="0"/>
              <w:rPr>
                <w:sz w:val="20"/>
                <w:szCs w:val="20"/>
                <w:color w:val="auto"/>
              </w:rPr>
            </w:pPr>
            <w:r>
              <w:rPr>
                <w:rFonts w:ascii="Arial" w:cs="Arial" w:eastAsia="Arial" w:hAnsi="Arial"/>
                <w:sz w:val="18"/>
                <w:szCs w:val="18"/>
                <w:color w:val="auto"/>
                <w:w w:val="91"/>
              </w:rPr>
              <w:t>2/8/2022</w:t>
            </w:r>
          </w:p>
        </w:tc>
      </w:tr>
      <w:tr>
        <w:trPr>
          <w:trHeight w:val="540"/>
        </w:trPr>
        <w:tc>
          <w:tcPr>
            <w:tcW w:w="62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ind w:left="10"/>
              <w:spacing w:after="0"/>
              <w:rPr>
                <w:sz w:val="20"/>
                <w:szCs w:val="20"/>
                <w:color w:val="auto"/>
              </w:rPr>
            </w:pPr>
            <w:r>
              <w:rPr>
                <w:rFonts w:ascii="Arial" w:cs="Arial" w:eastAsia="Arial" w:hAnsi="Arial"/>
                <w:sz w:val="18"/>
                <w:szCs w:val="18"/>
                <w:color w:val="auto"/>
                <w:w w:val="91"/>
              </w:rPr>
              <w:t>10.1</w:t>
            </w:r>
          </w:p>
        </w:tc>
        <w:tc>
          <w:tcPr>
            <w:tcW w:w="1080" w:type="dxa"/>
            <w:vAlign w:val="bottom"/>
          </w:tcPr>
          <w:p>
            <w:pPr>
              <w:jc w:val="center"/>
              <w:ind w:left="150"/>
              <w:spacing w:after="0"/>
              <w:rPr>
                <w:sz w:val="20"/>
                <w:szCs w:val="20"/>
                <w:color w:val="auto"/>
              </w:rPr>
            </w:pPr>
            <w:r>
              <w:rPr>
                <w:rFonts w:ascii="Arial" w:cs="Arial" w:eastAsia="Arial" w:hAnsi="Arial"/>
                <w:sz w:val="18"/>
                <w:szCs w:val="18"/>
                <w:color w:val="auto"/>
                <w:w w:val="91"/>
              </w:rPr>
              <w:t>8/5/2021</w:t>
            </w:r>
          </w:p>
        </w:tc>
      </w:tr>
      <w:tr>
        <w:trPr>
          <w:trHeight w:val="459"/>
        </w:trPr>
        <w:tc>
          <w:tcPr>
            <w:tcW w:w="62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ind w:left="10"/>
              <w:spacing w:after="0"/>
              <w:rPr>
                <w:sz w:val="20"/>
                <w:szCs w:val="20"/>
                <w:color w:val="auto"/>
              </w:rPr>
            </w:pPr>
            <w:r>
              <w:rPr>
                <w:rFonts w:ascii="Arial" w:cs="Arial" w:eastAsia="Arial" w:hAnsi="Arial"/>
                <w:sz w:val="18"/>
                <w:szCs w:val="18"/>
                <w:color w:val="auto"/>
                <w:w w:val="88"/>
              </w:rPr>
              <w:t>10.23</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0"/>
              </w:rPr>
              <w:t>10/11/2017</w:t>
            </w:r>
          </w:p>
        </w:tc>
      </w:tr>
      <w:tr>
        <w:trPr>
          <w:trHeight w:val="459"/>
        </w:trPr>
        <w:tc>
          <w:tcPr>
            <w:tcW w:w="620" w:type="dxa"/>
            <w:vAlign w:val="bottom"/>
          </w:tcPr>
          <w:p>
            <w:pPr>
              <w:jc w:val="center"/>
              <w:ind w:right="270"/>
              <w:spacing w:after="0"/>
              <w:rPr>
                <w:sz w:val="20"/>
                <w:szCs w:val="20"/>
                <w:color w:val="auto"/>
              </w:rPr>
            </w:pPr>
            <w:r>
              <w:rPr>
                <w:rFonts w:ascii="Arial" w:cs="Arial" w:eastAsia="Arial" w:hAnsi="Arial"/>
                <w:sz w:val="18"/>
                <w:szCs w:val="18"/>
                <w:color w:val="auto"/>
                <w:w w:val="89"/>
              </w:rPr>
              <w:t>10</w:t>
            </w:r>
          </w:p>
        </w:tc>
        <w:tc>
          <w:tcPr>
            <w:tcW w:w="1020" w:type="dxa"/>
            <w:vAlign w:val="bottom"/>
          </w:tcPr>
          <w:p>
            <w:pPr>
              <w:jc w:val="center"/>
              <w:ind w:left="10"/>
              <w:spacing w:after="0"/>
              <w:rPr>
                <w:sz w:val="20"/>
                <w:szCs w:val="20"/>
                <w:color w:val="auto"/>
              </w:rPr>
            </w:pPr>
            <w:r>
              <w:rPr>
                <w:rFonts w:ascii="Arial" w:cs="Arial" w:eastAsia="Arial" w:hAnsi="Arial"/>
                <w:sz w:val="18"/>
                <w:szCs w:val="18"/>
                <w:color w:val="auto"/>
                <w:w w:val="88"/>
              </w:rPr>
              <w:t>10.20</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9/28/2017</w:t>
            </w:r>
          </w:p>
        </w:tc>
      </w:tr>
      <w:tr>
        <w:trPr>
          <w:trHeight w:val="459"/>
        </w:trPr>
        <w:tc>
          <w:tcPr>
            <w:tcW w:w="62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ind w:left="10"/>
              <w:spacing w:after="0"/>
              <w:rPr>
                <w:sz w:val="20"/>
                <w:szCs w:val="20"/>
                <w:color w:val="auto"/>
              </w:rPr>
            </w:pPr>
            <w:r>
              <w:rPr>
                <w:rFonts w:ascii="Arial" w:cs="Arial" w:eastAsia="Arial" w:hAnsi="Arial"/>
                <w:sz w:val="18"/>
                <w:szCs w:val="18"/>
                <w:color w:val="auto"/>
                <w:w w:val="91"/>
              </w:rPr>
              <w:t>10.1</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9/26/2019</w:t>
            </w:r>
          </w:p>
        </w:tc>
      </w:tr>
      <w:tr>
        <w:trPr>
          <w:trHeight w:val="553"/>
        </w:trPr>
        <w:tc>
          <w:tcPr>
            <w:tcW w:w="62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ind w:left="10"/>
              <w:spacing w:after="0"/>
              <w:rPr>
                <w:sz w:val="20"/>
                <w:szCs w:val="20"/>
                <w:color w:val="auto"/>
              </w:rPr>
            </w:pPr>
            <w:r>
              <w:rPr>
                <w:rFonts w:ascii="Arial" w:cs="Arial" w:eastAsia="Arial" w:hAnsi="Arial"/>
                <w:sz w:val="18"/>
                <w:szCs w:val="18"/>
                <w:color w:val="auto"/>
                <w:w w:val="91"/>
              </w:rPr>
              <w:t>10.2</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9/26/2019</w:t>
            </w:r>
          </w:p>
        </w:tc>
      </w:tr>
    </w:tbl>
    <w:p>
      <w:pPr>
        <w:sectPr>
          <w:pgSz w:w="11900" w:h="16838" w:orient="portrait"/>
          <w:cols w:equalWidth="0" w:num="2">
            <w:col w:w="7620" w:space="720"/>
            <w:col w:w="2720"/>
          </w:cols>
          <w:pgMar w:left="320" w:top="476" w:right="519" w:bottom="1440" w:gutter="0" w:footer="0" w:header="0"/>
        </w:sectPr>
      </w:pPr>
    </w:p>
    <w:bookmarkStart w:id="80" w:name="page81"/>
    <w:bookmarkEnd w:id="8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220"/>
          </w:cols>
          <w:pgMar w:left="320" w:top="476" w:right="359" w:bottom="1440" w:gutter="0" w:footer="0" w:header="0"/>
        </w:sectPr>
      </w:pPr>
    </w:p>
    <w:p>
      <w:pPr>
        <w:spacing w:after="0" w:line="370" w:lineRule="exact"/>
        <w:rPr>
          <w:sz w:val="20"/>
          <w:szCs w:val="20"/>
          <w:color w:val="auto"/>
        </w:rPr>
      </w:pPr>
    </w:p>
    <w:p>
      <w:pPr>
        <w:jc w:val="both"/>
        <w:ind w:left="980" w:right="280" w:hanging="791"/>
        <w:spacing w:after="0" w:line="224" w:lineRule="auto"/>
        <w:tabs>
          <w:tab w:leader="none" w:pos="960" w:val="left"/>
        </w:tabs>
        <w:rPr>
          <w:rFonts w:ascii="Arial" w:cs="Arial" w:eastAsia="Arial" w:hAnsi="Arial"/>
          <w:sz w:val="18"/>
          <w:szCs w:val="18"/>
          <w:u w:val="single" w:color="auto"/>
          <w:color w:val="0000FF"/>
        </w:rPr>
      </w:pPr>
      <w:hyperlink r:id="rId136">
        <w:r>
          <w:rPr>
            <w:rFonts w:ascii="Arial" w:cs="Arial" w:eastAsia="Arial" w:hAnsi="Arial"/>
            <w:sz w:val="18"/>
            <w:szCs w:val="18"/>
            <w:u w:val="single" w:color="auto"/>
            <w:color w:val="0000FF"/>
          </w:rPr>
          <w:t>10.34†</w:t>
        </w:r>
      </w:hyperlink>
      <w:r>
        <w:rPr>
          <w:rFonts w:ascii="Arial" w:cs="Arial" w:eastAsia="Arial" w:hAnsi="Arial"/>
          <w:sz w:val="18"/>
          <w:szCs w:val="18"/>
          <w:u w:val="single" w:color="auto"/>
          <w:color w:val="0000FF"/>
        </w:rPr>
        <w:tab/>
      </w:r>
      <w:hyperlink r:id="rId136">
        <w:r>
          <w:rPr>
            <w:rFonts w:ascii="Arial" w:cs="Arial" w:eastAsia="Arial" w:hAnsi="Arial"/>
            <w:sz w:val="18"/>
            <w:szCs w:val="18"/>
            <w:u w:val="single" w:color="auto"/>
            <w:color w:val="0000FF"/>
          </w:rPr>
          <w:t>Amended and Restated Employment Agreement, dated as of September 25,</w:t>
        </w:r>
      </w:hyperlink>
      <w:r>
        <w:rPr>
          <w:rFonts w:ascii="Arial" w:cs="Arial" w:eastAsia="Arial" w:hAnsi="Arial"/>
          <w:sz w:val="18"/>
          <w:szCs w:val="18"/>
          <w:u w:val="single" w:color="auto"/>
          <w:color w:val="0000FF"/>
        </w:rPr>
        <w:t xml:space="preserve"> </w:t>
      </w:r>
      <w:hyperlink r:id="rId136">
        <w:r>
          <w:rPr>
            <w:rFonts w:ascii="Arial" w:cs="Arial" w:eastAsia="Arial" w:hAnsi="Arial"/>
            <w:sz w:val="18"/>
            <w:szCs w:val="18"/>
            <w:u w:val="single" w:color="auto"/>
            <w:color w:val="0000FF"/>
          </w:rPr>
          <w:t>2019, by and between VICI Properties Inc., VICI Properties L.P. and David</w:t>
        </w:r>
      </w:hyperlink>
      <w:r>
        <w:rPr>
          <w:rFonts w:ascii="Arial" w:cs="Arial" w:eastAsia="Arial" w:hAnsi="Arial"/>
          <w:sz w:val="18"/>
          <w:szCs w:val="18"/>
          <w:u w:val="single" w:color="auto"/>
          <w:color w:val="0000FF"/>
        </w:rPr>
        <w:t xml:space="preserve"> </w:t>
      </w:r>
      <w:hyperlink r:id="rId136">
        <w:r>
          <w:rPr>
            <w:rFonts w:ascii="Arial" w:cs="Arial" w:eastAsia="Arial" w:hAnsi="Arial"/>
            <w:sz w:val="18"/>
            <w:szCs w:val="18"/>
            <w:u w:val="single" w:color="auto"/>
            <w:color w:val="0000FF"/>
          </w:rPr>
          <w:t>Kieske</w:t>
        </w:r>
      </w:hyperlink>
    </w:p>
    <w:p>
      <w:pPr>
        <w:spacing w:after="0" w:line="55" w:lineRule="exact"/>
        <w:rPr>
          <w:rFonts w:ascii="Arial" w:cs="Arial" w:eastAsia="Arial" w:hAnsi="Arial"/>
          <w:sz w:val="18"/>
          <w:szCs w:val="18"/>
          <w:u w:val="single" w:color="auto"/>
          <w:color w:val="0000FF"/>
        </w:rPr>
      </w:pPr>
    </w:p>
    <w:p>
      <w:pPr>
        <w:ind w:left="980" w:hanging="791"/>
        <w:spacing w:after="0" w:line="224" w:lineRule="auto"/>
        <w:tabs>
          <w:tab w:leader="none" w:pos="960" w:val="left"/>
        </w:tabs>
        <w:rPr>
          <w:rFonts w:ascii="Arial" w:cs="Arial" w:eastAsia="Arial" w:hAnsi="Arial"/>
          <w:sz w:val="18"/>
          <w:szCs w:val="18"/>
          <w:u w:val="single" w:color="auto"/>
          <w:color w:val="0000FF"/>
        </w:rPr>
      </w:pPr>
      <w:hyperlink r:id="rId137">
        <w:r>
          <w:rPr>
            <w:rFonts w:ascii="Arial" w:cs="Arial" w:eastAsia="Arial" w:hAnsi="Arial"/>
            <w:sz w:val="18"/>
            <w:szCs w:val="18"/>
            <w:u w:val="single" w:color="auto"/>
            <w:color w:val="0000FF"/>
          </w:rPr>
          <w:t>10.35†</w:t>
        </w:r>
      </w:hyperlink>
      <w:r>
        <w:rPr>
          <w:rFonts w:ascii="Arial" w:cs="Arial" w:eastAsia="Arial" w:hAnsi="Arial"/>
          <w:sz w:val="18"/>
          <w:szCs w:val="18"/>
          <w:u w:val="single" w:color="auto"/>
          <w:color w:val="0000FF"/>
        </w:rPr>
        <w:tab/>
      </w:r>
      <w:hyperlink r:id="rId137">
        <w:r>
          <w:rPr>
            <w:rFonts w:ascii="Arial" w:cs="Arial" w:eastAsia="Arial" w:hAnsi="Arial"/>
            <w:sz w:val="18"/>
            <w:szCs w:val="18"/>
            <w:u w:val="single" w:color="auto"/>
            <w:color w:val="0000FF"/>
          </w:rPr>
          <w:t>Amended and Restated Employment Agreement, dated as of September 25,</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2019, by and between VICI Properties Inc., VICI Properties L.P. and Samantha</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Gallagher</w:t>
        </w:r>
      </w:hyperlink>
    </w:p>
    <w:p>
      <w:pPr>
        <w:spacing w:after="0" w:line="55" w:lineRule="exact"/>
        <w:rPr>
          <w:rFonts w:ascii="Arial" w:cs="Arial" w:eastAsia="Arial" w:hAnsi="Arial"/>
          <w:sz w:val="18"/>
          <w:szCs w:val="18"/>
          <w:u w:val="single" w:color="auto"/>
          <w:color w:val="0000FF"/>
        </w:rPr>
      </w:pPr>
    </w:p>
    <w:p>
      <w:pPr>
        <w:ind w:left="200"/>
        <w:spacing w:after="0"/>
        <w:tabs>
          <w:tab w:leader="none" w:pos="960" w:val="left"/>
        </w:tabs>
        <w:rPr>
          <w:rFonts w:ascii="Arial" w:cs="Arial" w:eastAsia="Arial" w:hAnsi="Arial"/>
          <w:sz w:val="16"/>
          <w:szCs w:val="16"/>
          <w:u w:val="single" w:color="auto"/>
          <w:color w:val="0000FF"/>
        </w:rPr>
      </w:pPr>
      <w:hyperlink r:id="rId138">
        <w:r>
          <w:rPr>
            <w:rFonts w:ascii="Arial" w:cs="Arial" w:eastAsia="Arial" w:hAnsi="Arial"/>
            <w:sz w:val="18"/>
            <w:szCs w:val="18"/>
            <w:u w:val="single" w:color="auto"/>
            <w:color w:val="0000FF"/>
          </w:rPr>
          <w:t>10.36†</w:t>
        </w:r>
      </w:hyperlink>
      <w:r>
        <w:rPr>
          <w:rFonts w:ascii="Arial" w:cs="Arial" w:eastAsia="Arial" w:hAnsi="Arial"/>
          <w:sz w:val="18"/>
          <w:szCs w:val="18"/>
          <w:u w:val="single" w:color="auto"/>
          <w:color w:val="0000FF"/>
        </w:rPr>
        <w:tab/>
      </w:r>
      <w:hyperlink r:id="rId138">
        <w:r>
          <w:rPr>
            <w:rFonts w:ascii="Arial" w:cs="Arial" w:eastAsia="Arial" w:hAnsi="Arial"/>
            <w:sz w:val="16"/>
            <w:szCs w:val="16"/>
            <w:u w:val="single" w:color="auto"/>
            <w:color w:val="0000FF"/>
          </w:rPr>
          <w:t>VICI Properties Inc. 2017 Stock Incentive Plan.</w:t>
        </w:r>
      </w:hyperlink>
    </w:p>
    <w:p>
      <w:pPr>
        <w:spacing w:after="0" w:line="77" w:lineRule="exact"/>
        <w:rPr>
          <w:sz w:val="20"/>
          <w:szCs w:val="20"/>
          <w:color w:val="auto"/>
        </w:rPr>
      </w:pPr>
    </w:p>
    <w:p>
      <w:pPr>
        <w:ind w:left="200"/>
        <w:spacing w:after="0"/>
        <w:tabs>
          <w:tab w:leader="none" w:pos="960" w:val="left"/>
        </w:tabs>
        <w:rPr>
          <w:rFonts w:ascii="Arial" w:cs="Arial" w:eastAsia="Arial" w:hAnsi="Arial"/>
          <w:sz w:val="16"/>
          <w:szCs w:val="16"/>
          <w:u w:val="single" w:color="auto"/>
          <w:color w:val="0000FF"/>
        </w:rPr>
      </w:pPr>
      <w:hyperlink r:id="rId139">
        <w:r>
          <w:rPr>
            <w:rFonts w:ascii="Arial" w:cs="Arial" w:eastAsia="Arial" w:hAnsi="Arial"/>
            <w:sz w:val="18"/>
            <w:szCs w:val="18"/>
            <w:u w:val="single" w:color="auto"/>
            <w:color w:val="0000FF"/>
          </w:rPr>
          <w:t>10.37†</w:t>
        </w:r>
      </w:hyperlink>
      <w:r>
        <w:rPr>
          <w:rFonts w:ascii="Arial" w:cs="Arial" w:eastAsia="Arial" w:hAnsi="Arial"/>
          <w:sz w:val="18"/>
          <w:szCs w:val="18"/>
          <w:u w:val="single" w:color="auto"/>
          <w:color w:val="0000FF"/>
        </w:rPr>
        <w:tab/>
      </w:r>
      <w:hyperlink r:id="rId139">
        <w:r>
          <w:rPr>
            <w:rFonts w:ascii="Arial" w:cs="Arial" w:eastAsia="Arial" w:hAnsi="Arial"/>
            <w:sz w:val="16"/>
            <w:szCs w:val="16"/>
            <w:u w:val="single" w:color="auto"/>
            <w:color w:val="0000FF"/>
          </w:rPr>
          <w:t>Amendment No. 1 to VICI Properties Inc. 2017 Stock Incentive Plan</w:t>
        </w:r>
      </w:hyperlink>
    </w:p>
    <w:p>
      <w:pPr>
        <w:spacing w:after="0" w:line="77" w:lineRule="exact"/>
        <w:rPr>
          <w:sz w:val="20"/>
          <w:szCs w:val="20"/>
          <w:color w:val="auto"/>
        </w:rPr>
      </w:pPr>
    </w:p>
    <w:p>
      <w:pPr>
        <w:ind w:left="200"/>
        <w:spacing w:after="0"/>
        <w:tabs>
          <w:tab w:leader="none" w:pos="960" w:val="left"/>
        </w:tabs>
        <w:rPr>
          <w:rFonts w:ascii="Arial" w:cs="Arial" w:eastAsia="Arial" w:hAnsi="Arial"/>
          <w:sz w:val="16"/>
          <w:szCs w:val="16"/>
          <w:u w:val="single" w:color="auto"/>
          <w:color w:val="0000FF"/>
        </w:rPr>
      </w:pPr>
      <w:hyperlink r:id="rId140">
        <w:r>
          <w:rPr>
            <w:rFonts w:ascii="Arial" w:cs="Arial" w:eastAsia="Arial" w:hAnsi="Arial"/>
            <w:sz w:val="18"/>
            <w:szCs w:val="18"/>
            <w:u w:val="single" w:color="auto"/>
            <w:color w:val="0000FF"/>
          </w:rPr>
          <w:t>10.38†</w:t>
        </w:r>
      </w:hyperlink>
      <w:r>
        <w:rPr>
          <w:rFonts w:ascii="Arial" w:cs="Arial" w:eastAsia="Arial" w:hAnsi="Arial"/>
          <w:sz w:val="18"/>
          <w:szCs w:val="18"/>
          <w:u w:val="single" w:color="auto"/>
          <w:color w:val="0000FF"/>
        </w:rPr>
        <w:tab/>
      </w:r>
      <w:hyperlink r:id="rId140">
        <w:r>
          <w:rPr>
            <w:rFonts w:ascii="Arial" w:cs="Arial" w:eastAsia="Arial" w:hAnsi="Arial"/>
            <w:sz w:val="16"/>
            <w:szCs w:val="16"/>
            <w:u w:val="single" w:color="auto"/>
            <w:color w:val="0000FF"/>
          </w:rPr>
          <w:t>Form of Restricted Stock Grant</w:t>
        </w:r>
      </w:hyperlink>
    </w:p>
    <w:p>
      <w:pPr>
        <w:spacing w:after="0" w:line="77" w:lineRule="exact"/>
        <w:rPr>
          <w:sz w:val="20"/>
          <w:szCs w:val="20"/>
          <w:color w:val="auto"/>
        </w:rPr>
      </w:pPr>
    </w:p>
    <w:p>
      <w:pPr>
        <w:ind w:left="200"/>
        <w:spacing w:after="0"/>
        <w:tabs>
          <w:tab w:leader="none" w:pos="960" w:val="left"/>
        </w:tabs>
        <w:rPr>
          <w:rFonts w:ascii="Arial" w:cs="Arial" w:eastAsia="Arial" w:hAnsi="Arial"/>
          <w:sz w:val="16"/>
          <w:szCs w:val="16"/>
          <w:u w:val="single" w:color="auto"/>
          <w:color w:val="0000FF"/>
        </w:rPr>
      </w:pPr>
      <w:hyperlink r:id="rId141">
        <w:r>
          <w:rPr>
            <w:rFonts w:ascii="Arial" w:cs="Arial" w:eastAsia="Arial" w:hAnsi="Arial"/>
            <w:sz w:val="18"/>
            <w:szCs w:val="18"/>
            <w:u w:val="single" w:color="auto"/>
            <w:color w:val="0000FF"/>
          </w:rPr>
          <w:t>10.39†</w:t>
        </w:r>
      </w:hyperlink>
      <w:r>
        <w:rPr>
          <w:rFonts w:ascii="Arial" w:cs="Arial" w:eastAsia="Arial" w:hAnsi="Arial"/>
          <w:sz w:val="18"/>
          <w:szCs w:val="18"/>
          <w:u w:val="single" w:color="auto"/>
          <w:color w:val="0000FF"/>
        </w:rPr>
        <w:tab/>
      </w:r>
      <w:hyperlink r:id="rId141">
        <w:r>
          <w:rPr>
            <w:rFonts w:ascii="Arial" w:cs="Arial" w:eastAsia="Arial" w:hAnsi="Arial"/>
            <w:sz w:val="16"/>
            <w:szCs w:val="16"/>
            <w:u w:val="single" w:color="auto"/>
            <w:color w:val="0000FF"/>
          </w:rPr>
          <w:t>Form of LTIP Time-Based Restricted Stock Grant Agreement</w:t>
        </w:r>
      </w:hyperlink>
    </w:p>
    <w:p>
      <w:pPr>
        <w:spacing w:after="0" w:line="77" w:lineRule="exact"/>
        <w:rPr>
          <w:sz w:val="20"/>
          <w:szCs w:val="20"/>
          <w:color w:val="auto"/>
        </w:rPr>
      </w:pPr>
    </w:p>
    <w:p>
      <w:pPr>
        <w:ind w:left="200"/>
        <w:spacing w:after="0"/>
        <w:tabs>
          <w:tab w:leader="none" w:pos="960" w:val="left"/>
        </w:tabs>
        <w:rPr>
          <w:rFonts w:ascii="Arial" w:cs="Arial" w:eastAsia="Arial" w:hAnsi="Arial"/>
          <w:sz w:val="16"/>
          <w:szCs w:val="16"/>
          <w:u w:val="single" w:color="auto"/>
          <w:color w:val="0000FF"/>
        </w:rPr>
      </w:pPr>
      <w:hyperlink r:id="rId142">
        <w:r>
          <w:rPr>
            <w:rFonts w:ascii="Arial" w:cs="Arial" w:eastAsia="Arial" w:hAnsi="Arial"/>
            <w:sz w:val="18"/>
            <w:szCs w:val="18"/>
            <w:u w:val="single" w:color="auto"/>
            <w:color w:val="0000FF"/>
          </w:rPr>
          <w:t>10.40†</w:t>
        </w:r>
      </w:hyperlink>
      <w:r>
        <w:rPr>
          <w:rFonts w:ascii="Arial" w:cs="Arial" w:eastAsia="Arial" w:hAnsi="Arial"/>
          <w:sz w:val="18"/>
          <w:szCs w:val="18"/>
          <w:u w:val="single" w:color="auto"/>
          <w:color w:val="0000FF"/>
        </w:rPr>
        <w:tab/>
      </w:r>
      <w:hyperlink r:id="rId142">
        <w:r>
          <w:rPr>
            <w:rFonts w:ascii="Arial" w:cs="Arial" w:eastAsia="Arial" w:hAnsi="Arial"/>
            <w:sz w:val="16"/>
            <w:szCs w:val="16"/>
            <w:u w:val="single" w:color="auto"/>
            <w:color w:val="0000FF"/>
          </w:rPr>
          <w:t>Form of LTIP Performance-Based Restricted Stock Unit Agreement</w:t>
        </w:r>
      </w:hyperlink>
    </w:p>
    <w:p>
      <w:pPr>
        <w:spacing w:after="0" w:line="77" w:lineRule="exact"/>
        <w:rPr>
          <w:sz w:val="20"/>
          <w:szCs w:val="20"/>
          <w:color w:val="auto"/>
        </w:rPr>
      </w:pPr>
    </w:p>
    <w:p>
      <w:pPr>
        <w:ind w:left="280"/>
        <w:spacing w:after="0"/>
        <w:tabs>
          <w:tab w:leader="none" w:pos="960" w:val="left"/>
        </w:tabs>
        <w:rPr>
          <w:rFonts w:ascii="Arial" w:cs="Arial" w:eastAsia="Arial" w:hAnsi="Arial"/>
          <w:sz w:val="16"/>
          <w:szCs w:val="16"/>
          <w:u w:val="single" w:color="auto"/>
          <w:color w:val="0000FF"/>
        </w:rPr>
      </w:pPr>
      <w:hyperlink w:anchor="page215">
        <w:r>
          <w:rPr>
            <w:rFonts w:ascii="Arial" w:cs="Arial" w:eastAsia="Arial" w:hAnsi="Arial"/>
            <w:sz w:val="18"/>
            <w:szCs w:val="18"/>
            <w:u w:val="single" w:color="auto"/>
            <w:color w:val="0000FF"/>
          </w:rPr>
          <w:t>21.1</w:t>
        </w:r>
      </w:hyperlink>
      <w:r>
        <w:rPr>
          <w:rFonts w:ascii="Arial" w:cs="Arial" w:eastAsia="Arial" w:hAnsi="Arial"/>
          <w:sz w:val="18"/>
          <w:szCs w:val="18"/>
          <w:u w:val="single" w:color="auto"/>
          <w:color w:val="0000FF"/>
        </w:rPr>
        <w:tab/>
      </w:r>
      <w:hyperlink w:anchor="page215">
        <w:r>
          <w:rPr>
            <w:rFonts w:ascii="Arial" w:cs="Arial" w:eastAsia="Arial" w:hAnsi="Arial"/>
            <w:sz w:val="16"/>
            <w:szCs w:val="16"/>
            <w:u w:val="single" w:color="auto"/>
            <w:color w:val="0000FF"/>
          </w:rPr>
          <w:t>Subsidiaries of VICI Properties Inc.</w:t>
        </w:r>
      </w:hyperlink>
    </w:p>
    <w:p>
      <w:pPr>
        <w:spacing w:after="0" w:line="77" w:lineRule="exact"/>
        <w:rPr>
          <w:sz w:val="20"/>
          <w:szCs w:val="20"/>
          <w:color w:val="auto"/>
        </w:rPr>
      </w:pPr>
    </w:p>
    <w:p>
      <w:pPr>
        <w:ind w:left="280"/>
        <w:spacing w:after="0"/>
        <w:tabs>
          <w:tab w:leader="none" w:pos="960" w:val="left"/>
        </w:tabs>
        <w:rPr>
          <w:rFonts w:ascii="Arial" w:cs="Arial" w:eastAsia="Arial" w:hAnsi="Arial"/>
          <w:sz w:val="16"/>
          <w:szCs w:val="16"/>
          <w:u w:val="single" w:color="auto"/>
          <w:color w:val="0000FF"/>
        </w:rPr>
      </w:pPr>
      <w:hyperlink w:anchor="page217">
        <w:r>
          <w:rPr>
            <w:rFonts w:ascii="Arial" w:cs="Arial" w:eastAsia="Arial" w:hAnsi="Arial"/>
            <w:sz w:val="18"/>
            <w:szCs w:val="18"/>
            <w:u w:val="single" w:color="auto"/>
            <w:color w:val="0000FF"/>
          </w:rPr>
          <w:t>23.1</w:t>
        </w:r>
      </w:hyperlink>
      <w:r>
        <w:rPr>
          <w:rFonts w:ascii="Arial" w:cs="Arial" w:eastAsia="Arial" w:hAnsi="Arial"/>
          <w:sz w:val="18"/>
          <w:szCs w:val="18"/>
          <w:u w:val="single" w:color="auto"/>
          <w:color w:val="0000FF"/>
        </w:rPr>
        <w:tab/>
      </w:r>
      <w:hyperlink w:anchor="page217">
        <w:r>
          <w:rPr>
            <w:rFonts w:ascii="Arial" w:cs="Arial" w:eastAsia="Arial" w:hAnsi="Arial"/>
            <w:sz w:val="16"/>
            <w:szCs w:val="16"/>
            <w:u w:val="single" w:color="auto"/>
            <w:color w:val="0000FF"/>
          </w:rPr>
          <w:t>Consent of Deloitte &amp; Touche LLP for VICI Properties Inc.</w:t>
        </w:r>
      </w:hyperlink>
    </w:p>
    <w:p>
      <w:pPr>
        <w:spacing w:after="0" w:line="77" w:lineRule="exact"/>
        <w:rPr>
          <w:sz w:val="20"/>
          <w:szCs w:val="20"/>
          <w:color w:val="auto"/>
        </w:rPr>
      </w:pPr>
    </w:p>
    <w:p>
      <w:pPr>
        <w:ind w:left="280"/>
        <w:spacing w:after="0"/>
        <w:tabs>
          <w:tab w:leader="none" w:pos="960" w:val="left"/>
        </w:tabs>
        <w:rPr>
          <w:rFonts w:ascii="Arial" w:cs="Arial" w:eastAsia="Arial" w:hAnsi="Arial"/>
          <w:sz w:val="16"/>
          <w:szCs w:val="16"/>
          <w:u w:val="single" w:color="auto"/>
          <w:color w:val="0000FF"/>
        </w:rPr>
      </w:pPr>
      <w:hyperlink w:anchor="page81">
        <w:r>
          <w:rPr>
            <w:rFonts w:ascii="Arial" w:cs="Arial" w:eastAsia="Arial" w:hAnsi="Arial"/>
            <w:sz w:val="18"/>
            <w:szCs w:val="18"/>
            <w:u w:val="single" w:color="auto"/>
            <w:color w:val="0000FF"/>
          </w:rPr>
          <w:t>24.1</w:t>
        </w:r>
      </w:hyperlink>
      <w:r>
        <w:rPr>
          <w:rFonts w:ascii="Arial" w:cs="Arial" w:eastAsia="Arial" w:hAnsi="Arial"/>
          <w:sz w:val="18"/>
          <w:szCs w:val="18"/>
          <w:u w:val="single" w:color="auto"/>
          <w:color w:val="0000FF"/>
        </w:rPr>
        <w:tab/>
      </w:r>
      <w:hyperlink w:anchor="page81">
        <w:r>
          <w:rPr>
            <w:rFonts w:ascii="Arial" w:cs="Arial" w:eastAsia="Arial" w:hAnsi="Arial"/>
            <w:sz w:val="16"/>
            <w:szCs w:val="16"/>
            <w:u w:val="single" w:color="auto"/>
            <w:color w:val="0000FF"/>
          </w:rPr>
          <w:t>Power of Attorney (included on signature page)</w:t>
        </w:r>
      </w:hyperlink>
    </w:p>
    <w:p>
      <w:pPr>
        <w:spacing w:after="0" w:line="77" w:lineRule="exact"/>
        <w:rPr>
          <w:sz w:val="20"/>
          <w:szCs w:val="20"/>
          <w:color w:val="auto"/>
        </w:rPr>
      </w:pPr>
    </w:p>
    <w:p>
      <w:pPr>
        <w:ind w:left="980" w:right="380" w:hanging="701"/>
        <w:spacing w:after="0" w:line="235" w:lineRule="auto"/>
        <w:tabs>
          <w:tab w:leader="none" w:pos="960" w:val="left"/>
        </w:tabs>
        <w:rPr>
          <w:rFonts w:ascii="Arial" w:cs="Arial" w:eastAsia="Arial" w:hAnsi="Arial"/>
          <w:sz w:val="18"/>
          <w:szCs w:val="18"/>
          <w:u w:val="single" w:color="auto"/>
          <w:color w:val="0000FF"/>
        </w:rPr>
      </w:pPr>
      <w:hyperlink w:anchor="page218">
        <w:r>
          <w:rPr>
            <w:rFonts w:ascii="Arial" w:cs="Arial" w:eastAsia="Arial" w:hAnsi="Arial"/>
            <w:sz w:val="18"/>
            <w:szCs w:val="18"/>
            <w:u w:val="single" w:color="auto"/>
            <w:color w:val="0000FF"/>
          </w:rPr>
          <w:t>31.1</w:t>
        </w:r>
      </w:hyperlink>
      <w:r>
        <w:rPr>
          <w:rFonts w:ascii="Arial" w:cs="Arial" w:eastAsia="Arial" w:hAnsi="Arial"/>
          <w:sz w:val="18"/>
          <w:szCs w:val="18"/>
          <w:u w:val="single" w:color="auto"/>
          <w:color w:val="0000FF"/>
        </w:rPr>
        <w:tab/>
      </w:r>
      <w:hyperlink w:anchor="page218">
        <w:r>
          <w:rPr>
            <w:rFonts w:ascii="Arial" w:cs="Arial" w:eastAsia="Arial" w:hAnsi="Arial"/>
            <w:sz w:val="18"/>
            <w:szCs w:val="18"/>
            <w:u w:val="single" w:color="auto"/>
            <w:color w:val="0000FF"/>
          </w:rPr>
          <w:t>Certification of Principal Executive Officer Pursuant to Section 302 of the</w:t>
        </w:r>
      </w:hyperlink>
      <w:r>
        <w:rPr>
          <w:rFonts w:ascii="Arial" w:cs="Arial" w:eastAsia="Arial" w:hAnsi="Arial"/>
          <w:sz w:val="18"/>
          <w:szCs w:val="18"/>
          <w:u w:val="single" w:color="auto"/>
          <w:color w:val="0000FF"/>
        </w:rPr>
        <w:t xml:space="preserve"> </w:t>
      </w:r>
      <w:hyperlink w:anchor="page218">
        <w:r>
          <w:rPr>
            <w:rFonts w:ascii="Arial" w:cs="Arial" w:eastAsia="Arial" w:hAnsi="Arial"/>
            <w:sz w:val="18"/>
            <w:szCs w:val="18"/>
            <w:u w:val="single" w:color="auto"/>
            <w:color w:val="0000FF"/>
          </w:rPr>
          <w:t>Sarbanes-Oxley Act of 2002.</w:t>
        </w:r>
      </w:hyperlink>
    </w:p>
    <w:p>
      <w:pPr>
        <w:spacing w:after="0" w:line="54" w:lineRule="exact"/>
        <w:rPr>
          <w:rFonts w:ascii="Arial" w:cs="Arial" w:eastAsia="Arial" w:hAnsi="Arial"/>
          <w:sz w:val="18"/>
          <w:szCs w:val="18"/>
          <w:u w:val="single" w:color="auto"/>
          <w:color w:val="0000FF"/>
        </w:rPr>
      </w:pPr>
    </w:p>
    <w:p>
      <w:pPr>
        <w:ind w:left="980" w:right="420" w:hanging="701"/>
        <w:spacing w:after="0" w:line="235" w:lineRule="auto"/>
        <w:tabs>
          <w:tab w:leader="none" w:pos="960" w:val="left"/>
        </w:tabs>
        <w:rPr>
          <w:rFonts w:ascii="Arial" w:cs="Arial" w:eastAsia="Arial" w:hAnsi="Arial"/>
          <w:sz w:val="18"/>
          <w:szCs w:val="18"/>
          <w:u w:val="single" w:color="auto"/>
          <w:color w:val="0000FF"/>
        </w:rPr>
      </w:pPr>
      <w:hyperlink w:anchor="page219">
        <w:r>
          <w:rPr>
            <w:rFonts w:ascii="Arial" w:cs="Arial" w:eastAsia="Arial" w:hAnsi="Arial"/>
            <w:sz w:val="18"/>
            <w:szCs w:val="18"/>
            <w:u w:val="single" w:color="auto"/>
            <w:color w:val="0000FF"/>
          </w:rPr>
          <w:t>31.2</w:t>
        </w:r>
      </w:hyperlink>
      <w:r>
        <w:rPr>
          <w:rFonts w:ascii="Arial" w:cs="Arial" w:eastAsia="Arial" w:hAnsi="Arial"/>
          <w:sz w:val="18"/>
          <w:szCs w:val="18"/>
          <w:u w:val="single" w:color="auto"/>
          <w:color w:val="0000FF"/>
        </w:rPr>
        <w:tab/>
      </w:r>
      <w:hyperlink w:anchor="page219">
        <w:r>
          <w:rPr>
            <w:rFonts w:ascii="Arial" w:cs="Arial" w:eastAsia="Arial" w:hAnsi="Arial"/>
            <w:sz w:val="18"/>
            <w:szCs w:val="18"/>
            <w:u w:val="single" w:color="auto"/>
            <w:color w:val="0000FF"/>
          </w:rPr>
          <w:t>Certification of Principal Financial Officer Pursuant to Section 302 of the</w:t>
        </w:r>
      </w:hyperlink>
      <w:r>
        <w:rPr>
          <w:rFonts w:ascii="Arial" w:cs="Arial" w:eastAsia="Arial" w:hAnsi="Arial"/>
          <w:sz w:val="18"/>
          <w:szCs w:val="18"/>
          <w:u w:val="single" w:color="auto"/>
          <w:color w:val="0000FF"/>
        </w:rPr>
        <w:t xml:space="preserve"> </w:t>
      </w:r>
      <w:hyperlink w:anchor="page219">
        <w:r>
          <w:rPr>
            <w:rFonts w:ascii="Arial" w:cs="Arial" w:eastAsia="Arial" w:hAnsi="Arial"/>
            <w:sz w:val="18"/>
            <w:szCs w:val="18"/>
            <w:u w:val="single" w:color="auto"/>
            <w:color w:val="0000FF"/>
          </w:rPr>
          <w:t>Sarbanes-Oxley Act of 2002.</w:t>
        </w:r>
      </w:hyperlink>
    </w:p>
    <w:p>
      <w:pPr>
        <w:spacing w:after="0" w:line="54" w:lineRule="exact"/>
        <w:rPr>
          <w:rFonts w:ascii="Arial" w:cs="Arial" w:eastAsia="Arial" w:hAnsi="Arial"/>
          <w:sz w:val="18"/>
          <w:szCs w:val="18"/>
          <w:u w:val="single" w:color="auto"/>
          <w:color w:val="0000FF"/>
        </w:rPr>
      </w:pPr>
    </w:p>
    <w:p>
      <w:pPr>
        <w:ind w:left="980" w:right="380" w:hanging="701"/>
        <w:spacing w:after="0" w:line="235" w:lineRule="auto"/>
        <w:tabs>
          <w:tab w:leader="none" w:pos="960" w:val="left"/>
        </w:tabs>
        <w:rPr>
          <w:rFonts w:ascii="Arial" w:cs="Arial" w:eastAsia="Arial" w:hAnsi="Arial"/>
          <w:sz w:val="18"/>
          <w:szCs w:val="18"/>
          <w:u w:val="single" w:color="auto"/>
          <w:color w:val="0000FF"/>
        </w:rPr>
      </w:pPr>
      <w:hyperlink w:anchor="page220">
        <w:r>
          <w:rPr>
            <w:rFonts w:ascii="Arial" w:cs="Arial" w:eastAsia="Arial" w:hAnsi="Arial"/>
            <w:sz w:val="18"/>
            <w:szCs w:val="18"/>
            <w:u w:val="single" w:color="auto"/>
            <w:color w:val="0000FF"/>
          </w:rPr>
          <w:t>32.1</w:t>
        </w:r>
      </w:hyperlink>
      <w:r>
        <w:rPr>
          <w:rFonts w:ascii="Arial" w:cs="Arial" w:eastAsia="Arial" w:hAnsi="Arial"/>
          <w:sz w:val="18"/>
          <w:szCs w:val="18"/>
          <w:u w:val="single" w:color="auto"/>
          <w:color w:val="0000FF"/>
        </w:rPr>
        <w:tab/>
      </w:r>
      <w:hyperlink w:anchor="page220">
        <w:r>
          <w:rPr>
            <w:rFonts w:ascii="Arial" w:cs="Arial" w:eastAsia="Arial" w:hAnsi="Arial"/>
            <w:sz w:val="18"/>
            <w:szCs w:val="18"/>
            <w:u w:val="single" w:color="auto"/>
            <w:color w:val="0000FF"/>
          </w:rPr>
          <w:t>Certification of Principal Executive Officer Pursuant to Section 906 of the</w:t>
        </w:r>
      </w:hyperlink>
      <w:r>
        <w:rPr>
          <w:rFonts w:ascii="Arial" w:cs="Arial" w:eastAsia="Arial" w:hAnsi="Arial"/>
          <w:sz w:val="18"/>
          <w:szCs w:val="18"/>
          <w:u w:val="single" w:color="auto"/>
          <w:color w:val="0000FF"/>
        </w:rPr>
        <w:t xml:space="preserve"> </w:t>
      </w:r>
      <w:hyperlink w:anchor="page220">
        <w:r>
          <w:rPr>
            <w:rFonts w:ascii="Arial" w:cs="Arial" w:eastAsia="Arial" w:hAnsi="Arial"/>
            <w:sz w:val="18"/>
            <w:szCs w:val="18"/>
            <w:u w:val="single" w:color="auto"/>
            <w:color w:val="0000FF"/>
          </w:rPr>
          <w:t>Sarbanes-Oxley Act of 2002.</w:t>
        </w:r>
      </w:hyperlink>
    </w:p>
    <w:p>
      <w:pPr>
        <w:spacing w:after="0" w:line="54" w:lineRule="exact"/>
        <w:rPr>
          <w:rFonts w:ascii="Arial" w:cs="Arial" w:eastAsia="Arial" w:hAnsi="Arial"/>
          <w:sz w:val="18"/>
          <w:szCs w:val="18"/>
          <w:u w:val="single" w:color="auto"/>
          <w:color w:val="0000FF"/>
        </w:rPr>
      </w:pPr>
    </w:p>
    <w:p>
      <w:pPr>
        <w:ind w:left="980" w:right="420" w:hanging="701"/>
        <w:spacing w:after="0" w:line="235" w:lineRule="auto"/>
        <w:tabs>
          <w:tab w:leader="none" w:pos="960" w:val="left"/>
        </w:tabs>
        <w:rPr>
          <w:rFonts w:ascii="Arial" w:cs="Arial" w:eastAsia="Arial" w:hAnsi="Arial"/>
          <w:sz w:val="18"/>
          <w:szCs w:val="18"/>
          <w:u w:val="single" w:color="auto"/>
          <w:color w:val="0000FF"/>
        </w:rPr>
      </w:pPr>
      <w:hyperlink w:anchor="page221">
        <w:r>
          <w:rPr>
            <w:rFonts w:ascii="Arial" w:cs="Arial" w:eastAsia="Arial" w:hAnsi="Arial"/>
            <w:sz w:val="18"/>
            <w:szCs w:val="18"/>
            <w:u w:val="single" w:color="auto"/>
            <w:color w:val="0000FF"/>
          </w:rPr>
          <w:t>32.2</w:t>
        </w:r>
      </w:hyperlink>
      <w:r>
        <w:rPr>
          <w:rFonts w:ascii="Arial" w:cs="Arial" w:eastAsia="Arial" w:hAnsi="Arial"/>
          <w:sz w:val="18"/>
          <w:szCs w:val="18"/>
          <w:u w:val="single" w:color="auto"/>
          <w:color w:val="0000FF"/>
        </w:rPr>
        <w:tab/>
      </w:r>
      <w:hyperlink w:anchor="page221">
        <w:r>
          <w:rPr>
            <w:rFonts w:ascii="Arial" w:cs="Arial" w:eastAsia="Arial" w:hAnsi="Arial"/>
            <w:sz w:val="18"/>
            <w:szCs w:val="18"/>
            <w:u w:val="single" w:color="auto"/>
            <w:color w:val="0000FF"/>
          </w:rPr>
          <w:t>Certification of Principal Financial Officer Pursuant to Section 906 of the</w:t>
        </w:r>
      </w:hyperlink>
      <w:r>
        <w:rPr>
          <w:rFonts w:ascii="Arial" w:cs="Arial" w:eastAsia="Arial" w:hAnsi="Arial"/>
          <w:sz w:val="18"/>
          <w:szCs w:val="18"/>
          <w:u w:val="single" w:color="auto"/>
          <w:color w:val="0000FF"/>
        </w:rPr>
        <w:t xml:space="preserve"> </w:t>
      </w:r>
      <w:hyperlink w:anchor="page221">
        <w:r>
          <w:rPr>
            <w:rFonts w:ascii="Arial" w:cs="Arial" w:eastAsia="Arial" w:hAnsi="Arial"/>
            <w:sz w:val="18"/>
            <w:szCs w:val="18"/>
            <w:u w:val="single" w:color="auto"/>
            <w:color w:val="0000FF"/>
          </w:rPr>
          <w:t>Sarbanes-Oxley Act of 2002.</w:t>
        </w:r>
      </w:hyperlink>
    </w:p>
    <w:p>
      <w:pPr>
        <w:spacing w:after="0" w:line="54" w:lineRule="exact"/>
        <w:rPr>
          <w:rFonts w:ascii="Arial" w:cs="Arial" w:eastAsia="Arial" w:hAnsi="Arial"/>
          <w:sz w:val="18"/>
          <w:szCs w:val="18"/>
          <w:u w:val="single" w:color="auto"/>
          <w:color w:val="0000FF"/>
        </w:rPr>
      </w:pPr>
    </w:p>
    <w:p>
      <w:pPr>
        <w:ind w:left="980" w:right="260" w:hanging="816"/>
        <w:spacing w:after="0" w:line="224" w:lineRule="auto"/>
        <w:tabs>
          <w:tab w:leader="none" w:pos="960" w:val="left"/>
        </w:tabs>
        <w:rPr>
          <w:sz w:val="20"/>
          <w:szCs w:val="20"/>
          <w:color w:val="auto"/>
        </w:rPr>
      </w:pPr>
      <w:r>
        <w:rPr>
          <w:rFonts w:ascii="Arial" w:cs="Arial" w:eastAsia="Arial" w:hAnsi="Arial"/>
          <w:sz w:val="16"/>
          <w:szCs w:val="16"/>
          <w:color w:val="auto"/>
        </w:rPr>
        <w:t>101.INS</w:t>
      </w:r>
      <w:r>
        <w:rPr>
          <w:sz w:val="20"/>
          <w:szCs w:val="20"/>
          <w:color w:val="auto"/>
        </w:rPr>
        <w:tab/>
      </w:r>
      <w:r>
        <w:rPr>
          <w:rFonts w:ascii="Arial" w:cs="Arial" w:eastAsia="Arial" w:hAnsi="Arial"/>
          <w:sz w:val="18"/>
          <w:szCs w:val="18"/>
          <w:color w:val="auto"/>
        </w:rPr>
        <w:t>XBRL Instance Document - the instance document does not appear in the Interactive Data File because its XBRL tags are embedded within the Inline XBRL document</w:t>
      </w:r>
    </w:p>
    <w:p>
      <w:pPr>
        <w:spacing w:after="0" w:line="55" w:lineRule="exact"/>
        <w:rPr>
          <w:rFonts w:ascii="Arial" w:cs="Arial" w:eastAsia="Arial" w:hAnsi="Arial"/>
          <w:sz w:val="18"/>
          <w:szCs w:val="18"/>
          <w:u w:val="single" w:color="auto"/>
          <w:color w:val="0000FF"/>
        </w:rPr>
      </w:pPr>
    </w:p>
    <w:p>
      <w:pPr>
        <w:ind w:left="140"/>
        <w:spacing w:after="0"/>
        <w:tabs>
          <w:tab w:leader="none" w:pos="960" w:val="left"/>
        </w:tabs>
        <w:rPr>
          <w:sz w:val="20"/>
          <w:szCs w:val="20"/>
          <w:color w:val="auto"/>
        </w:rPr>
      </w:pPr>
      <w:r>
        <w:rPr>
          <w:rFonts w:ascii="Arial" w:cs="Arial" w:eastAsia="Arial" w:hAnsi="Arial"/>
          <w:sz w:val="16"/>
          <w:szCs w:val="16"/>
          <w:color w:val="auto"/>
        </w:rPr>
        <w:t>101.SCH</w:t>
      </w:r>
      <w:r>
        <w:rPr>
          <w:sz w:val="20"/>
          <w:szCs w:val="20"/>
          <w:color w:val="auto"/>
        </w:rPr>
        <w:tab/>
      </w:r>
      <w:r>
        <w:rPr>
          <w:rFonts w:ascii="Arial" w:cs="Arial" w:eastAsia="Arial" w:hAnsi="Arial"/>
          <w:sz w:val="16"/>
          <w:szCs w:val="16"/>
          <w:color w:val="auto"/>
        </w:rPr>
        <w:t>XBRL Taxonomy Extension Schema Document</w:t>
      </w:r>
    </w:p>
    <w:p>
      <w:pPr>
        <w:spacing w:after="0" w:line="100" w:lineRule="exact"/>
        <w:rPr>
          <w:rFonts w:ascii="Arial" w:cs="Arial" w:eastAsia="Arial" w:hAnsi="Arial"/>
          <w:sz w:val="18"/>
          <w:szCs w:val="18"/>
          <w:u w:val="single" w:color="auto"/>
          <w:color w:val="0000FF"/>
        </w:rPr>
      </w:pPr>
    </w:p>
    <w:p>
      <w:pPr>
        <w:ind w:left="140"/>
        <w:spacing w:after="0"/>
        <w:tabs>
          <w:tab w:leader="none" w:pos="960" w:val="left"/>
        </w:tabs>
        <w:rPr>
          <w:sz w:val="20"/>
          <w:szCs w:val="20"/>
          <w:color w:val="auto"/>
        </w:rPr>
      </w:pPr>
      <w:r>
        <w:rPr>
          <w:rFonts w:ascii="Arial" w:cs="Arial" w:eastAsia="Arial" w:hAnsi="Arial"/>
          <w:sz w:val="16"/>
          <w:szCs w:val="16"/>
          <w:color w:val="auto"/>
        </w:rPr>
        <w:t>101.CAL</w:t>
      </w:r>
      <w:r>
        <w:rPr>
          <w:sz w:val="20"/>
          <w:szCs w:val="20"/>
          <w:color w:val="auto"/>
        </w:rPr>
        <w:tab/>
      </w:r>
      <w:r>
        <w:rPr>
          <w:rFonts w:ascii="Arial" w:cs="Arial" w:eastAsia="Arial" w:hAnsi="Arial"/>
          <w:sz w:val="16"/>
          <w:szCs w:val="16"/>
          <w:color w:val="auto"/>
        </w:rPr>
        <w:t>XBRL Taxonomy Extension Calculation Linkbase Document</w:t>
      </w:r>
    </w:p>
    <w:p>
      <w:pPr>
        <w:spacing w:after="0" w:line="100" w:lineRule="exact"/>
        <w:rPr>
          <w:rFonts w:ascii="Arial" w:cs="Arial" w:eastAsia="Arial" w:hAnsi="Arial"/>
          <w:sz w:val="18"/>
          <w:szCs w:val="18"/>
          <w:u w:val="single" w:color="auto"/>
          <w:color w:val="0000FF"/>
        </w:rPr>
      </w:pPr>
    </w:p>
    <w:p>
      <w:pPr>
        <w:ind w:left="140"/>
        <w:spacing w:after="0"/>
        <w:tabs>
          <w:tab w:leader="none" w:pos="960" w:val="left"/>
        </w:tabs>
        <w:rPr>
          <w:sz w:val="20"/>
          <w:szCs w:val="20"/>
          <w:color w:val="auto"/>
        </w:rPr>
      </w:pPr>
      <w:r>
        <w:rPr>
          <w:rFonts w:ascii="Arial" w:cs="Arial" w:eastAsia="Arial" w:hAnsi="Arial"/>
          <w:sz w:val="16"/>
          <w:szCs w:val="16"/>
          <w:color w:val="auto"/>
        </w:rPr>
        <w:t>101.DEF</w:t>
      </w:r>
      <w:r>
        <w:rPr>
          <w:sz w:val="20"/>
          <w:szCs w:val="20"/>
          <w:color w:val="auto"/>
        </w:rPr>
        <w:tab/>
      </w:r>
      <w:r>
        <w:rPr>
          <w:rFonts w:ascii="Arial" w:cs="Arial" w:eastAsia="Arial" w:hAnsi="Arial"/>
          <w:sz w:val="16"/>
          <w:szCs w:val="16"/>
          <w:color w:val="auto"/>
        </w:rPr>
        <w:t>XBRL Taxonomy Extension Definition Linkbase Document</w:t>
      </w:r>
    </w:p>
    <w:p>
      <w:pPr>
        <w:spacing w:after="0" w:line="100" w:lineRule="exact"/>
        <w:rPr>
          <w:rFonts w:ascii="Arial" w:cs="Arial" w:eastAsia="Arial" w:hAnsi="Arial"/>
          <w:sz w:val="18"/>
          <w:szCs w:val="18"/>
          <w:u w:val="single" w:color="auto"/>
          <w:color w:val="0000FF"/>
        </w:rPr>
      </w:pPr>
    </w:p>
    <w:p>
      <w:pPr>
        <w:ind w:left="140"/>
        <w:spacing w:after="0"/>
        <w:tabs>
          <w:tab w:leader="none" w:pos="960" w:val="left"/>
        </w:tabs>
        <w:rPr>
          <w:sz w:val="20"/>
          <w:szCs w:val="20"/>
          <w:color w:val="auto"/>
        </w:rPr>
      </w:pPr>
      <w:r>
        <w:rPr>
          <w:rFonts w:ascii="Arial" w:cs="Arial" w:eastAsia="Arial" w:hAnsi="Arial"/>
          <w:sz w:val="16"/>
          <w:szCs w:val="16"/>
          <w:color w:val="auto"/>
        </w:rPr>
        <w:t>101.LAB</w:t>
      </w:r>
      <w:r>
        <w:rPr>
          <w:sz w:val="20"/>
          <w:szCs w:val="20"/>
          <w:color w:val="auto"/>
        </w:rPr>
        <w:tab/>
      </w:r>
      <w:r>
        <w:rPr>
          <w:rFonts w:ascii="Arial" w:cs="Arial" w:eastAsia="Arial" w:hAnsi="Arial"/>
          <w:sz w:val="16"/>
          <w:szCs w:val="16"/>
          <w:color w:val="auto"/>
        </w:rPr>
        <w:t>XBRL Taxonomy Extension Label Linkbase Document</w:t>
      </w:r>
    </w:p>
    <w:p>
      <w:pPr>
        <w:spacing w:after="0" w:line="100" w:lineRule="exact"/>
        <w:rPr>
          <w:rFonts w:ascii="Arial" w:cs="Arial" w:eastAsia="Arial" w:hAnsi="Arial"/>
          <w:sz w:val="18"/>
          <w:szCs w:val="18"/>
          <w:u w:val="single" w:color="auto"/>
          <w:color w:val="0000FF"/>
        </w:rPr>
      </w:pPr>
    </w:p>
    <w:p>
      <w:pPr>
        <w:ind w:left="140"/>
        <w:spacing w:after="0"/>
        <w:tabs>
          <w:tab w:leader="none" w:pos="960" w:val="left"/>
        </w:tabs>
        <w:rPr>
          <w:sz w:val="20"/>
          <w:szCs w:val="20"/>
          <w:color w:val="auto"/>
        </w:rPr>
      </w:pPr>
      <w:r>
        <w:rPr>
          <w:rFonts w:ascii="Arial" w:cs="Arial" w:eastAsia="Arial" w:hAnsi="Arial"/>
          <w:sz w:val="16"/>
          <w:szCs w:val="16"/>
          <w:color w:val="auto"/>
        </w:rPr>
        <w:t>101.PRE</w:t>
      </w:r>
      <w:r>
        <w:rPr>
          <w:sz w:val="20"/>
          <w:szCs w:val="20"/>
          <w:color w:val="auto"/>
        </w:rPr>
        <w:tab/>
      </w:r>
      <w:r>
        <w:rPr>
          <w:rFonts w:ascii="Arial" w:cs="Arial" w:eastAsia="Arial" w:hAnsi="Arial"/>
          <w:sz w:val="16"/>
          <w:szCs w:val="16"/>
          <w:color w:val="auto"/>
        </w:rPr>
        <w:t>XBRL Taxonomy Extension Presentation Linkbase Document</w:t>
      </w:r>
    </w:p>
    <w:p>
      <w:pPr>
        <w:spacing w:after="0" w:line="100" w:lineRule="exact"/>
        <w:rPr>
          <w:rFonts w:ascii="Arial" w:cs="Arial" w:eastAsia="Arial" w:hAnsi="Arial"/>
          <w:sz w:val="18"/>
          <w:szCs w:val="18"/>
          <w:u w:val="single" w:color="auto"/>
          <w:color w:val="0000FF"/>
        </w:rPr>
      </w:pPr>
    </w:p>
    <w:p>
      <w:pPr>
        <w:ind w:left="980" w:right="140" w:hanging="662"/>
        <w:spacing w:after="0" w:line="235" w:lineRule="auto"/>
        <w:tabs>
          <w:tab w:leader="none" w:pos="980" w:val="left"/>
        </w:tabs>
        <w:numPr>
          <w:ilvl w:val="0"/>
          <w:numId w:val="63"/>
        </w:numPr>
        <w:rPr>
          <w:rFonts w:ascii="Arial" w:cs="Arial" w:eastAsia="Arial" w:hAnsi="Arial"/>
          <w:sz w:val="16"/>
          <w:szCs w:val="16"/>
          <w:color w:val="auto"/>
        </w:rPr>
      </w:pPr>
      <w:r>
        <w:rPr>
          <w:rFonts w:ascii="Arial" w:cs="Arial" w:eastAsia="Arial" w:hAnsi="Arial"/>
          <w:sz w:val="18"/>
          <w:szCs w:val="18"/>
          <w:color w:val="auto"/>
        </w:rPr>
        <w:t>Cover Page Interactive Data File (formatted as Inline XBRL and contained in Exhibit 101)</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325" w:lineRule="exact"/>
        <w:rPr>
          <w:rFonts w:ascii="Arial" w:cs="Arial" w:eastAsia="Arial" w:hAnsi="Arial"/>
          <w:sz w:val="18"/>
          <w:szCs w:val="18"/>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920" w:type="dxa"/>
        <w:tblCellMar>
          <w:top w:w="0" w:type="dxa"/>
          <w:left w:w="0" w:type="dxa"/>
          <w:bottom w:w="0" w:type="dxa"/>
          <w:right w:w="0" w:type="dxa"/>
        </w:tblCellMar>
      </w:tblPr>
      <w:tr>
        <w:trPr>
          <w:trHeight w:val="230"/>
        </w:trPr>
        <w:tc>
          <w:tcPr>
            <w:tcW w:w="72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9/26/2019</w:t>
            </w:r>
          </w:p>
        </w:tc>
      </w:tr>
      <w:tr>
        <w:trPr>
          <w:trHeight w:val="634"/>
        </w:trPr>
        <w:tc>
          <w:tcPr>
            <w:tcW w:w="72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9/26/2019</w:t>
            </w:r>
          </w:p>
        </w:tc>
      </w:tr>
      <w:tr>
        <w:trPr>
          <w:trHeight w:val="459"/>
        </w:trPr>
        <w:tc>
          <w:tcPr>
            <w:tcW w:w="72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10.28</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0"/>
              </w:rPr>
              <w:t>10/11/2017</w:t>
            </w:r>
          </w:p>
        </w:tc>
      </w:tr>
      <w:tr>
        <w:trPr>
          <w:trHeight w:val="283"/>
        </w:trPr>
        <w:tc>
          <w:tcPr>
            <w:tcW w:w="720" w:type="dxa"/>
            <w:vAlign w:val="bottom"/>
          </w:tcPr>
          <w:p>
            <w:pPr>
              <w:jc w:val="center"/>
              <w:ind w:right="250"/>
              <w:spacing w:after="0"/>
              <w:rPr>
                <w:sz w:val="20"/>
                <w:szCs w:val="20"/>
                <w:color w:val="auto"/>
              </w:rPr>
            </w:pPr>
            <w:r>
              <w:rPr>
                <w:rFonts w:ascii="Arial" w:cs="Arial" w:eastAsia="Arial" w:hAnsi="Arial"/>
                <w:sz w:val="18"/>
                <w:szCs w:val="18"/>
                <w:color w:val="auto"/>
                <w:w w:val="99"/>
              </w:rPr>
              <w:t>10-K</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10.52</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2/14/2019</w:t>
            </w:r>
          </w:p>
        </w:tc>
      </w:tr>
      <w:tr>
        <w:trPr>
          <w:trHeight w:val="283"/>
        </w:trPr>
        <w:tc>
          <w:tcPr>
            <w:tcW w:w="720" w:type="dxa"/>
            <w:vAlign w:val="bottom"/>
          </w:tcPr>
          <w:p>
            <w:pPr>
              <w:jc w:val="center"/>
              <w:ind w:right="250"/>
              <w:spacing w:after="0"/>
              <w:rPr>
                <w:sz w:val="20"/>
                <w:szCs w:val="20"/>
                <w:color w:val="auto"/>
              </w:rPr>
            </w:pPr>
            <w:r>
              <w:rPr>
                <w:rFonts w:ascii="Arial" w:cs="Arial" w:eastAsia="Arial" w:hAnsi="Arial"/>
                <w:sz w:val="18"/>
                <w:szCs w:val="18"/>
                <w:color w:val="auto"/>
                <w:w w:val="99"/>
              </w:rPr>
              <w:t>10-K</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10.39</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3/28/2018</w:t>
            </w:r>
          </w:p>
        </w:tc>
      </w:tr>
      <w:tr>
        <w:trPr>
          <w:trHeight w:val="283"/>
        </w:trPr>
        <w:tc>
          <w:tcPr>
            <w:tcW w:w="72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8/30/2018</w:t>
            </w:r>
          </w:p>
        </w:tc>
      </w:tr>
      <w:tr>
        <w:trPr>
          <w:trHeight w:val="284"/>
        </w:trPr>
        <w:tc>
          <w:tcPr>
            <w:tcW w:w="72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8/30/2018</w:t>
            </w:r>
          </w:p>
        </w:tc>
      </w:tr>
    </w:tbl>
    <w:p>
      <w:pPr>
        <w:spacing w:after="0" w:line="53"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77"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77"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158"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252"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252"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8"/>
          <w:szCs w:val="18"/>
          <w:color w:val="auto"/>
        </w:rPr>
        <w:t>*</w:t>
      </w:r>
    </w:p>
    <w:p>
      <w:pPr>
        <w:spacing w:after="0" w:line="347"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252"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77"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77"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77"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77"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X</w:t>
      </w:r>
    </w:p>
    <w:p>
      <w:pPr>
        <w:spacing w:after="0" w:line="575" w:lineRule="exact"/>
        <w:rPr>
          <w:rFonts w:ascii="Arial" w:cs="Arial" w:eastAsia="Arial" w:hAnsi="Arial"/>
          <w:sz w:val="18"/>
          <w:szCs w:val="18"/>
          <w:u w:val="single" w:color="auto"/>
          <w:color w:val="0000FF"/>
        </w:rPr>
      </w:pPr>
    </w:p>
    <w:p>
      <w:pPr>
        <w:sectPr>
          <w:pgSz w:w="11900" w:h="16838" w:orient="portrait"/>
          <w:cols w:equalWidth="0" w:num="2">
            <w:col w:w="6700" w:space="660"/>
            <w:col w:w="3860"/>
          </w:cols>
          <w:pgMar w:left="320" w:top="476" w:right="359" w:bottom="1440" w:gutter="0" w:footer="0" w:header="0"/>
          <w:type w:val="continuous"/>
        </w:sectPr>
      </w:pPr>
    </w:p>
    <w:p>
      <w:pPr>
        <w:spacing w:after="0"/>
        <w:rPr>
          <w:sz w:val="20"/>
          <w:szCs w:val="20"/>
          <w:color w:val="auto"/>
        </w:rPr>
      </w:pPr>
      <w:r>
        <w:rPr>
          <w:rFonts w:ascii="Arial" w:cs="Arial" w:eastAsia="Arial" w:hAnsi="Arial"/>
          <w:sz w:val="18"/>
          <w:szCs w:val="18"/>
          <w:color w:val="auto"/>
        </w:rPr>
        <w:t>* Furnished herewith</w:t>
      </w:r>
    </w:p>
    <w:p>
      <w:pPr>
        <w:spacing w:after="0" w:line="117"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 Management contracts and compensation plans and arrangements.</w:t>
      </w:r>
    </w:p>
    <w:p>
      <w:pPr>
        <w:spacing w:after="0" w:line="117" w:lineRule="exact"/>
        <w:rPr>
          <w:rFonts w:ascii="Arial" w:cs="Arial" w:eastAsia="Arial" w:hAnsi="Arial"/>
          <w:sz w:val="18"/>
          <w:szCs w:val="18"/>
          <w:u w:val="single" w:color="auto"/>
          <w:color w:val="0000FF"/>
        </w:rPr>
      </w:pPr>
    </w:p>
    <w:p>
      <w:pPr>
        <w:ind w:firstLine="8"/>
        <w:spacing w:after="0" w:line="277" w:lineRule="auto"/>
        <w:tabs>
          <w:tab w:leader="none" w:pos="148" w:val="left"/>
        </w:tabs>
        <w:numPr>
          <w:ilvl w:val="0"/>
          <w:numId w:val="64"/>
        </w:numPr>
        <w:rPr>
          <w:rFonts w:ascii="Arial" w:cs="Arial" w:eastAsia="Arial" w:hAnsi="Arial"/>
          <w:sz w:val="18"/>
          <w:szCs w:val="18"/>
          <w:color w:val="auto"/>
        </w:rPr>
      </w:pPr>
      <w:r>
        <w:rPr>
          <w:rFonts w:ascii="Arial" w:cs="Arial" w:eastAsia="Arial" w:hAnsi="Arial"/>
          <w:sz w:val="18"/>
          <w:szCs w:val="18"/>
          <w:color w:val="auto"/>
        </w:rPr>
        <w:t>Portions of the exhibits have been redacted because (i) the registrant customarily and actually treats that information as private or confidential and (ii) the omitted information is not material.</w:t>
      </w:r>
    </w:p>
    <w:p>
      <w:pPr>
        <w:spacing w:after="0" w:line="144" w:lineRule="exact"/>
        <w:rPr>
          <w:rFonts w:ascii="Arial" w:cs="Arial" w:eastAsia="Arial" w:hAnsi="Arial"/>
          <w:sz w:val="18"/>
          <w:szCs w:val="18"/>
          <w:u w:val="single" w:color="auto"/>
          <w:color w:val="0000FF"/>
        </w:rPr>
      </w:pPr>
    </w:p>
    <w:p>
      <w:pPr>
        <w:ind w:left="20"/>
        <w:spacing w:after="0"/>
        <w:tabs>
          <w:tab w:leader="none" w:pos="1520" w:val="left"/>
        </w:tabs>
        <w:rPr>
          <w:sz w:val="20"/>
          <w:szCs w:val="20"/>
          <w:color w:val="auto"/>
        </w:rPr>
      </w:pPr>
      <w:r>
        <w:rPr>
          <w:rFonts w:ascii="Arial" w:cs="Arial" w:eastAsia="Arial" w:hAnsi="Arial"/>
          <w:sz w:val="22"/>
          <w:szCs w:val="22"/>
          <w:b w:val="1"/>
          <w:bCs w:val="1"/>
          <w:color w:val="auto"/>
        </w:rPr>
        <w:t>ITEM 16.</w:t>
      </w:r>
      <w:r>
        <w:rPr>
          <w:sz w:val="20"/>
          <w:szCs w:val="20"/>
          <w:color w:val="auto"/>
        </w:rPr>
        <w:tab/>
      </w:r>
      <w:r>
        <w:rPr>
          <w:rFonts w:ascii="Arial" w:cs="Arial" w:eastAsia="Arial" w:hAnsi="Arial"/>
          <w:sz w:val="19"/>
          <w:szCs w:val="19"/>
          <w:b w:val="1"/>
          <w:bCs w:val="1"/>
          <w:color w:val="auto"/>
        </w:rPr>
        <w:t>Form 10-K Summary</w:t>
      </w:r>
    </w:p>
    <w:p>
      <w:pPr>
        <w:spacing w:after="0" w:line="273"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None.</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3"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type w:val="continuous"/>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11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VICI PROPERTIES INC.</w:t>
      </w:r>
    </w:p>
    <w:p>
      <w:pPr>
        <w:spacing w:after="0" w:line="297" w:lineRule="exact"/>
        <w:rPr>
          <w:sz w:val="20"/>
          <w:szCs w:val="20"/>
          <w:color w:val="auto"/>
        </w:rPr>
      </w:pPr>
    </w:p>
    <w:p>
      <w:pPr>
        <w:ind w:left="60"/>
        <w:spacing w:after="0"/>
        <w:tabs>
          <w:tab w:leader="none" w:pos="4760" w:val="left"/>
          <w:tab w:leader="none" w:pos="7160" w:val="left"/>
        </w:tabs>
        <w:rPr>
          <w:sz w:val="20"/>
          <w:szCs w:val="20"/>
          <w:color w:val="auto"/>
        </w:rPr>
      </w:pPr>
      <w:r>
        <w:rPr>
          <w:rFonts w:ascii="Arial" w:cs="Arial" w:eastAsia="Arial" w:hAnsi="Arial"/>
          <w:sz w:val="18"/>
          <w:szCs w:val="18"/>
          <w:color w:val="auto"/>
        </w:rPr>
        <w:t>February 23,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14605</wp:posOffset>
            </wp:positionV>
            <wp:extent cx="376301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4">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12" w:lineRule="exact"/>
        <w:rPr>
          <w:sz w:val="20"/>
          <w:szCs w:val="20"/>
          <w:color w:val="auto"/>
        </w:rPr>
      </w:pPr>
    </w:p>
    <w:p>
      <w:pPr>
        <w:jc w:val="center"/>
        <w:ind w:left="5220"/>
        <w:spacing w:after="0"/>
        <w:rPr>
          <w:sz w:val="20"/>
          <w:szCs w:val="20"/>
          <w:color w:val="auto"/>
        </w:rPr>
      </w:pPr>
      <w:r>
        <w:rPr>
          <w:rFonts w:ascii="Arial" w:cs="Arial" w:eastAsia="Arial" w:hAnsi="Arial"/>
          <w:sz w:val="18"/>
          <w:szCs w:val="18"/>
          <w:b w:val="1"/>
          <w:bCs w:val="1"/>
          <w:color w:val="auto"/>
        </w:rPr>
        <w:t>Edward B. Pitoniak</w:t>
      </w:r>
    </w:p>
    <w:p>
      <w:pPr>
        <w:spacing w:after="0" w:line="27" w:lineRule="exact"/>
        <w:rPr>
          <w:sz w:val="20"/>
          <w:szCs w:val="20"/>
          <w:color w:val="auto"/>
        </w:rPr>
      </w:pPr>
    </w:p>
    <w:p>
      <w:pPr>
        <w:jc w:val="center"/>
        <w:ind w:left="522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Each of the officers and directors of VICI Properties Inc., whose signature appears below, in so signing, also makes, constitutes and appoints each of Edward B. Pitoniak, David A. Kieske and Gabriel F. Wasserman, and each of them, his or her true and lawful attorneys-in-fact, with full power and substitution, for him or her in any and all capacities, to execute and cause to be filed with the SEC any and all amendments to this Annual Report on Form 10-K, with exhibits thereto and all other documents connected therewith and to perform any acts necessary to be done in order to file such documents, and hereby ratifies and confirms all that said attorneys-in-fact or their substitute or substitutes may do or cause to done by virtue hereof.</w:t>
      </w:r>
    </w:p>
    <w:p>
      <w:pPr>
        <w:spacing w:after="0" w:line="6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Pursuant to the requirements of the Securities Exchange Act of 1934, this report has been signed below by the following persons on behalf of the registrant and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20" w:type="dxa"/>
            <w:vAlign w:val="bottom"/>
          </w:tcPr>
          <w:p>
            <w:pPr>
              <w:spacing w:after="0"/>
              <w:rPr>
                <w:sz w:val="20"/>
                <w:szCs w:val="20"/>
                <w:color w:val="auto"/>
              </w:rPr>
            </w:pP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100" w:type="dxa"/>
            <w:vAlign w:val="bottom"/>
          </w:tcPr>
          <w:p>
            <w:pPr>
              <w:spacing w:after="0"/>
              <w:rPr>
                <w:sz w:val="20"/>
                <w:szCs w:val="20"/>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20" w:type="dxa"/>
            <w:vAlign w:val="bottom"/>
          </w:tcPr>
          <w:p>
            <w:pPr>
              <w:spacing w:after="0"/>
              <w:rPr>
                <w:sz w:val="20"/>
                <w:szCs w:val="20"/>
                <w:color w:val="auto"/>
              </w:rPr>
            </w:pPr>
          </w:p>
        </w:tc>
      </w:tr>
      <w:tr>
        <w:trPr>
          <w:trHeight w:val="372"/>
        </w:trPr>
        <w:tc>
          <w:tcPr>
            <w:tcW w:w="20" w:type="dxa"/>
            <w:vAlign w:val="bottom"/>
          </w:tcPr>
          <w:p>
            <w:pPr>
              <w:spacing w:after="0"/>
              <w:rPr>
                <w:sz w:val="24"/>
                <w:szCs w:val="24"/>
                <w:color w:val="auto"/>
              </w:rPr>
            </w:pPr>
          </w:p>
        </w:tc>
        <w:tc>
          <w:tcPr>
            <w:tcW w:w="5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EDWARD B. PITONIAK</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Chief Executive Officer and Director</w:t>
            </w:r>
          </w:p>
        </w:tc>
        <w:tc>
          <w:tcPr>
            <w:tcW w:w="2200" w:type="dxa"/>
            <w:vAlign w:val="bottom"/>
            <w:gridSpan w:val="2"/>
          </w:tcPr>
          <w:p>
            <w:pPr>
              <w:jc w:val="center"/>
              <w:spacing w:after="0"/>
              <w:rPr>
                <w:sz w:val="20"/>
                <w:szCs w:val="20"/>
                <w:color w:val="auto"/>
              </w:rPr>
            </w:pPr>
            <w:r>
              <w:rPr>
                <w:rFonts w:ascii="Arial" w:cs="Arial" w:eastAsia="Arial" w:hAnsi="Arial"/>
                <w:sz w:val="18"/>
                <w:szCs w:val="18"/>
                <w:color w:val="auto"/>
                <w:w w:val="89"/>
              </w:rPr>
              <w:t>February 23, 2022</w:t>
            </w:r>
          </w:p>
        </w:tc>
      </w:tr>
      <w:tr>
        <w:trPr>
          <w:trHeight w:val="228"/>
        </w:trPr>
        <w:tc>
          <w:tcPr>
            <w:tcW w:w="20" w:type="dxa"/>
            <w:vAlign w:val="bottom"/>
          </w:tcPr>
          <w:p>
            <w:pPr>
              <w:spacing w:after="0"/>
              <w:rPr>
                <w:sz w:val="19"/>
                <w:szCs w:val="19"/>
                <w:color w:val="auto"/>
              </w:rPr>
            </w:pPr>
          </w:p>
        </w:tc>
        <w:tc>
          <w:tcPr>
            <w:tcW w:w="5340" w:type="dxa"/>
            <w:vAlign w:val="bottom"/>
          </w:tcPr>
          <w:p>
            <w:pPr>
              <w:jc w:val="center"/>
              <w:spacing w:after="0"/>
              <w:rPr>
                <w:sz w:val="20"/>
                <w:szCs w:val="20"/>
                <w:color w:val="auto"/>
              </w:rPr>
            </w:pPr>
            <w:r>
              <w:rPr>
                <w:rFonts w:ascii="Arial" w:cs="Arial" w:eastAsia="Arial" w:hAnsi="Arial"/>
                <w:sz w:val="18"/>
                <w:szCs w:val="18"/>
                <w:b w:val="1"/>
                <w:bCs w:val="1"/>
                <w:color w:val="auto"/>
                <w:w w:val="93"/>
              </w:rPr>
              <w:t>Edward B. Pitoniak</w:t>
            </w:r>
          </w:p>
        </w:tc>
        <w:tc>
          <w:tcPr>
            <w:tcW w:w="120" w:type="dxa"/>
            <w:vAlign w:val="bottom"/>
          </w:tcPr>
          <w:p>
            <w:pPr>
              <w:spacing w:after="0"/>
              <w:rPr>
                <w:sz w:val="19"/>
                <w:szCs w:val="19"/>
                <w:color w:val="auto"/>
              </w:rPr>
            </w:pPr>
          </w:p>
        </w:tc>
        <w:tc>
          <w:tcPr>
            <w:tcW w:w="35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(Principal Executive Officer)</w:t>
            </w:r>
          </w:p>
        </w:tc>
        <w:tc>
          <w:tcPr>
            <w:tcW w:w="2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87"/>
        </w:trPr>
        <w:tc>
          <w:tcPr>
            <w:tcW w:w="20" w:type="dxa"/>
            <w:vAlign w:val="bottom"/>
          </w:tcPr>
          <w:p>
            <w:pPr>
              <w:spacing w:after="0"/>
              <w:rPr>
                <w:sz w:val="24"/>
                <w:szCs w:val="24"/>
                <w:color w:val="auto"/>
              </w:rPr>
            </w:pPr>
          </w:p>
        </w:tc>
        <w:tc>
          <w:tcPr>
            <w:tcW w:w="5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DAVID A. KIESKE</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Financial Officer</w:t>
            </w:r>
          </w:p>
        </w:tc>
        <w:tc>
          <w:tcPr>
            <w:tcW w:w="2200" w:type="dxa"/>
            <w:vAlign w:val="bottom"/>
            <w:gridSpan w:val="2"/>
          </w:tcPr>
          <w:p>
            <w:pPr>
              <w:jc w:val="center"/>
              <w:spacing w:after="0"/>
              <w:rPr>
                <w:sz w:val="20"/>
                <w:szCs w:val="20"/>
                <w:color w:val="auto"/>
              </w:rPr>
            </w:pPr>
            <w:r>
              <w:rPr>
                <w:rFonts w:ascii="Arial" w:cs="Arial" w:eastAsia="Arial" w:hAnsi="Arial"/>
                <w:sz w:val="18"/>
                <w:szCs w:val="18"/>
                <w:color w:val="auto"/>
                <w:w w:val="89"/>
              </w:rPr>
              <w:t>February 23, 2022</w:t>
            </w:r>
          </w:p>
        </w:tc>
      </w:tr>
      <w:tr>
        <w:trPr>
          <w:trHeight w:val="228"/>
        </w:trPr>
        <w:tc>
          <w:tcPr>
            <w:tcW w:w="20" w:type="dxa"/>
            <w:vAlign w:val="bottom"/>
          </w:tcPr>
          <w:p>
            <w:pPr>
              <w:spacing w:after="0"/>
              <w:rPr>
                <w:sz w:val="19"/>
                <w:szCs w:val="19"/>
                <w:color w:val="auto"/>
              </w:rPr>
            </w:pPr>
          </w:p>
        </w:tc>
        <w:tc>
          <w:tcPr>
            <w:tcW w:w="5340" w:type="dxa"/>
            <w:vAlign w:val="bottom"/>
          </w:tcPr>
          <w:p>
            <w:pPr>
              <w:jc w:val="center"/>
              <w:spacing w:after="0"/>
              <w:rPr>
                <w:sz w:val="20"/>
                <w:szCs w:val="20"/>
                <w:color w:val="auto"/>
              </w:rPr>
            </w:pPr>
            <w:r>
              <w:rPr>
                <w:rFonts w:ascii="Arial" w:cs="Arial" w:eastAsia="Arial" w:hAnsi="Arial"/>
                <w:sz w:val="18"/>
                <w:szCs w:val="18"/>
                <w:b w:val="1"/>
                <w:bCs w:val="1"/>
                <w:color w:val="auto"/>
                <w:w w:val="91"/>
              </w:rPr>
              <w:t>David A. Kieske</w:t>
            </w:r>
          </w:p>
        </w:tc>
        <w:tc>
          <w:tcPr>
            <w:tcW w:w="120" w:type="dxa"/>
            <w:vAlign w:val="bottom"/>
          </w:tcPr>
          <w:p>
            <w:pPr>
              <w:spacing w:after="0"/>
              <w:rPr>
                <w:sz w:val="19"/>
                <w:szCs w:val="19"/>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(Principal Financial Officer)</w:t>
            </w:r>
          </w:p>
        </w:tc>
        <w:tc>
          <w:tcPr>
            <w:tcW w:w="2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87"/>
        </w:trPr>
        <w:tc>
          <w:tcPr>
            <w:tcW w:w="20" w:type="dxa"/>
            <w:vAlign w:val="bottom"/>
          </w:tcPr>
          <w:p>
            <w:pPr>
              <w:spacing w:after="0"/>
              <w:rPr>
                <w:sz w:val="24"/>
                <w:szCs w:val="24"/>
                <w:color w:val="auto"/>
              </w:rPr>
            </w:pPr>
          </w:p>
        </w:tc>
        <w:tc>
          <w:tcPr>
            <w:tcW w:w="5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GABRIEL F. WASSERMAN</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Accounting Officer</w:t>
            </w:r>
          </w:p>
        </w:tc>
        <w:tc>
          <w:tcPr>
            <w:tcW w:w="2200" w:type="dxa"/>
            <w:vAlign w:val="bottom"/>
            <w:gridSpan w:val="2"/>
          </w:tcPr>
          <w:p>
            <w:pPr>
              <w:jc w:val="center"/>
              <w:spacing w:after="0"/>
              <w:rPr>
                <w:sz w:val="20"/>
                <w:szCs w:val="20"/>
                <w:color w:val="auto"/>
              </w:rPr>
            </w:pPr>
            <w:r>
              <w:rPr>
                <w:rFonts w:ascii="Arial" w:cs="Arial" w:eastAsia="Arial" w:hAnsi="Arial"/>
                <w:sz w:val="18"/>
                <w:szCs w:val="18"/>
                <w:color w:val="auto"/>
                <w:w w:val="89"/>
              </w:rPr>
              <w:t>February 23, 2022</w:t>
            </w:r>
          </w:p>
        </w:tc>
      </w:tr>
      <w:tr>
        <w:trPr>
          <w:trHeight w:val="228"/>
        </w:trPr>
        <w:tc>
          <w:tcPr>
            <w:tcW w:w="20" w:type="dxa"/>
            <w:vAlign w:val="bottom"/>
          </w:tcPr>
          <w:p>
            <w:pPr>
              <w:spacing w:after="0"/>
              <w:rPr>
                <w:sz w:val="19"/>
                <w:szCs w:val="19"/>
                <w:color w:val="auto"/>
              </w:rPr>
            </w:pPr>
          </w:p>
        </w:tc>
        <w:tc>
          <w:tcPr>
            <w:tcW w:w="5340" w:type="dxa"/>
            <w:vAlign w:val="bottom"/>
          </w:tcPr>
          <w:p>
            <w:pPr>
              <w:jc w:val="center"/>
              <w:spacing w:after="0"/>
              <w:rPr>
                <w:sz w:val="20"/>
                <w:szCs w:val="20"/>
                <w:color w:val="auto"/>
              </w:rPr>
            </w:pPr>
            <w:r>
              <w:rPr>
                <w:rFonts w:ascii="Arial" w:cs="Arial" w:eastAsia="Arial" w:hAnsi="Arial"/>
                <w:sz w:val="18"/>
                <w:szCs w:val="18"/>
                <w:b w:val="1"/>
                <w:bCs w:val="1"/>
                <w:color w:val="auto"/>
                <w:w w:val="90"/>
              </w:rPr>
              <w:t>Gabriel F. Wasserman</w:t>
            </w:r>
          </w:p>
        </w:tc>
        <w:tc>
          <w:tcPr>
            <w:tcW w:w="120" w:type="dxa"/>
            <w:vAlign w:val="bottom"/>
          </w:tcPr>
          <w:p>
            <w:pPr>
              <w:spacing w:after="0"/>
              <w:rPr>
                <w:sz w:val="19"/>
                <w:szCs w:val="19"/>
                <w:color w:val="auto"/>
              </w:rPr>
            </w:pPr>
          </w:p>
        </w:tc>
        <w:tc>
          <w:tcPr>
            <w:tcW w:w="35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(Principal Accounting Officer)</w:t>
            </w:r>
          </w:p>
        </w:tc>
        <w:tc>
          <w:tcPr>
            <w:tcW w:w="2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87"/>
        </w:trPr>
        <w:tc>
          <w:tcPr>
            <w:tcW w:w="20" w:type="dxa"/>
            <w:vAlign w:val="bottom"/>
          </w:tcPr>
          <w:p>
            <w:pPr>
              <w:spacing w:after="0"/>
              <w:rPr>
                <w:sz w:val="24"/>
                <w:szCs w:val="24"/>
                <w:color w:val="auto"/>
              </w:rPr>
            </w:pPr>
          </w:p>
        </w:tc>
        <w:tc>
          <w:tcPr>
            <w:tcW w:w="5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JAMES R. ABRAHAMSON</w:t>
            </w:r>
          </w:p>
        </w:tc>
        <w:tc>
          <w:tcPr>
            <w:tcW w:w="120" w:type="dxa"/>
            <w:vAlign w:val="bottom"/>
          </w:tcPr>
          <w:p>
            <w:pPr>
              <w:spacing w:after="0"/>
              <w:rPr>
                <w:sz w:val="24"/>
                <w:szCs w:val="24"/>
                <w:color w:val="auto"/>
              </w:rPr>
            </w:pPr>
          </w:p>
        </w:tc>
        <w:tc>
          <w:tcPr>
            <w:tcW w:w="35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Chair of the Board of Directors</w:t>
            </w:r>
          </w:p>
        </w:tc>
        <w:tc>
          <w:tcPr>
            <w:tcW w:w="2200" w:type="dxa"/>
            <w:vAlign w:val="bottom"/>
            <w:gridSpan w:val="2"/>
          </w:tcPr>
          <w:p>
            <w:pPr>
              <w:jc w:val="center"/>
              <w:spacing w:after="0"/>
              <w:rPr>
                <w:sz w:val="20"/>
                <w:szCs w:val="20"/>
                <w:color w:val="auto"/>
              </w:rPr>
            </w:pPr>
            <w:r>
              <w:rPr>
                <w:rFonts w:ascii="Arial" w:cs="Arial" w:eastAsia="Arial" w:hAnsi="Arial"/>
                <w:sz w:val="18"/>
                <w:szCs w:val="18"/>
                <w:color w:val="auto"/>
                <w:w w:val="89"/>
              </w:rPr>
              <w:t>February 23, 2022</w:t>
            </w:r>
          </w:p>
        </w:tc>
      </w:tr>
      <w:tr>
        <w:trPr>
          <w:trHeight w:val="228"/>
        </w:trPr>
        <w:tc>
          <w:tcPr>
            <w:tcW w:w="20" w:type="dxa"/>
            <w:vAlign w:val="bottom"/>
          </w:tcPr>
          <w:p>
            <w:pPr>
              <w:spacing w:after="0"/>
              <w:rPr>
                <w:sz w:val="19"/>
                <w:szCs w:val="19"/>
                <w:color w:val="auto"/>
              </w:rPr>
            </w:pPr>
          </w:p>
        </w:tc>
        <w:tc>
          <w:tcPr>
            <w:tcW w:w="5340" w:type="dxa"/>
            <w:vAlign w:val="bottom"/>
          </w:tcPr>
          <w:p>
            <w:pPr>
              <w:jc w:val="center"/>
              <w:spacing w:after="0"/>
              <w:rPr>
                <w:sz w:val="20"/>
                <w:szCs w:val="20"/>
                <w:color w:val="auto"/>
              </w:rPr>
            </w:pPr>
            <w:r>
              <w:rPr>
                <w:rFonts w:ascii="Arial" w:cs="Arial" w:eastAsia="Arial" w:hAnsi="Arial"/>
                <w:sz w:val="18"/>
                <w:szCs w:val="18"/>
                <w:b w:val="1"/>
                <w:bCs w:val="1"/>
                <w:color w:val="auto"/>
                <w:w w:val="89"/>
              </w:rPr>
              <w:t>James R. Abrahamson</w:t>
            </w: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87"/>
        </w:trPr>
        <w:tc>
          <w:tcPr>
            <w:tcW w:w="20" w:type="dxa"/>
            <w:vAlign w:val="bottom"/>
          </w:tcPr>
          <w:p>
            <w:pPr>
              <w:spacing w:after="0"/>
              <w:rPr>
                <w:sz w:val="24"/>
                <w:szCs w:val="24"/>
                <w:color w:val="auto"/>
              </w:rPr>
            </w:pPr>
          </w:p>
        </w:tc>
        <w:tc>
          <w:tcPr>
            <w:tcW w:w="5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DIANA F. CANTOR</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200" w:type="dxa"/>
            <w:vAlign w:val="bottom"/>
            <w:gridSpan w:val="2"/>
          </w:tcPr>
          <w:p>
            <w:pPr>
              <w:jc w:val="center"/>
              <w:spacing w:after="0"/>
              <w:rPr>
                <w:sz w:val="20"/>
                <w:szCs w:val="20"/>
                <w:color w:val="auto"/>
              </w:rPr>
            </w:pPr>
            <w:r>
              <w:rPr>
                <w:rFonts w:ascii="Arial" w:cs="Arial" w:eastAsia="Arial" w:hAnsi="Arial"/>
                <w:sz w:val="18"/>
                <w:szCs w:val="18"/>
                <w:color w:val="auto"/>
                <w:w w:val="89"/>
              </w:rPr>
              <w:t>February 23, 2022</w:t>
            </w:r>
          </w:p>
        </w:tc>
      </w:tr>
      <w:tr>
        <w:trPr>
          <w:trHeight w:val="228"/>
        </w:trPr>
        <w:tc>
          <w:tcPr>
            <w:tcW w:w="20" w:type="dxa"/>
            <w:vAlign w:val="bottom"/>
          </w:tcPr>
          <w:p>
            <w:pPr>
              <w:spacing w:after="0"/>
              <w:rPr>
                <w:sz w:val="19"/>
                <w:szCs w:val="19"/>
                <w:color w:val="auto"/>
              </w:rPr>
            </w:pPr>
          </w:p>
        </w:tc>
        <w:tc>
          <w:tcPr>
            <w:tcW w:w="5340" w:type="dxa"/>
            <w:vAlign w:val="bottom"/>
          </w:tcPr>
          <w:p>
            <w:pPr>
              <w:jc w:val="center"/>
              <w:spacing w:after="0"/>
              <w:rPr>
                <w:sz w:val="20"/>
                <w:szCs w:val="20"/>
                <w:color w:val="auto"/>
              </w:rPr>
            </w:pPr>
            <w:r>
              <w:rPr>
                <w:rFonts w:ascii="Arial" w:cs="Arial" w:eastAsia="Arial" w:hAnsi="Arial"/>
                <w:sz w:val="18"/>
                <w:szCs w:val="18"/>
                <w:b w:val="1"/>
                <w:bCs w:val="1"/>
                <w:color w:val="auto"/>
                <w:w w:val="93"/>
              </w:rPr>
              <w:t>Diana F. Cantor</w:t>
            </w: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87"/>
        </w:trPr>
        <w:tc>
          <w:tcPr>
            <w:tcW w:w="20" w:type="dxa"/>
            <w:vAlign w:val="bottom"/>
          </w:tcPr>
          <w:p>
            <w:pPr>
              <w:spacing w:after="0"/>
              <w:rPr>
                <w:sz w:val="24"/>
                <w:szCs w:val="24"/>
                <w:color w:val="auto"/>
              </w:rPr>
            </w:pPr>
          </w:p>
        </w:tc>
        <w:tc>
          <w:tcPr>
            <w:tcW w:w="5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MONICA H. DOUGLAS</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200" w:type="dxa"/>
            <w:vAlign w:val="bottom"/>
            <w:gridSpan w:val="2"/>
          </w:tcPr>
          <w:p>
            <w:pPr>
              <w:jc w:val="center"/>
              <w:spacing w:after="0"/>
              <w:rPr>
                <w:sz w:val="20"/>
                <w:szCs w:val="20"/>
                <w:color w:val="auto"/>
              </w:rPr>
            </w:pPr>
            <w:r>
              <w:rPr>
                <w:rFonts w:ascii="Arial" w:cs="Arial" w:eastAsia="Arial" w:hAnsi="Arial"/>
                <w:sz w:val="18"/>
                <w:szCs w:val="18"/>
                <w:color w:val="auto"/>
                <w:w w:val="89"/>
              </w:rPr>
              <w:t>February 23, 2022</w:t>
            </w:r>
          </w:p>
        </w:tc>
      </w:tr>
      <w:tr>
        <w:trPr>
          <w:trHeight w:val="228"/>
        </w:trPr>
        <w:tc>
          <w:tcPr>
            <w:tcW w:w="20" w:type="dxa"/>
            <w:vAlign w:val="bottom"/>
          </w:tcPr>
          <w:p>
            <w:pPr>
              <w:spacing w:after="0"/>
              <w:rPr>
                <w:sz w:val="19"/>
                <w:szCs w:val="19"/>
                <w:color w:val="auto"/>
              </w:rPr>
            </w:pPr>
          </w:p>
        </w:tc>
        <w:tc>
          <w:tcPr>
            <w:tcW w:w="5340" w:type="dxa"/>
            <w:vAlign w:val="bottom"/>
          </w:tcPr>
          <w:p>
            <w:pPr>
              <w:jc w:val="center"/>
              <w:spacing w:after="0"/>
              <w:rPr>
                <w:sz w:val="20"/>
                <w:szCs w:val="20"/>
                <w:color w:val="auto"/>
              </w:rPr>
            </w:pPr>
            <w:r>
              <w:rPr>
                <w:rFonts w:ascii="Arial" w:cs="Arial" w:eastAsia="Arial" w:hAnsi="Arial"/>
                <w:sz w:val="18"/>
                <w:szCs w:val="18"/>
                <w:b w:val="1"/>
                <w:bCs w:val="1"/>
                <w:color w:val="auto"/>
                <w:w w:val="91"/>
              </w:rPr>
              <w:t>Monica H. Douglas</w:t>
            </w: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87"/>
        </w:trPr>
        <w:tc>
          <w:tcPr>
            <w:tcW w:w="20" w:type="dxa"/>
            <w:vAlign w:val="bottom"/>
          </w:tcPr>
          <w:p>
            <w:pPr>
              <w:spacing w:after="0"/>
              <w:rPr>
                <w:sz w:val="24"/>
                <w:szCs w:val="24"/>
                <w:color w:val="auto"/>
              </w:rPr>
            </w:pPr>
          </w:p>
        </w:tc>
        <w:tc>
          <w:tcPr>
            <w:tcW w:w="5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ELIZABETH I. HOLLAND</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200" w:type="dxa"/>
            <w:vAlign w:val="bottom"/>
            <w:gridSpan w:val="2"/>
          </w:tcPr>
          <w:p>
            <w:pPr>
              <w:jc w:val="center"/>
              <w:spacing w:after="0"/>
              <w:rPr>
                <w:sz w:val="20"/>
                <w:szCs w:val="20"/>
                <w:color w:val="auto"/>
              </w:rPr>
            </w:pPr>
            <w:r>
              <w:rPr>
                <w:rFonts w:ascii="Arial" w:cs="Arial" w:eastAsia="Arial" w:hAnsi="Arial"/>
                <w:sz w:val="18"/>
                <w:szCs w:val="18"/>
                <w:color w:val="auto"/>
                <w:w w:val="89"/>
              </w:rPr>
              <w:t>February 23, 2022</w:t>
            </w:r>
          </w:p>
        </w:tc>
      </w:tr>
      <w:tr>
        <w:trPr>
          <w:trHeight w:val="228"/>
        </w:trPr>
        <w:tc>
          <w:tcPr>
            <w:tcW w:w="20" w:type="dxa"/>
            <w:vAlign w:val="bottom"/>
          </w:tcPr>
          <w:p>
            <w:pPr>
              <w:spacing w:after="0"/>
              <w:rPr>
                <w:sz w:val="19"/>
                <w:szCs w:val="19"/>
                <w:color w:val="auto"/>
              </w:rPr>
            </w:pPr>
          </w:p>
        </w:tc>
        <w:tc>
          <w:tcPr>
            <w:tcW w:w="5340" w:type="dxa"/>
            <w:vAlign w:val="bottom"/>
          </w:tcPr>
          <w:p>
            <w:pPr>
              <w:jc w:val="center"/>
              <w:spacing w:after="0"/>
              <w:rPr>
                <w:sz w:val="20"/>
                <w:szCs w:val="20"/>
                <w:color w:val="auto"/>
              </w:rPr>
            </w:pPr>
            <w:r>
              <w:rPr>
                <w:rFonts w:ascii="Arial" w:cs="Arial" w:eastAsia="Arial" w:hAnsi="Arial"/>
                <w:sz w:val="18"/>
                <w:szCs w:val="18"/>
                <w:b w:val="1"/>
                <w:bCs w:val="1"/>
                <w:color w:val="auto"/>
                <w:w w:val="94"/>
              </w:rPr>
              <w:t>Elizabeth I. Holland</w:t>
            </w: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87"/>
        </w:trPr>
        <w:tc>
          <w:tcPr>
            <w:tcW w:w="20" w:type="dxa"/>
            <w:vAlign w:val="bottom"/>
          </w:tcPr>
          <w:p>
            <w:pPr>
              <w:spacing w:after="0"/>
              <w:rPr>
                <w:sz w:val="24"/>
                <w:szCs w:val="24"/>
                <w:color w:val="auto"/>
              </w:rPr>
            </w:pPr>
          </w:p>
        </w:tc>
        <w:tc>
          <w:tcPr>
            <w:tcW w:w="5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CRAIG MACNAB</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200" w:type="dxa"/>
            <w:vAlign w:val="bottom"/>
            <w:gridSpan w:val="2"/>
          </w:tcPr>
          <w:p>
            <w:pPr>
              <w:jc w:val="center"/>
              <w:spacing w:after="0"/>
              <w:rPr>
                <w:sz w:val="20"/>
                <w:szCs w:val="20"/>
                <w:color w:val="auto"/>
              </w:rPr>
            </w:pPr>
            <w:r>
              <w:rPr>
                <w:rFonts w:ascii="Arial" w:cs="Arial" w:eastAsia="Arial" w:hAnsi="Arial"/>
                <w:sz w:val="18"/>
                <w:szCs w:val="18"/>
                <w:color w:val="auto"/>
                <w:w w:val="89"/>
              </w:rPr>
              <w:t>February 23, 2022</w:t>
            </w:r>
          </w:p>
        </w:tc>
      </w:tr>
      <w:tr>
        <w:trPr>
          <w:trHeight w:val="228"/>
        </w:trPr>
        <w:tc>
          <w:tcPr>
            <w:tcW w:w="20" w:type="dxa"/>
            <w:vAlign w:val="bottom"/>
          </w:tcPr>
          <w:p>
            <w:pPr>
              <w:spacing w:after="0"/>
              <w:rPr>
                <w:sz w:val="19"/>
                <w:szCs w:val="19"/>
                <w:color w:val="auto"/>
              </w:rPr>
            </w:pPr>
          </w:p>
        </w:tc>
        <w:tc>
          <w:tcPr>
            <w:tcW w:w="5340" w:type="dxa"/>
            <w:vAlign w:val="bottom"/>
          </w:tcPr>
          <w:p>
            <w:pPr>
              <w:jc w:val="center"/>
              <w:spacing w:after="0"/>
              <w:rPr>
                <w:sz w:val="20"/>
                <w:szCs w:val="20"/>
                <w:color w:val="auto"/>
              </w:rPr>
            </w:pPr>
            <w:r>
              <w:rPr>
                <w:rFonts w:ascii="Arial" w:cs="Arial" w:eastAsia="Arial" w:hAnsi="Arial"/>
                <w:sz w:val="18"/>
                <w:szCs w:val="18"/>
                <w:b w:val="1"/>
                <w:bCs w:val="1"/>
                <w:color w:val="auto"/>
                <w:w w:val="94"/>
              </w:rPr>
              <w:t>Craig Macnab</w:t>
            </w: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87"/>
        </w:trPr>
        <w:tc>
          <w:tcPr>
            <w:tcW w:w="20" w:type="dxa"/>
            <w:vAlign w:val="bottom"/>
          </w:tcPr>
          <w:p>
            <w:pPr>
              <w:spacing w:after="0"/>
              <w:rPr>
                <w:sz w:val="24"/>
                <w:szCs w:val="24"/>
                <w:color w:val="auto"/>
              </w:rPr>
            </w:pPr>
          </w:p>
        </w:tc>
        <w:tc>
          <w:tcPr>
            <w:tcW w:w="5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MICHAEL D. RUMBOLZ</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Director</w:t>
            </w:r>
          </w:p>
        </w:tc>
        <w:tc>
          <w:tcPr>
            <w:tcW w:w="2200" w:type="dxa"/>
            <w:vAlign w:val="bottom"/>
            <w:gridSpan w:val="2"/>
          </w:tcPr>
          <w:p>
            <w:pPr>
              <w:jc w:val="center"/>
              <w:spacing w:after="0"/>
              <w:rPr>
                <w:sz w:val="20"/>
                <w:szCs w:val="20"/>
                <w:color w:val="auto"/>
              </w:rPr>
            </w:pPr>
            <w:r>
              <w:rPr>
                <w:rFonts w:ascii="Arial" w:cs="Arial" w:eastAsia="Arial" w:hAnsi="Arial"/>
                <w:sz w:val="18"/>
                <w:szCs w:val="18"/>
                <w:color w:val="auto"/>
                <w:w w:val="89"/>
              </w:rPr>
              <w:t>February 23, 2022</w:t>
            </w:r>
          </w:p>
        </w:tc>
      </w:tr>
      <w:tr>
        <w:trPr>
          <w:trHeight w:val="228"/>
        </w:trPr>
        <w:tc>
          <w:tcPr>
            <w:tcW w:w="20" w:type="dxa"/>
            <w:vAlign w:val="bottom"/>
          </w:tcPr>
          <w:p>
            <w:pPr>
              <w:spacing w:after="0"/>
              <w:rPr>
                <w:sz w:val="19"/>
                <w:szCs w:val="19"/>
                <w:color w:val="auto"/>
              </w:rPr>
            </w:pPr>
          </w:p>
        </w:tc>
        <w:tc>
          <w:tcPr>
            <w:tcW w:w="5340" w:type="dxa"/>
            <w:vAlign w:val="bottom"/>
          </w:tcPr>
          <w:p>
            <w:pPr>
              <w:jc w:val="center"/>
              <w:spacing w:after="0"/>
              <w:rPr>
                <w:sz w:val="20"/>
                <w:szCs w:val="20"/>
                <w:color w:val="auto"/>
              </w:rPr>
            </w:pPr>
            <w:r>
              <w:rPr>
                <w:rFonts w:ascii="Arial" w:cs="Arial" w:eastAsia="Arial" w:hAnsi="Arial"/>
                <w:sz w:val="18"/>
                <w:szCs w:val="18"/>
                <w:b w:val="1"/>
                <w:bCs w:val="1"/>
                <w:color w:val="auto"/>
                <w:w w:val="92"/>
              </w:rPr>
              <w:t>Michael D. Rumbolz</w:t>
            </w: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900"/>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580" w:type="dxa"/>
            <w:vAlign w:val="bottom"/>
            <w:gridSpan w:val="2"/>
          </w:tcPr>
          <w:p>
            <w:pPr>
              <w:jc w:val="right"/>
              <w:ind w:right="313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 AND SCHEDULE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20" w:type="dxa"/>
            <w:vAlign w:val="bottom"/>
            <w:shd w:val="clear" w:color="auto" w:fill="CCEEFF"/>
          </w:tcPr>
          <w:p>
            <w:pPr>
              <w:spacing w:after="0"/>
              <w:rPr>
                <w:sz w:val="21"/>
                <w:szCs w:val="21"/>
                <w:color w:val="auto"/>
              </w:rPr>
            </w:pPr>
          </w:p>
        </w:tc>
        <w:tc>
          <w:tcPr>
            <w:tcW w:w="10160" w:type="dxa"/>
            <w:vAlign w:val="bottom"/>
            <w:gridSpan w:val="9"/>
            <w:shd w:val="clear" w:color="auto" w:fill="CCEEFF"/>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 xml:space="preserve">Reports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FF"/>
              </w:rPr>
              <w:t xml:space="preserve"> </w:t>
            </w:r>
            <w:r>
              <w:rPr>
                <w:rFonts w:ascii="Arial" w:cs="Arial" w:eastAsia="Arial" w:hAnsi="Arial"/>
                <w:sz w:val="18"/>
                <w:szCs w:val="18"/>
                <w:color w:val="000000"/>
              </w:rPr>
              <w:t>ID No. 34)</w:t>
            </w:r>
          </w:p>
        </w:tc>
        <w:tc>
          <w:tcPr>
            <w:tcW w:w="760" w:type="dxa"/>
            <w:vAlign w:val="bottom"/>
            <w:gridSpan w:val="4"/>
            <w:shd w:val="clear" w:color="auto" w:fill="CCEEFF"/>
          </w:tcPr>
          <w:p>
            <w:pPr>
              <w:jc w:val="center"/>
              <w:ind w:right="340"/>
              <w:spacing w:after="0"/>
              <w:rPr>
                <w:rFonts w:ascii="Arial" w:cs="Arial" w:eastAsia="Arial" w:hAnsi="Arial"/>
                <w:sz w:val="18"/>
                <w:szCs w:val="18"/>
                <w:color w:val="0000FF"/>
                <w:w w:val="91"/>
              </w:rPr>
            </w:pPr>
            <w:hyperlink w:anchor="page83">
              <w:r>
                <w:rPr>
                  <w:rFonts w:ascii="Arial" w:cs="Arial" w:eastAsia="Arial" w:hAnsi="Arial"/>
                  <w:sz w:val="18"/>
                  <w:szCs w:val="18"/>
                  <w:color w:val="0000FF"/>
                  <w:w w:val="91"/>
                </w:rPr>
                <w:t>F - 2</w:t>
              </w:r>
            </w:hyperlink>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7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10160" w:type="dxa"/>
            <w:vAlign w:val="bottom"/>
            <w:gridSpan w:val="9"/>
          </w:tcPr>
          <w:p>
            <w:pPr>
              <w:spacing w:after="0" w:line="183" w:lineRule="exact"/>
              <w:rPr>
                <w:rFonts w:ascii="Arial" w:cs="Arial" w:eastAsia="Arial" w:hAnsi="Arial"/>
                <w:sz w:val="18"/>
                <w:szCs w:val="18"/>
                <w:color w:val="0000FF"/>
              </w:rPr>
            </w:pPr>
            <w:hyperlink w:anchor="page86">
              <w:r>
                <w:rPr>
                  <w:rFonts w:ascii="Arial" w:cs="Arial" w:eastAsia="Arial" w:hAnsi="Arial"/>
                  <w:sz w:val="18"/>
                  <w:szCs w:val="18"/>
                  <w:color w:val="0000FF"/>
                </w:rPr>
                <w:t>Consolidated Balance Sheets as of December 31, 2021 and 2020</w:t>
              </w:r>
            </w:hyperlink>
          </w:p>
        </w:tc>
        <w:tc>
          <w:tcPr>
            <w:tcW w:w="760" w:type="dxa"/>
            <w:vAlign w:val="bottom"/>
            <w:gridSpan w:val="4"/>
          </w:tcPr>
          <w:p>
            <w:pPr>
              <w:jc w:val="center"/>
              <w:ind w:right="340"/>
              <w:spacing w:after="0" w:line="183" w:lineRule="exact"/>
              <w:rPr>
                <w:rFonts w:ascii="Arial" w:cs="Arial" w:eastAsia="Arial" w:hAnsi="Arial"/>
                <w:sz w:val="18"/>
                <w:szCs w:val="18"/>
                <w:color w:val="0000FF"/>
                <w:w w:val="91"/>
              </w:rPr>
            </w:pPr>
            <w:hyperlink w:anchor="page86">
              <w:r>
                <w:rPr>
                  <w:rFonts w:ascii="Arial" w:cs="Arial" w:eastAsia="Arial" w:hAnsi="Arial"/>
                  <w:sz w:val="18"/>
                  <w:szCs w:val="18"/>
                  <w:color w:val="0000FF"/>
                  <w:w w:val="91"/>
                </w:rPr>
                <w:t>F - 5</w:t>
              </w:r>
            </w:hyperlink>
          </w:p>
        </w:tc>
      </w:tr>
      <w:tr>
        <w:trPr>
          <w:trHeight w:val="21"/>
        </w:trPr>
        <w:tc>
          <w:tcPr>
            <w:tcW w:w="3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7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29"/>
        </w:trPr>
        <w:tc>
          <w:tcPr>
            <w:tcW w:w="320" w:type="dxa"/>
            <w:vAlign w:val="bottom"/>
            <w:shd w:val="clear" w:color="auto" w:fill="CCEEFF"/>
          </w:tcPr>
          <w:p>
            <w:pPr>
              <w:spacing w:after="0"/>
              <w:rPr>
                <w:sz w:val="19"/>
                <w:szCs w:val="19"/>
                <w:color w:val="auto"/>
              </w:rPr>
            </w:pPr>
          </w:p>
        </w:tc>
        <w:tc>
          <w:tcPr>
            <w:tcW w:w="1016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Year Ended December 31, 2021, 2020 and 2019</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r>
      <w:tr>
        <w:trPr>
          <w:trHeight w:val="189"/>
        </w:trPr>
        <w:tc>
          <w:tcPr>
            <w:tcW w:w="320" w:type="dxa"/>
            <w:vAlign w:val="bottom"/>
          </w:tcPr>
          <w:p>
            <w:pPr>
              <w:spacing w:after="0"/>
              <w:rPr>
                <w:sz w:val="16"/>
                <w:szCs w:val="16"/>
                <w:color w:val="auto"/>
              </w:rPr>
            </w:pPr>
          </w:p>
        </w:tc>
        <w:tc>
          <w:tcPr>
            <w:tcW w:w="10160" w:type="dxa"/>
            <w:vAlign w:val="bottom"/>
            <w:gridSpan w:val="9"/>
          </w:tcPr>
          <w:p>
            <w:pPr>
              <w:ind w:left="440"/>
              <w:spacing w:after="0" w:line="189" w:lineRule="exact"/>
              <w:rPr>
                <w:rFonts w:ascii="Arial" w:cs="Arial" w:eastAsia="Arial" w:hAnsi="Arial"/>
                <w:sz w:val="18"/>
                <w:szCs w:val="18"/>
                <w:color w:val="0000FF"/>
              </w:rPr>
            </w:pPr>
            <w:hyperlink w:anchor="page87">
              <w:r>
                <w:rPr>
                  <w:rFonts w:ascii="Arial" w:cs="Arial" w:eastAsia="Arial" w:hAnsi="Arial"/>
                  <w:sz w:val="18"/>
                  <w:szCs w:val="18"/>
                  <w:color w:val="0000FF"/>
                </w:rPr>
                <w:t>Consolidated Statements of Operations and Comprehensive Income</w:t>
              </w:r>
            </w:hyperlink>
          </w:p>
        </w:tc>
        <w:tc>
          <w:tcPr>
            <w:tcW w:w="760" w:type="dxa"/>
            <w:vAlign w:val="bottom"/>
            <w:gridSpan w:val="4"/>
          </w:tcPr>
          <w:p>
            <w:pPr>
              <w:jc w:val="center"/>
              <w:ind w:right="340"/>
              <w:spacing w:after="0" w:line="189" w:lineRule="exact"/>
              <w:rPr>
                <w:rFonts w:ascii="Arial" w:cs="Arial" w:eastAsia="Arial" w:hAnsi="Arial"/>
                <w:sz w:val="18"/>
                <w:szCs w:val="18"/>
                <w:color w:val="0000FF"/>
                <w:w w:val="91"/>
              </w:rPr>
            </w:pPr>
            <w:hyperlink w:anchor="page87">
              <w:r>
                <w:rPr>
                  <w:rFonts w:ascii="Arial" w:cs="Arial" w:eastAsia="Arial" w:hAnsi="Arial"/>
                  <w:sz w:val="18"/>
                  <w:szCs w:val="18"/>
                  <w:color w:val="0000FF"/>
                  <w:w w:val="91"/>
                </w:rPr>
                <w:t>F - 6</w:t>
              </w:r>
            </w:hyperlink>
          </w:p>
        </w:tc>
      </w:tr>
      <w:tr>
        <w:trPr>
          <w:trHeight w:val="21"/>
        </w:trPr>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9"/>
        </w:trPr>
        <w:tc>
          <w:tcPr>
            <w:tcW w:w="3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560" w:type="dxa"/>
            <w:vAlign w:val="bottom"/>
            <w:gridSpan w:val="3"/>
            <w:shd w:val="clear" w:color="auto" w:fill="CCEEFF"/>
          </w:tcPr>
          <w:p>
            <w:pPr>
              <w:spacing w:after="0" w:line="189" w:lineRule="exact"/>
              <w:rPr>
                <w:rFonts w:ascii="Arial" w:cs="Arial" w:eastAsia="Arial" w:hAnsi="Arial"/>
                <w:sz w:val="18"/>
                <w:szCs w:val="18"/>
                <w:color w:val="0000FF"/>
                <w:w w:val="90"/>
              </w:rPr>
            </w:pPr>
            <w:hyperlink w:anchor="page88">
              <w:r>
                <w:rPr>
                  <w:rFonts w:ascii="Arial" w:cs="Arial" w:eastAsia="Arial" w:hAnsi="Arial"/>
                  <w:sz w:val="18"/>
                  <w:szCs w:val="18"/>
                  <w:color w:val="0000FF"/>
                  <w:w w:val="90"/>
                </w:rPr>
                <w:t>Consolidated Statements of Stockholders’ Equity</w:t>
              </w:r>
            </w:hyperlink>
          </w:p>
        </w:tc>
        <w:tc>
          <w:tcPr>
            <w:tcW w:w="6160" w:type="dxa"/>
            <w:vAlign w:val="bottom"/>
            <w:gridSpan w:val="5"/>
            <w:shd w:val="clear" w:color="auto" w:fill="CCEEFF"/>
          </w:tcPr>
          <w:p>
            <w:pPr>
              <w:spacing w:after="0"/>
              <w:rPr>
                <w:sz w:val="16"/>
                <w:szCs w:val="16"/>
                <w:color w:val="auto"/>
              </w:rPr>
            </w:pPr>
          </w:p>
        </w:tc>
        <w:tc>
          <w:tcPr>
            <w:tcW w:w="760" w:type="dxa"/>
            <w:vAlign w:val="bottom"/>
            <w:gridSpan w:val="4"/>
            <w:shd w:val="clear" w:color="auto" w:fill="CCEEFF"/>
          </w:tcPr>
          <w:p>
            <w:pPr>
              <w:jc w:val="center"/>
              <w:ind w:right="340"/>
              <w:spacing w:after="0" w:line="189" w:lineRule="exact"/>
              <w:rPr>
                <w:rFonts w:ascii="Arial" w:cs="Arial" w:eastAsia="Arial" w:hAnsi="Arial"/>
                <w:sz w:val="18"/>
                <w:szCs w:val="18"/>
                <w:color w:val="0000FF"/>
                <w:w w:val="91"/>
              </w:rPr>
            </w:pPr>
            <w:hyperlink w:anchor="page88">
              <w:r>
                <w:rPr>
                  <w:rFonts w:ascii="Arial" w:cs="Arial" w:eastAsia="Arial" w:hAnsi="Arial"/>
                  <w:sz w:val="18"/>
                  <w:szCs w:val="18"/>
                  <w:color w:val="0000FF"/>
                  <w:w w:val="91"/>
                </w:rPr>
                <w:t>F - 7</w:t>
              </w:r>
            </w:hyperlink>
          </w:p>
        </w:tc>
      </w:tr>
      <w:tr>
        <w:trPr>
          <w:trHeight w:val="21"/>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560" w:type="dxa"/>
            <w:vAlign w:val="bottom"/>
            <w:gridSpan w:val="3"/>
          </w:tcPr>
          <w:p>
            <w:pPr>
              <w:spacing w:after="0" w:line="189" w:lineRule="exact"/>
              <w:rPr>
                <w:rFonts w:ascii="Arial" w:cs="Arial" w:eastAsia="Arial" w:hAnsi="Arial"/>
                <w:sz w:val="18"/>
                <w:szCs w:val="18"/>
                <w:color w:val="0000FF"/>
              </w:rPr>
            </w:pPr>
            <w:hyperlink w:anchor="page89">
              <w:r>
                <w:rPr>
                  <w:rFonts w:ascii="Arial" w:cs="Arial" w:eastAsia="Arial" w:hAnsi="Arial"/>
                  <w:sz w:val="18"/>
                  <w:szCs w:val="18"/>
                  <w:color w:val="0000FF"/>
                </w:rPr>
                <w:t>Consolidated Statements of Cash Flows</w:t>
              </w:r>
            </w:hyperlink>
          </w:p>
        </w:tc>
        <w:tc>
          <w:tcPr>
            <w:tcW w:w="6160" w:type="dxa"/>
            <w:vAlign w:val="bottom"/>
            <w:gridSpan w:val="5"/>
          </w:tcPr>
          <w:p>
            <w:pPr>
              <w:spacing w:after="0"/>
              <w:rPr>
                <w:sz w:val="16"/>
                <w:szCs w:val="16"/>
                <w:color w:val="auto"/>
              </w:rPr>
            </w:pPr>
          </w:p>
        </w:tc>
        <w:tc>
          <w:tcPr>
            <w:tcW w:w="760" w:type="dxa"/>
            <w:vAlign w:val="bottom"/>
            <w:gridSpan w:val="4"/>
          </w:tcPr>
          <w:p>
            <w:pPr>
              <w:jc w:val="center"/>
              <w:ind w:right="340"/>
              <w:spacing w:after="0" w:line="189" w:lineRule="exact"/>
              <w:rPr>
                <w:rFonts w:ascii="Arial" w:cs="Arial" w:eastAsia="Arial" w:hAnsi="Arial"/>
                <w:sz w:val="18"/>
                <w:szCs w:val="18"/>
                <w:color w:val="0000FF"/>
                <w:w w:val="91"/>
              </w:rPr>
            </w:pPr>
            <w:hyperlink w:anchor="page89">
              <w:r>
                <w:rPr>
                  <w:rFonts w:ascii="Arial" w:cs="Arial" w:eastAsia="Arial" w:hAnsi="Arial"/>
                  <w:sz w:val="18"/>
                  <w:szCs w:val="18"/>
                  <w:color w:val="0000FF"/>
                  <w:w w:val="91"/>
                </w:rPr>
                <w:t>F - 8</w:t>
              </w:r>
            </w:hyperlink>
          </w:p>
        </w:tc>
      </w:tr>
      <w:tr>
        <w:trPr>
          <w:trHeight w:val="21"/>
        </w:trPr>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9"/>
        </w:trPr>
        <w:tc>
          <w:tcPr>
            <w:tcW w:w="320" w:type="dxa"/>
            <w:vAlign w:val="bottom"/>
            <w:shd w:val="clear" w:color="auto" w:fill="CCEEFF"/>
          </w:tcPr>
          <w:p>
            <w:pPr>
              <w:spacing w:after="0"/>
              <w:rPr>
                <w:sz w:val="16"/>
                <w:szCs w:val="16"/>
                <w:color w:val="auto"/>
              </w:rPr>
            </w:pPr>
          </w:p>
        </w:tc>
        <w:tc>
          <w:tcPr>
            <w:tcW w:w="3160" w:type="dxa"/>
            <w:vAlign w:val="bottom"/>
            <w:gridSpan w:val="2"/>
            <w:shd w:val="clear" w:color="auto" w:fill="CCEEFF"/>
          </w:tcPr>
          <w:p>
            <w:pPr>
              <w:spacing w:after="0" w:line="189" w:lineRule="exact"/>
              <w:rPr>
                <w:rFonts w:ascii="Arial" w:cs="Arial" w:eastAsia="Arial" w:hAnsi="Arial"/>
                <w:sz w:val="18"/>
                <w:szCs w:val="18"/>
                <w:color w:val="0000FF"/>
                <w:w w:val="89"/>
              </w:rPr>
            </w:pPr>
            <w:hyperlink w:anchor="page91">
              <w:r>
                <w:rPr>
                  <w:rFonts w:ascii="Arial" w:cs="Arial" w:eastAsia="Arial" w:hAnsi="Arial"/>
                  <w:sz w:val="18"/>
                  <w:szCs w:val="18"/>
                  <w:color w:val="0000FF"/>
                  <w:w w:val="89"/>
                </w:rPr>
                <w:t>Notes to Consolidated Financial Statements</w:t>
              </w:r>
            </w:hyperlink>
          </w:p>
        </w:tc>
        <w:tc>
          <w:tcPr>
            <w:tcW w:w="7000" w:type="dxa"/>
            <w:vAlign w:val="bottom"/>
            <w:gridSpan w:val="7"/>
            <w:shd w:val="clear" w:color="auto" w:fill="CCEEFF"/>
          </w:tcPr>
          <w:p>
            <w:pPr>
              <w:spacing w:after="0"/>
              <w:rPr>
                <w:sz w:val="16"/>
                <w:szCs w:val="16"/>
                <w:color w:val="auto"/>
              </w:rPr>
            </w:pPr>
          </w:p>
        </w:tc>
        <w:tc>
          <w:tcPr>
            <w:tcW w:w="760" w:type="dxa"/>
            <w:vAlign w:val="bottom"/>
            <w:gridSpan w:val="4"/>
            <w:shd w:val="clear" w:color="auto" w:fill="CCEEFF"/>
          </w:tcPr>
          <w:p>
            <w:pPr>
              <w:jc w:val="center"/>
              <w:ind w:right="340"/>
              <w:spacing w:after="0" w:line="189" w:lineRule="exact"/>
              <w:rPr>
                <w:rFonts w:ascii="Arial" w:cs="Arial" w:eastAsia="Arial" w:hAnsi="Arial"/>
                <w:sz w:val="18"/>
                <w:szCs w:val="18"/>
                <w:color w:val="0000FF"/>
                <w:w w:val="89"/>
              </w:rPr>
            </w:pPr>
            <w:hyperlink w:anchor="page91">
              <w:r>
                <w:rPr>
                  <w:rFonts w:ascii="Arial" w:cs="Arial" w:eastAsia="Arial" w:hAnsi="Arial"/>
                  <w:sz w:val="18"/>
                  <w:szCs w:val="18"/>
                  <w:color w:val="0000FF"/>
                  <w:w w:val="89"/>
                </w:rPr>
                <w:t>F - 10</w:t>
              </w:r>
            </w:hyperlink>
          </w:p>
        </w:tc>
      </w:tr>
      <w:tr>
        <w:trPr>
          <w:trHeight w:val="21"/>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7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320" w:type="dxa"/>
            <w:vAlign w:val="bottom"/>
          </w:tcPr>
          <w:p>
            <w:pPr>
              <w:spacing w:after="0"/>
              <w:rPr>
                <w:sz w:val="16"/>
                <w:szCs w:val="16"/>
                <w:color w:val="auto"/>
              </w:rPr>
            </w:pPr>
          </w:p>
        </w:tc>
        <w:tc>
          <w:tcPr>
            <w:tcW w:w="10160" w:type="dxa"/>
            <w:vAlign w:val="bottom"/>
            <w:gridSpan w:val="9"/>
          </w:tcPr>
          <w:p>
            <w:pPr>
              <w:spacing w:after="0" w:line="189" w:lineRule="exact"/>
              <w:rPr>
                <w:rFonts w:ascii="Arial" w:cs="Arial" w:eastAsia="Arial" w:hAnsi="Arial"/>
                <w:sz w:val="18"/>
                <w:szCs w:val="18"/>
                <w:color w:val="0000FF"/>
              </w:rPr>
            </w:pPr>
            <w:hyperlink w:anchor="page139">
              <w:r>
                <w:rPr>
                  <w:rFonts w:ascii="Arial" w:cs="Arial" w:eastAsia="Arial" w:hAnsi="Arial"/>
                  <w:sz w:val="18"/>
                  <w:szCs w:val="18"/>
                  <w:color w:val="0000FF"/>
                </w:rPr>
                <w:t>Schedule I - Condensed Financial Information of Registrant Parent Company Only</w:t>
              </w:r>
            </w:hyperlink>
          </w:p>
        </w:tc>
        <w:tc>
          <w:tcPr>
            <w:tcW w:w="760" w:type="dxa"/>
            <w:vAlign w:val="bottom"/>
            <w:gridSpan w:val="4"/>
          </w:tcPr>
          <w:p>
            <w:pPr>
              <w:jc w:val="center"/>
              <w:ind w:right="340"/>
              <w:spacing w:after="0" w:line="189" w:lineRule="exact"/>
              <w:rPr>
                <w:rFonts w:ascii="Arial" w:cs="Arial" w:eastAsia="Arial" w:hAnsi="Arial"/>
                <w:sz w:val="18"/>
                <w:szCs w:val="18"/>
                <w:color w:val="0000FF"/>
                <w:w w:val="89"/>
              </w:rPr>
            </w:pPr>
            <w:hyperlink w:anchor="page139">
              <w:r>
                <w:rPr>
                  <w:rFonts w:ascii="Arial" w:cs="Arial" w:eastAsia="Arial" w:hAnsi="Arial"/>
                  <w:sz w:val="18"/>
                  <w:szCs w:val="18"/>
                  <w:color w:val="0000FF"/>
                  <w:w w:val="89"/>
                </w:rPr>
                <w:t>S - 1</w:t>
              </w:r>
            </w:hyperlink>
          </w:p>
        </w:tc>
      </w:tr>
      <w:tr>
        <w:trPr>
          <w:trHeight w:val="925"/>
        </w:trPr>
        <w:tc>
          <w:tcPr>
            <w:tcW w:w="320" w:type="dxa"/>
            <w:vAlign w:val="bottom"/>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7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320" w:type="dxa"/>
            <w:vAlign w:val="bottom"/>
            <w:tcBorders>
              <w:top w:val="single" w:sz="8" w:color="0000FF"/>
            </w:tcBorders>
            <w:gridSpan w:val="2"/>
          </w:tcPr>
          <w:p>
            <w:pPr>
              <w:ind w:left="500"/>
              <w:spacing w:after="0"/>
              <w:rPr>
                <w:sz w:val="20"/>
                <w:szCs w:val="20"/>
                <w:color w:val="auto"/>
              </w:rPr>
            </w:pPr>
            <w:r>
              <w:rPr>
                <w:rFonts w:ascii="Arial" w:cs="Arial" w:eastAsia="Arial" w:hAnsi="Arial"/>
                <w:sz w:val="18"/>
                <w:szCs w:val="18"/>
                <w:color w:val="auto"/>
              </w:rPr>
              <w:t>F - 1</w:t>
            </w:r>
          </w:p>
        </w:tc>
        <w:tc>
          <w:tcPr>
            <w:tcW w:w="4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15"/>
        </w:trPr>
        <w:tc>
          <w:tcPr>
            <w:tcW w:w="3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right="5060"/>
        <w:spacing w:after="0" w:line="46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the Board of Directors of VICI Properties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audited the accompanying consolidated balance sheets of VICI Properties Inc. and subsidiaries (the "Company") as of December 31, 2021 and 2020, the related consolidated statements of operations and comprehensive income, stockholders' equity, and cash flows, for each of the three years in the period ended December 31, 2021, and the related notes and the schedule listed in the Index at Item 15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Company's internal control over financial reporting as of December 31, 2021, based on criteria established in Internal Control - Integrated Framework (2013) issued by the Committee of Sponsoring Organizations of the Treadway Commission and our report dated February 23, 2022, expressed an unqualified opinion on the Company's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discussed in Note 5 to the financial statements, effective January 1, 2020, the Company adopted Accounting Standard Update No. 2016-13 - Financial Instruments-Credit Losses (Topic 326) using the modified retrospective approach.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a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34" w:lineRule="exact"/>
        <w:rPr>
          <w:sz w:val="20"/>
          <w:szCs w:val="20"/>
          <w:color w:val="auto"/>
        </w:rPr>
      </w:pPr>
    </w:p>
    <w:p>
      <w:pPr>
        <w:ind w:right="5260"/>
        <w:spacing w:after="0" w:line="438" w:lineRule="auto"/>
        <w:rPr>
          <w:sz w:val="20"/>
          <w:szCs w:val="20"/>
          <w:color w:val="auto"/>
        </w:rPr>
      </w:pPr>
      <w:r>
        <w:rPr>
          <w:rFonts w:ascii="Arial" w:cs="Arial" w:eastAsia="Arial" w:hAnsi="Arial"/>
          <w:sz w:val="18"/>
          <w:szCs w:val="18"/>
          <w:b w:val="1"/>
          <w:bCs w:val="1"/>
          <w:i w:val="1"/>
          <w:iCs w:val="1"/>
          <w:color w:val="auto"/>
        </w:rPr>
        <w:t xml:space="preserve">Allowance for Credit Losses— Refer to Notes 2 and 5 to the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applies Accounting Standard Codification Topic 326 -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xml:space="preserve"> to measure and record current expected credit losses (“CECL”) using a discounted cash flow model for its sales-type leases, lease financing receivables and loans. This model requires the Company to develop cash flows which are used to project estimated credit losses over the life of the sales-type lease, lease financing receivable or loan and discount these cash flows at the asset’s effective interest rate.</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Expected losses within the Company’s cash flows are determined by estimating the probability of default (“PD”) and loss given default (“LGD”) of its tenants or borrowers and their parent guarantors over the life of each sales-type lease, lease financing</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receivable or loan by using a model from an independent third-party provider. The PD and LGD are estimated during a reasonable and supportable period which is developed by using the current financial condition of the tenants or borrowers and their parent guarantors and applying it to a projection of economic conditions over a two-year term. The PD and LGD are also estimated for a long-term period by using the average historical default rates and historical loss rates of public companies that have similar credit profiles or characteristics to the Company’s tenants or borrowers and their parent guarantors. Significant inputs to the Company’s forecasting methods include the tenants’ short-term and long-term PD and LGD based on the tenant’s or borrower’s and their parent guarantor’s credit profile as well as the cash flows from each sales-type lease, lease financing receivable or loan.</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Given the significant amount of judgment required by management to estimate the allowance for credit losses, performing audit procedures to evaluate the reasonableness of the estimated allowance for credit losses on the Company’s portfolio of sales-type leases, lease financing receivables and loans required a high degree of auditor judgment and increased effort, including the need to involve our credit specialists.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audit procedures related to the allowance for credit losses for the Company’s sales-type leases, lease financing receivables and loans included the following, among others:</w:t>
      </w:r>
    </w:p>
    <w:p>
      <w:pPr>
        <w:spacing w:after="0" w:line="116"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We tested the effectiveness of controls over the allowance for credit losses, including management’s controls over the data used in the model.</w:t>
      </w:r>
    </w:p>
    <w:p>
      <w:pPr>
        <w:spacing w:after="0" w:line="194"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With the assistance of our credit specialists, we evaluated the reasonableness of the model’s methodology, which includes PD and LGD assumptions.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tested the inputs used to determine the short-term and long-term PD of the tenants or borrowers and their parent guarantors by agreeing the respective credit rating and equity value of each entity to independent data.</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reconciled the cash flow inputs used in the CECL model by agreeing them to the respective contractual agreements.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02" w:lineRule="exact"/>
        <w:rPr>
          <w:sz w:val="20"/>
          <w:szCs w:val="20"/>
          <w:color w:val="auto"/>
        </w:rPr>
      </w:pPr>
    </w:p>
    <w:p>
      <w:pPr>
        <w:ind w:right="5060"/>
        <w:spacing w:after="0" w:line="43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VICI Properties Inc. </w:t>
      </w:r>
      <w:r>
        <w:rPr>
          <w:rFonts w:ascii="Arial" w:cs="Arial" w:eastAsia="Arial" w:hAnsi="Arial"/>
          <w:sz w:val="18"/>
          <w:szCs w:val="18"/>
          <w:b w:val="1"/>
          <w:bCs w:val="1"/>
          <w:color w:val="auto"/>
        </w:rPr>
        <w:t>Opinion on Internal Control over Financial Reporting</w:t>
      </w:r>
    </w:p>
    <w:p>
      <w:pPr>
        <w:spacing w:after="0" w:line="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VICI Properties Inc. and subsidiaries (the “Company”) as of December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consolidated financial statements as of and for the year ended December 31, 2021, of the Company and our report dated February 23, 2022, expressed an unqualified opinion on those consolidated financial statements and included an explanatory paragraph regarding the Company’s adoption of Accounting Standard Update No. 2016-13 - </w:t>
      </w:r>
      <w:r>
        <w:rPr>
          <w:rFonts w:ascii="Arial" w:cs="Arial" w:eastAsia="Arial" w:hAnsi="Arial"/>
          <w:sz w:val="18"/>
          <w:szCs w:val="18"/>
          <w:i w:val="1"/>
          <w:iCs w:val="1"/>
          <w:color w:val="auto"/>
        </w:rPr>
        <w:t>Financial Instruments-Credit Losses (Topic 326)</w:t>
      </w:r>
      <w:r>
        <w:rPr>
          <w:rFonts w:ascii="Arial" w:cs="Arial" w:eastAsia="Arial" w:hAnsi="Arial"/>
          <w:sz w:val="18"/>
          <w:szCs w:val="18"/>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2022</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VICI PROPERTIES INC.</w:t>
      </w:r>
    </w:p>
    <w:p>
      <w:pPr>
        <w:jc w:val="center"/>
        <w:ind w:right="-19"/>
        <w:spacing w:after="0"/>
        <w:rPr>
          <w:sz w:val="20"/>
          <w:szCs w:val="20"/>
          <w:color w:val="auto"/>
        </w:rPr>
      </w:pPr>
      <w:r>
        <w:rPr>
          <w:rFonts w:ascii="Arial" w:cs="Arial" w:eastAsia="Arial" w:hAnsi="Arial"/>
          <w:sz w:val="20"/>
          <w:szCs w:val="20"/>
          <w:b w:val="1"/>
          <w:bCs w:val="1"/>
          <w:color w:val="auto"/>
        </w:rPr>
        <w:t>CONSOLIDATED BALANCE SHEETS</w:t>
      </w:r>
    </w:p>
    <w:p>
      <w:pPr>
        <w:jc w:val="center"/>
        <w:ind w:right="-19"/>
        <w:spacing w:after="0"/>
        <w:rPr>
          <w:sz w:val="20"/>
          <w:szCs w:val="20"/>
          <w:color w:val="auto"/>
        </w:rPr>
      </w:pPr>
      <w:r>
        <w:rPr>
          <w:rFonts w:ascii="Arial" w:cs="Arial" w:eastAsia="Arial" w:hAnsi="Arial"/>
          <w:sz w:val="20"/>
          <w:szCs w:val="20"/>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 2021</w:t>
            </w:r>
          </w:p>
        </w:tc>
        <w:tc>
          <w:tcPr>
            <w:tcW w:w="240" w:type="dxa"/>
            <w:vAlign w:val="bottom"/>
          </w:tcPr>
          <w:p>
            <w:pPr>
              <w:spacing w:after="0"/>
              <w:rPr>
                <w:sz w:val="18"/>
                <w:szCs w:val="18"/>
                <w:color w:val="auto"/>
              </w:rPr>
            </w:pPr>
          </w:p>
        </w:tc>
        <w:tc>
          <w:tcPr>
            <w:tcW w:w="1760" w:type="dxa"/>
            <w:vAlign w:val="bottom"/>
          </w:tcPr>
          <w:p>
            <w:pPr>
              <w:jc w:val="right"/>
              <w:ind w:right="250"/>
              <w:spacing w:after="0"/>
              <w:rPr>
                <w:sz w:val="20"/>
                <w:szCs w:val="20"/>
                <w:color w:val="auto"/>
              </w:rPr>
            </w:pPr>
            <w:r>
              <w:rPr>
                <w:rFonts w:ascii="Arial" w:cs="Arial" w:eastAsia="Arial" w:hAnsi="Arial"/>
                <w:sz w:val="16"/>
                <w:szCs w:val="16"/>
                <w:b w:val="1"/>
                <w:bCs w:val="1"/>
                <w:color w:val="auto"/>
                <w:w w:val="97"/>
              </w:rPr>
              <w:t>December 31, 2020</w:t>
            </w:r>
          </w:p>
        </w:tc>
        <w:tc>
          <w:tcPr>
            <w:tcW w:w="0" w:type="dxa"/>
            <w:vAlign w:val="bottom"/>
          </w:tcPr>
          <w:p>
            <w:pPr>
              <w:spacing w:after="0"/>
              <w:rPr>
                <w:sz w:val="1"/>
                <w:szCs w:val="1"/>
                <w:color w:val="auto"/>
              </w:rPr>
            </w:pPr>
          </w:p>
        </w:tc>
      </w:tr>
      <w:tr>
        <w:trPr>
          <w:trHeight w:val="213"/>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220"/>
              <w:spacing w:after="0"/>
              <w:rPr>
                <w:sz w:val="20"/>
                <w:szCs w:val="20"/>
                <w:color w:val="auto"/>
              </w:rPr>
            </w:pPr>
            <w:r>
              <w:rPr>
                <w:rFonts w:ascii="Arial" w:cs="Arial" w:eastAsia="Arial" w:hAnsi="Arial"/>
                <w:sz w:val="18"/>
                <w:szCs w:val="18"/>
                <w:color w:val="auto"/>
              </w:rPr>
              <w:t>Real estate portfolio:</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Investments in leases - sales-type, net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13,136,664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13,027,644</w:t>
            </w:r>
          </w:p>
        </w:tc>
        <w:tc>
          <w:tcPr>
            <w:tcW w:w="0" w:type="dxa"/>
            <w:vAlign w:val="bottom"/>
          </w:tcPr>
          <w:p>
            <w:pPr>
              <w:spacing w:after="0"/>
              <w:rPr>
                <w:sz w:val="1"/>
                <w:szCs w:val="1"/>
                <w:color w:val="auto"/>
              </w:rPr>
            </w:pPr>
          </w:p>
        </w:tc>
      </w:tr>
      <w:tr>
        <w:trPr>
          <w:trHeight w:val="229"/>
        </w:trPr>
        <w:tc>
          <w:tcPr>
            <w:tcW w:w="7140" w:type="dxa"/>
            <w:vAlign w:val="bottom"/>
          </w:tcPr>
          <w:p>
            <w:pPr>
              <w:ind w:left="460"/>
              <w:spacing w:after="0"/>
              <w:rPr>
                <w:sz w:val="20"/>
                <w:szCs w:val="20"/>
                <w:color w:val="auto"/>
              </w:rPr>
            </w:pPr>
            <w:r>
              <w:rPr>
                <w:rFonts w:ascii="Arial" w:cs="Arial" w:eastAsia="Arial" w:hAnsi="Arial"/>
                <w:sz w:val="18"/>
                <w:szCs w:val="18"/>
                <w:color w:val="auto"/>
              </w:rPr>
              <w:t>Investments in leases - financing receivables, net</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2,644,824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2,618,562</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Investments in loans, net</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536,721</w:t>
            </w:r>
          </w:p>
        </w:tc>
        <w:tc>
          <w:tcPr>
            <w:tcW w:w="0" w:type="dxa"/>
            <w:vAlign w:val="bottom"/>
          </w:tcPr>
          <w:p>
            <w:pPr>
              <w:spacing w:after="0"/>
              <w:rPr>
                <w:sz w:val="1"/>
                <w:szCs w:val="1"/>
                <w:color w:val="auto"/>
              </w:rPr>
            </w:pPr>
          </w:p>
        </w:tc>
      </w:tr>
      <w:tr>
        <w:trPr>
          <w:trHeight w:val="229"/>
        </w:trPr>
        <w:tc>
          <w:tcPr>
            <w:tcW w:w="7140" w:type="dxa"/>
            <w:vAlign w:val="bottom"/>
          </w:tcPr>
          <w:p>
            <w:pPr>
              <w:ind w:left="480"/>
              <w:spacing w:after="0"/>
              <w:rPr>
                <w:sz w:val="20"/>
                <w:szCs w:val="20"/>
                <w:color w:val="auto"/>
              </w:rPr>
            </w:pPr>
            <w:r>
              <w:rPr>
                <w:rFonts w:ascii="Arial" w:cs="Arial" w:eastAsia="Arial" w:hAnsi="Arial"/>
                <w:sz w:val="18"/>
                <w:szCs w:val="18"/>
                <w:color w:val="auto"/>
              </w:rPr>
              <w:t>Land</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153,576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158,190</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739,614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315,993</w:t>
            </w:r>
          </w:p>
        </w:tc>
        <w:tc>
          <w:tcPr>
            <w:tcW w:w="0" w:type="dxa"/>
            <w:vAlign w:val="bottom"/>
          </w:tcPr>
          <w:p>
            <w:pPr>
              <w:spacing w:after="0"/>
              <w:rPr>
                <w:sz w:val="1"/>
                <w:szCs w:val="1"/>
                <w:color w:val="auto"/>
              </w:rPr>
            </w:pPr>
          </w:p>
        </w:tc>
      </w:tr>
      <w:tr>
        <w:trPr>
          <w:trHeight w:val="229"/>
        </w:trPr>
        <w:tc>
          <w:tcPr>
            <w:tcW w:w="714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9"/>
                <w:szCs w:val="19"/>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19,973</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424,693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386,530</w:t>
            </w:r>
          </w:p>
        </w:tc>
        <w:tc>
          <w:tcPr>
            <w:tcW w:w="0" w:type="dxa"/>
            <w:vAlign w:val="bottom"/>
          </w:tcPr>
          <w:p>
            <w:pPr>
              <w:spacing w:after="0"/>
              <w:rPr>
                <w:sz w:val="1"/>
                <w:szCs w:val="1"/>
                <w:color w:val="auto"/>
              </w:rPr>
            </w:pPr>
          </w:p>
        </w:tc>
      </w:tr>
      <w:tr>
        <w:trPr>
          <w:trHeight w:val="223"/>
        </w:trPr>
        <w:tc>
          <w:tcPr>
            <w:tcW w:w="7140" w:type="dxa"/>
            <w:vAlign w:val="bottom"/>
          </w:tcPr>
          <w:p>
            <w:pPr>
              <w:ind w:left="5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17,597,373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17,063,613</w:t>
            </w:r>
          </w:p>
        </w:tc>
        <w:tc>
          <w:tcPr>
            <w:tcW w:w="0" w:type="dxa"/>
            <w:vAlign w:val="bottom"/>
          </w:tcPr>
          <w:p>
            <w:pPr>
              <w:spacing w:after="0"/>
              <w:rPr>
                <w:sz w:val="1"/>
                <w:szCs w:val="1"/>
                <w:color w:val="auto"/>
              </w:rPr>
            </w:pP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Liabilities</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net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4,694,523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6,765,532</w:t>
            </w:r>
          </w:p>
        </w:tc>
        <w:tc>
          <w:tcPr>
            <w:tcW w:w="0" w:type="dxa"/>
            <w:vAlign w:val="bottom"/>
          </w:tcPr>
          <w:p>
            <w:pPr>
              <w:spacing w:after="0"/>
              <w:rPr>
                <w:sz w:val="1"/>
                <w:szCs w:val="1"/>
                <w:color w:val="auto"/>
              </w:rPr>
            </w:pPr>
          </w:p>
        </w:tc>
      </w:tr>
      <w:tr>
        <w:trPr>
          <w:trHeight w:val="229"/>
        </w:trPr>
        <w:tc>
          <w:tcPr>
            <w:tcW w:w="7140" w:type="dxa"/>
            <w:vAlign w:val="bottom"/>
          </w:tcPr>
          <w:p>
            <w:pPr>
              <w:ind w:left="220"/>
              <w:spacing w:after="0"/>
              <w:rPr>
                <w:sz w:val="20"/>
                <w:szCs w:val="20"/>
                <w:color w:val="auto"/>
              </w:rPr>
            </w:pPr>
            <w:r>
              <w:rPr>
                <w:rFonts w:ascii="Arial" w:cs="Arial" w:eastAsia="Arial" w:hAnsi="Arial"/>
                <w:sz w:val="18"/>
                <w:szCs w:val="18"/>
                <w:color w:val="auto"/>
              </w:rPr>
              <w:t>Accrued expenses and deferred revenue</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113,530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155,807</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payable</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176,992</w:t>
            </w:r>
          </w:p>
        </w:tc>
        <w:tc>
          <w:tcPr>
            <w:tcW w:w="0" w:type="dxa"/>
            <w:vAlign w:val="bottom"/>
          </w:tcPr>
          <w:p>
            <w:pPr>
              <w:spacing w:after="0"/>
              <w:rPr>
                <w:sz w:val="1"/>
                <w:szCs w:val="1"/>
                <w:color w:val="auto"/>
              </w:rPr>
            </w:pPr>
          </w:p>
        </w:tc>
      </w:tr>
      <w:tr>
        <w:trPr>
          <w:trHeight w:val="229"/>
        </w:trPr>
        <w:tc>
          <w:tcPr>
            <w:tcW w:w="7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375,837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471,537</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5,410,199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7,569,868</w:t>
            </w:r>
          </w:p>
        </w:tc>
        <w:tc>
          <w:tcPr>
            <w:tcW w:w="0" w:type="dxa"/>
            <w:vAlign w:val="bottom"/>
          </w:tcPr>
          <w:p>
            <w:pPr>
              <w:spacing w:after="0"/>
              <w:rPr>
                <w:sz w:val="1"/>
                <w:szCs w:val="1"/>
                <w:color w:val="auto"/>
              </w:rPr>
            </w:pPr>
          </w:p>
        </w:tc>
      </w:tr>
      <w:tr>
        <w:trPr>
          <w:trHeight w:val="196"/>
        </w:trPr>
        <w:tc>
          <w:tcPr>
            <w:tcW w:w="7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Commitments and Contingencies (Note 10)</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Stockholders’ equity</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140" w:type="dxa"/>
            <w:vAlign w:val="bottom"/>
          </w:tcPr>
          <w:p>
            <w:pPr>
              <w:ind w:left="220"/>
              <w:spacing w:after="0" w:line="176" w:lineRule="exact"/>
              <w:rPr>
                <w:sz w:val="20"/>
                <w:szCs w:val="20"/>
                <w:color w:val="auto"/>
              </w:rPr>
            </w:pPr>
            <w:r>
              <w:rPr>
                <w:rFonts w:ascii="Arial" w:cs="Arial" w:eastAsia="Arial" w:hAnsi="Arial"/>
                <w:sz w:val="18"/>
                <w:szCs w:val="18"/>
                <w:color w:val="auto"/>
                <w:w w:val="98"/>
              </w:rPr>
              <w:t>Common stock, $0.01 par value, 1,350,000,000 shares authorized and 628,942,092 and</w:t>
            </w:r>
          </w:p>
        </w:tc>
        <w:tc>
          <w:tcPr>
            <w:tcW w:w="2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40" w:type="dxa"/>
            <w:vAlign w:val="bottom"/>
          </w:tcPr>
          <w:p>
            <w:pPr>
              <w:ind w:left="220"/>
              <w:spacing w:after="0" w:line="176" w:lineRule="exact"/>
              <w:rPr>
                <w:sz w:val="20"/>
                <w:szCs w:val="20"/>
                <w:color w:val="auto"/>
              </w:rPr>
            </w:pPr>
            <w:r>
              <w:rPr>
                <w:rFonts w:ascii="Arial" w:cs="Arial" w:eastAsia="Arial" w:hAnsi="Arial"/>
                <w:sz w:val="18"/>
                <w:szCs w:val="18"/>
                <w:color w:val="auto"/>
                <w:w w:val="93"/>
              </w:rPr>
              <w:t>536,669,722 shares issued and outstanding at December 31, 2021 and December 31, 2020,</w:t>
            </w:r>
          </w:p>
        </w:tc>
        <w:tc>
          <w:tcPr>
            <w:tcW w:w="220" w:type="dxa"/>
            <w:vAlign w:val="bottom"/>
          </w:tcPr>
          <w:p>
            <w:pPr>
              <w:spacing w:after="0"/>
              <w:rPr>
                <w:sz w:val="15"/>
                <w:szCs w:val="15"/>
                <w:color w:val="auto"/>
              </w:rPr>
            </w:pPr>
          </w:p>
        </w:tc>
        <w:tc>
          <w:tcPr>
            <w:tcW w:w="1760" w:type="dxa"/>
            <w:vAlign w:val="bottom"/>
            <w:vMerge w:val="restart"/>
          </w:tcPr>
          <w:p>
            <w:pPr>
              <w:jc w:val="right"/>
              <w:spacing w:after="0"/>
              <w:rPr>
                <w:sz w:val="20"/>
                <w:szCs w:val="20"/>
                <w:color w:val="auto"/>
              </w:rPr>
            </w:pPr>
            <w:r>
              <w:rPr>
                <w:rFonts w:ascii="Arial" w:cs="Arial" w:eastAsia="Arial" w:hAnsi="Arial"/>
                <w:sz w:val="18"/>
                <w:szCs w:val="18"/>
                <w:color w:val="auto"/>
              </w:rPr>
              <w:t>6,289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60" w:type="dxa"/>
            <w:vAlign w:val="bottom"/>
            <w:vMerge w:val="restart"/>
          </w:tcPr>
          <w:p>
            <w:pPr>
              <w:jc w:val="right"/>
              <w:spacing w:after="0"/>
              <w:rPr>
                <w:sz w:val="20"/>
                <w:szCs w:val="20"/>
                <w:color w:val="auto"/>
              </w:rPr>
            </w:pPr>
            <w:r>
              <w:rPr>
                <w:rFonts w:ascii="Arial" w:cs="Arial" w:eastAsia="Arial" w:hAnsi="Arial"/>
                <w:sz w:val="18"/>
                <w:szCs w:val="18"/>
                <w:color w:val="auto"/>
              </w:rPr>
              <w:t>5,367</w:t>
            </w:r>
          </w:p>
        </w:tc>
        <w:tc>
          <w:tcPr>
            <w:tcW w:w="0" w:type="dxa"/>
            <w:vAlign w:val="bottom"/>
          </w:tcPr>
          <w:p>
            <w:pPr>
              <w:spacing w:after="0"/>
              <w:rPr>
                <w:sz w:val="1"/>
                <w:szCs w:val="1"/>
                <w:color w:val="auto"/>
              </w:rPr>
            </w:pPr>
          </w:p>
        </w:tc>
      </w:tr>
      <w:tr>
        <w:trPr>
          <w:trHeight w:val="230"/>
        </w:trPr>
        <w:tc>
          <w:tcPr>
            <w:tcW w:w="7140" w:type="dxa"/>
            <w:vAlign w:val="bottom"/>
          </w:tcPr>
          <w:p>
            <w:pPr>
              <w:ind w:left="220"/>
              <w:spacing w:after="0"/>
              <w:rPr>
                <w:sz w:val="20"/>
                <w:szCs w:val="20"/>
                <w:color w:val="auto"/>
              </w:rPr>
            </w:pPr>
            <w:r>
              <w:rPr>
                <w:rFonts w:ascii="Arial" w:cs="Arial" w:eastAsia="Arial" w:hAnsi="Arial"/>
                <w:sz w:val="18"/>
                <w:szCs w:val="18"/>
                <w:color w:val="auto"/>
              </w:rPr>
              <w:t>respectively</w:t>
            </w:r>
          </w:p>
        </w:tc>
        <w:tc>
          <w:tcPr>
            <w:tcW w:w="220" w:type="dxa"/>
            <w:vAlign w:val="bottom"/>
          </w:tcPr>
          <w:p>
            <w:pPr>
              <w:spacing w:after="0"/>
              <w:rPr>
                <w:sz w:val="19"/>
                <w:szCs w:val="19"/>
                <w:color w:val="auto"/>
              </w:rPr>
            </w:pPr>
          </w:p>
        </w:tc>
        <w:tc>
          <w:tcPr>
            <w:tcW w:w="1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1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3"/>
              </w:rPr>
              <w:t>Preferred stock, $0.01 par value, 50,000,000 shares authorized and no shares outstanding at</w:t>
            </w:r>
          </w:p>
        </w:tc>
        <w:tc>
          <w:tcPr>
            <w:tcW w:w="220" w:type="dxa"/>
            <w:vAlign w:val="bottom"/>
            <w:shd w:val="clear" w:color="auto" w:fill="CCEEFF"/>
          </w:tcPr>
          <w:p>
            <w:pPr>
              <w:spacing w:after="0"/>
              <w:rPr>
                <w:sz w:val="15"/>
                <w:szCs w:val="15"/>
                <w:color w:val="auto"/>
              </w:rPr>
            </w:pPr>
          </w:p>
        </w:tc>
        <w:tc>
          <w:tcPr>
            <w:tcW w:w="1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December 31, 2021 and 2020</w:t>
            </w:r>
          </w:p>
        </w:tc>
        <w:tc>
          <w:tcPr>
            <w:tcW w:w="220" w:type="dxa"/>
            <w:vAlign w:val="bottom"/>
            <w:shd w:val="clear" w:color="auto" w:fill="CCEEFF"/>
          </w:tcPr>
          <w:p>
            <w:pPr>
              <w:spacing w:after="0"/>
              <w:rPr>
                <w:sz w:val="19"/>
                <w:szCs w:val="19"/>
                <w:color w:val="auto"/>
              </w:rPr>
            </w:pPr>
          </w:p>
        </w:tc>
        <w:tc>
          <w:tcPr>
            <w:tcW w:w="186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4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11,755,069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9,363,539</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(92,521)</w:t>
            </w:r>
          </w:p>
        </w:tc>
        <w:tc>
          <w:tcPr>
            <w:tcW w:w="0" w:type="dxa"/>
            <w:vAlign w:val="bottom"/>
          </w:tcPr>
          <w:p>
            <w:pPr>
              <w:spacing w:after="0"/>
              <w:rPr>
                <w:sz w:val="1"/>
                <w:szCs w:val="1"/>
                <w:color w:val="auto"/>
              </w:rPr>
            </w:pPr>
          </w:p>
        </w:tc>
      </w:tr>
      <w:tr>
        <w:trPr>
          <w:trHeight w:val="230"/>
        </w:trPr>
        <w:tc>
          <w:tcPr>
            <w:tcW w:w="7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346,026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139,454</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VICI stockholders’ equity</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12,108,268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9,415,839</w:t>
            </w:r>
          </w:p>
        </w:tc>
        <w:tc>
          <w:tcPr>
            <w:tcW w:w="0" w:type="dxa"/>
            <w:vAlign w:val="bottom"/>
          </w:tcPr>
          <w:p>
            <w:pPr>
              <w:spacing w:after="0"/>
              <w:rPr>
                <w:sz w:val="1"/>
                <w:szCs w:val="1"/>
                <w:color w:val="auto"/>
              </w:rPr>
            </w:pPr>
          </w:p>
        </w:tc>
      </w:tr>
      <w:tr>
        <w:trPr>
          <w:trHeight w:val="230"/>
        </w:trPr>
        <w:tc>
          <w:tcPr>
            <w:tcW w:w="7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Non-controlling interest</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78,906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77,906</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12,187,174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9,493,745</w:t>
            </w:r>
          </w:p>
        </w:tc>
        <w:tc>
          <w:tcPr>
            <w:tcW w:w="0" w:type="dxa"/>
            <w:vAlign w:val="bottom"/>
          </w:tcPr>
          <w:p>
            <w:pPr>
              <w:spacing w:after="0"/>
              <w:rPr>
                <w:sz w:val="1"/>
                <w:szCs w:val="1"/>
                <w:color w:val="auto"/>
              </w:rPr>
            </w:pPr>
          </w:p>
        </w:tc>
      </w:tr>
      <w:tr>
        <w:trPr>
          <w:trHeight w:val="223"/>
        </w:trPr>
        <w:tc>
          <w:tcPr>
            <w:tcW w:w="714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17,597,373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17,063,613</w:t>
            </w:r>
          </w:p>
        </w:tc>
        <w:tc>
          <w:tcPr>
            <w:tcW w:w="0" w:type="dxa"/>
            <w:vAlign w:val="bottom"/>
          </w:tcPr>
          <w:p>
            <w:pPr>
              <w:spacing w:after="0"/>
              <w:rPr>
                <w:sz w:val="1"/>
                <w:szCs w:val="1"/>
                <w:color w:val="auto"/>
              </w:rPr>
            </w:pPr>
          </w:p>
        </w:tc>
      </w:tr>
      <w:tr>
        <w:trPr>
          <w:trHeight w:val="21"/>
        </w:trPr>
        <w:tc>
          <w:tcPr>
            <w:tcW w:w="7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w:t>
      </w:r>
    </w:p>
    <w:p>
      <w:pPr>
        <w:spacing w:after="0" w:line="40" w:lineRule="exact"/>
        <w:rPr>
          <w:sz w:val="20"/>
          <w:szCs w:val="20"/>
          <w:color w:val="auto"/>
        </w:rPr>
      </w:pPr>
    </w:p>
    <w:p>
      <w:pPr>
        <w:jc w:val="both"/>
        <w:spacing w:after="0" w:line="257" w:lineRule="auto"/>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Note: As of December 31, 2021 and December 31, 2020, our Investments in leases - sales-type, Investments in leases - financing receivables, Investments in loans and Other assets (sales-type sub-leases) are net of $434.9 million, $91.1 million, $0.8 million and $6.5 million, respectively, and $454.2 million, $91.0 million, $1.8 million, and $6.9 million, respectively, of Allowance for credit losses. Refer to </w:t>
      </w:r>
      <w:hyperlink w:anchor="page118">
        <w:r>
          <w:rPr>
            <w:rFonts w:ascii="Arial" w:cs="Arial" w:eastAsia="Arial" w:hAnsi="Arial"/>
            <w:sz w:val="14"/>
            <w:szCs w:val="14"/>
            <w:i w:val="1"/>
            <w:iCs w:val="1"/>
            <w:u w:val="single" w:color="auto"/>
            <w:color w:val="0000FF"/>
          </w:rPr>
          <w:t>Note 5 - Allowance for Credit Losses</w:t>
        </w:r>
        <w:r>
          <w:rPr>
            <w:rFonts w:ascii="Arial" w:cs="Arial" w:eastAsia="Arial" w:hAnsi="Arial"/>
            <w:sz w:val="14"/>
            <w:szCs w:val="14"/>
            <w:i w:val="1"/>
            <w:iCs w:val="1"/>
            <w:u w:val="single" w:color="auto"/>
            <w:color w:val="auto"/>
          </w:rPr>
          <w:t xml:space="preserve"> </w:t>
        </w:r>
      </w:hyperlink>
      <w:r>
        <w:rPr>
          <w:rFonts w:ascii="Arial" w:cs="Arial" w:eastAsia="Arial" w:hAnsi="Arial"/>
          <w:sz w:val="14"/>
          <w:szCs w:val="14"/>
          <w:i w:val="1"/>
          <w:iCs w:val="1"/>
          <w:color w:val="auto"/>
        </w:rPr>
        <w:t>for further details.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VICI PROPERTIES INC.</w:t>
      </w:r>
    </w:p>
    <w:p>
      <w:pPr>
        <w:jc w:val="center"/>
        <w:ind w:right="-19"/>
        <w:spacing w:after="0"/>
        <w:rPr>
          <w:sz w:val="20"/>
          <w:szCs w:val="20"/>
          <w:color w:val="auto"/>
        </w:rPr>
      </w:pPr>
      <w:r>
        <w:rPr>
          <w:rFonts w:ascii="Arial" w:cs="Arial" w:eastAsia="Arial" w:hAnsi="Arial"/>
          <w:sz w:val="20"/>
          <w:szCs w:val="20"/>
          <w:b w:val="1"/>
          <w:bCs w:val="1"/>
          <w:color w:val="auto"/>
        </w:rPr>
        <w:t>CONSOLIDATED STATEMENTS OF OPERATIONS AND COMPREHENSIVE INCOME</w:t>
      </w:r>
    </w:p>
    <w:p>
      <w:pPr>
        <w:jc w:val="center"/>
        <w:ind w:right="-19"/>
        <w:spacing w:after="0"/>
        <w:rPr>
          <w:sz w:val="20"/>
          <w:szCs w:val="20"/>
          <w:color w:val="auto"/>
        </w:rPr>
      </w:pPr>
      <w:r>
        <w:rPr>
          <w:rFonts w:ascii="Arial" w:cs="Arial" w:eastAsia="Arial" w:hAnsi="Arial"/>
          <w:sz w:val="20"/>
          <w:szCs w:val="20"/>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50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Year Ended December 31,</w:t>
            </w: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r>
      <w:tr>
        <w:trPr>
          <w:trHeight w:val="210"/>
        </w:trPr>
        <w:tc>
          <w:tcPr>
            <w:tcW w:w="50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30"/>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30"/>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30"/>
              <w:spacing w:after="0"/>
              <w:rPr>
                <w:sz w:val="20"/>
                <w:szCs w:val="20"/>
                <w:color w:val="auto"/>
              </w:rPr>
            </w:pPr>
            <w:r>
              <w:rPr>
                <w:rFonts w:ascii="Arial" w:cs="Arial" w:eastAsia="Arial" w:hAnsi="Arial"/>
                <w:sz w:val="16"/>
                <w:szCs w:val="16"/>
                <w:b w:val="1"/>
                <w:bCs w:val="1"/>
                <w:color w:val="auto"/>
              </w:rPr>
              <w:t>2019</w:t>
            </w:r>
          </w:p>
        </w:tc>
      </w:tr>
      <w:tr>
        <w:trPr>
          <w:trHeight w:val="212"/>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Revenues</w:t>
            </w: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29"/>
        </w:trPr>
        <w:tc>
          <w:tcPr>
            <w:tcW w:w="5080" w:type="dxa"/>
            <w:vAlign w:val="bottom"/>
          </w:tcPr>
          <w:p>
            <w:pPr>
              <w:ind w:left="220"/>
              <w:spacing w:after="0"/>
              <w:rPr>
                <w:sz w:val="20"/>
                <w:szCs w:val="20"/>
                <w:color w:val="auto"/>
              </w:rPr>
            </w:pPr>
            <w:r>
              <w:rPr>
                <w:rFonts w:ascii="Arial" w:cs="Arial" w:eastAsia="Arial" w:hAnsi="Arial"/>
                <w:sz w:val="18"/>
                <w:szCs w:val="18"/>
                <w:color w:val="auto"/>
              </w:rPr>
              <w:t>Income from sales-type and direct financing leases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1,167,972</w:t>
            </w:r>
          </w:p>
        </w:tc>
        <w:tc>
          <w:tcPr>
            <w:tcW w:w="120" w:type="dxa"/>
            <w:vAlign w:val="bottom"/>
          </w:tcPr>
          <w:p>
            <w:pPr>
              <w:spacing w:after="0"/>
              <w:rPr>
                <w:sz w:val="19"/>
                <w:szCs w:val="19"/>
                <w:color w:val="auto"/>
              </w:rPr>
            </w:pPr>
          </w:p>
        </w:tc>
        <w:tc>
          <w:tcPr>
            <w:tcW w:w="460" w:type="dxa"/>
            <w:vAlign w:val="bottom"/>
          </w:tcPr>
          <w:p>
            <w:pPr>
              <w:jc w:val="right"/>
              <w:ind w:right="271"/>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1,007,508</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822,205</w:t>
            </w:r>
          </w:p>
        </w:tc>
      </w:tr>
      <w:tr>
        <w:trPr>
          <w:trHeight w:val="229"/>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operating leases</w:t>
            </w:r>
          </w:p>
        </w:tc>
        <w:tc>
          <w:tcPr>
            <w:tcW w:w="4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43,653</w:t>
            </w:r>
          </w:p>
        </w:tc>
      </w:tr>
      <w:tr>
        <w:trPr>
          <w:trHeight w:val="230"/>
        </w:trPr>
        <w:tc>
          <w:tcPr>
            <w:tcW w:w="5080" w:type="dxa"/>
            <w:vAlign w:val="bottom"/>
          </w:tcPr>
          <w:p>
            <w:pPr>
              <w:ind w:left="220"/>
              <w:spacing w:after="0"/>
              <w:rPr>
                <w:sz w:val="20"/>
                <w:szCs w:val="20"/>
                <w:color w:val="auto"/>
              </w:rPr>
            </w:pPr>
            <w:r>
              <w:rPr>
                <w:rFonts w:ascii="Arial" w:cs="Arial" w:eastAsia="Arial" w:hAnsi="Arial"/>
                <w:sz w:val="18"/>
                <w:szCs w:val="18"/>
                <w:color w:val="auto"/>
              </w:rPr>
              <w:t>Income from lease financing receivables and loans</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283,242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153,017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Golf revenues</w:t>
            </w: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30,546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23,792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28,940</w:t>
            </w:r>
          </w:p>
        </w:tc>
      </w:tr>
      <w:tr>
        <w:trPr>
          <w:trHeight w:val="223"/>
        </w:trPr>
        <w:tc>
          <w:tcPr>
            <w:tcW w:w="50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1,509,568</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1,225,574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894,798</w:t>
            </w:r>
          </w:p>
        </w:tc>
      </w:tr>
      <w:tr>
        <w:trPr>
          <w:trHeight w:val="250"/>
        </w:trPr>
        <w:tc>
          <w:tcPr>
            <w:tcW w:w="5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Operating expenses</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508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33,122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30,661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24,569</w:t>
            </w:r>
          </w:p>
        </w:tc>
      </w:tr>
      <w:tr>
        <w:trPr>
          <w:trHeight w:val="229"/>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w:t>
            </w:r>
          </w:p>
        </w:tc>
      </w:tr>
      <w:tr>
        <w:trPr>
          <w:trHeight w:val="229"/>
        </w:trPr>
        <w:tc>
          <w:tcPr>
            <w:tcW w:w="5080" w:type="dxa"/>
            <w:vAlign w:val="bottom"/>
          </w:tcPr>
          <w:p>
            <w:pPr>
              <w:ind w:left="220"/>
              <w:spacing w:after="0"/>
              <w:rPr>
                <w:sz w:val="20"/>
                <w:szCs w:val="20"/>
                <w:color w:val="auto"/>
              </w:rPr>
            </w:pPr>
            <w:r>
              <w:rPr>
                <w:rFonts w:ascii="Arial" w:cs="Arial" w:eastAsia="Arial" w:hAnsi="Arial"/>
                <w:sz w:val="18"/>
                <w:szCs w:val="18"/>
                <w:color w:val="auto"/>
              </w:rPr>
              <w:t>Other expenses</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27,808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15,793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Golf expenses</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18,901</w:t>
            </w:r>
          </w:p>
        </w:tc>
      </w:tr>
      <w:tr>
        <w:trPr>
          <w:trHeight w:val="229"/>
        </w:trPr>
        <w:tc>
          <w:tcPr>
            <w:tcW w:w="5080" w:type="dxa"/>
            <w:vAlign w:val="bottom"/>
          </w:tcPr>
          <w:p>
            <w:pPr>
              <w:ind w:left="220"/>
              <w:spacing w:after="0"/>
              <w:rPr>
                <w:sz w:val="20"/>
                <w:szCs w:val="20"/>
                <w:color w:val="auto"/>
              </w:rPr>
            </w:pPr>
            <w:r>
              <w:rPr>
                <w:rFonts w:ascii="Arial" w:cs="Arial" w:eastAsia="Arial" w:hAnsi="Arial"/>
                <w:sz w:val="18"/>
                <w:szCs w:val="18"/>
                <w:color w:val="auto"/>
              </w:rPr>
              <w:t>Change in allowance for credit losses</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(19,554)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244,517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Transaction and acquisition expenses</w:t>
            </w: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4,998</w:t>
            </w:r>
          </w:p>
        </w:tc>
      </w:tr>
      <w:tr>
        <w:trPr>
          <w:trHeight w:val="223"/>
        </w:trPr>
        <w:tc>
          <w:tcPr>
            <w:tcW w:w="508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75,631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321,018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52,299</w:t>
            </w:r>
          </w:p>
        </w:tc>
      </w:tr>
      <w:tr>
        <w:trPr>
          <w:trHeight w:val="270"/>
        </w:trPr>
        <w:tc>
          <w:tcPr>
            <w:tcW w:w="50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30"/>
        </w:trPr>
        <w:tc>
          <w:tcPr>
            <w:tcW w:w="508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(392,390)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(308,605)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(248,384)</w:t>
            </w:r>
          </w:p>
        </w:tc>
      </w:tr>
      <w:tr>
        <w:trPr>
          <w:trHeight w:val="23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20,014</w:t>
            </w:r>
          </w:p>
        </w:tc>
      </w:tr>
      <w:tr>
        <w:trPr>
          <w:trHeight w:val="230"/>
        </w:trPr>
        <w:tc>
          <w:tcPr>
            <w:tcW w:w="5080" w:type="dxa"/>
            <w:vAlign w:val="bottom"/>
          </w:tcPr>
          <w:p>
            <w:pPr>
              <w:ind w:left="220"/>
              <w:spacing w:after="0"/>
              <w:rPr>
                <w:sz w:val="20"/>
                <w:szCs w:val="20"/>
                <w:color w:val="auto"/>
              </w:rPr>
            </w:pPr>
            <w:r>
              <w:rPr>
                <w:rFonts w:ascii="Arial" w:cs="Arial" w:eastAsia="Arial" w:hAnsi="Arial"/>
                <w:sz w:val="18"/>
                <w:szCs w:val="18"/>
                <w:color w:val="auto"/>
              </w:rPr>
              <w:t>Loss from extinguishment of debt</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(15,622)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(39,059)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(58,143)</w:t>
            </w:r>
          </w:p>
        </w:tc>
      </w:tr>
      <w:tr>
        <w:trPr>
          <w:trHeight w:val="229"/>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upon lease modification</w:t>
            </w:r>
          </w:p>
        </w:tc>
        <w:tc>
          <w:tcPr>
            <w:tcW w:w="4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333,352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4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1,026,045</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897,039</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555,986</w:t>
            </w:r>
          </w:p>
        </w:tc>
      </w:tr>
      <w:tr>
        <w:trPr>
          <w:trHeight w:val="229"/>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expense</w:t>
            </w: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w:t>
            </w: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1,023,158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896,208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554,281</w:t>
            </w:r>
          </w:p>
        </w:tc>
      </w:tr>
      <w:tr>
        <w:trPr>
          <w:trHeight w:val="23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Net income attributable to non-controlling interest</w:t>
            </w: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(8,317)</w:t>
            </w: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1,013,851</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891,674</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545,964</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29"/>
        </w:trPr>
        <w:tc>
          <w:tcPr>
            <w:tcW w:w="50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Net income per common share</w:t>
            </w: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5080" w:type="dxa"/>
            <w:vAlign w:val="bottom"/>
          </w:tcPr>
          <w:p>
            <w:pPr>
              <w:ind w:left="220"/>
              <w:spacing w:after="0"/>
              <w:rPr>
                <w:sz w:val="20"/>
                <w:szCs w:val="20"/>
                <w:color w:val="auto"/>
              </w:rPr>
            </w:pPr>
            <w:r>
              <w:rPr>
                <w:rFonts w:ascii="Arial" w:cs="Arial" w:eastAsia="Arial" w:hAnsi="Arial"/>
                <w:sz w:val="18"/>
                <w:szCs w:val="18"/>
                <w:color w:val="auto"/>
              </w:rPr>
              <w:t>Diluted</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9"/>
                <w:szCs w:val="19"/>
                <w:color w:val="auto"/>
              </w:rPr>
            </w:pPr>
          </w:p>
        </w:tc>
        <w:tc>
          <w:tcPr>
            <w:tcW w:w="460" w:type="dxa"/>
            <w:vAlign w:val="bottom"/>
          </w:tcPr>
          <w:p>
            <w:pPr>
              <w:jc w:val="right"/>
              <w:ind w:right="271"/>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162"/>
        </w:trPr>
        <w:tc>
          <w:tcPr>
            <w:tcW w:w="50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Weighted average number of common shares outstanding</w:t>
            </w: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564,467,362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506,140,642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435,071,096</w:t>
            </w:r>
          </w:p>
        </w:tc>
      </w:tr>
      <w:tr>
        <w:trPr>
          <w:trHeight w:val="229"/>
        </w:trPr>
        <w:tc>
          <w:tcPr>
            <w:tcW w:w="5080" w:type="dxa"/>
            <w:vAlign w:val="bottom"/>
          </w:tcPr>
          <w:p>
            <w:pPr>
              <w:ind w:left="220"/>
              <w:spacing w:after="0"/>
              <w:rPr>
                <w:sz w:val="20"/>
                <w:szCs w:val="20"/>
                <w:color w:val="auto"/>
              </w:rPr>
            </w:pPr>
            <w:r>
              <w:rPr>
                <w:rFonts w:ascii="Arial" w:cs="Arial" w:eastAsia="Arial" w:hAnsi="Arial"/>
                <w:sz w:val="18"/>
                <w:szCs w:val="18"/>
                <w:color w:val="auto"/>
              </w:rPr>
              <w:t>Diluted</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577,066,292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510,908,755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439,152,946</w:t>
            </w:r>
          </w:p>
        </w:tc>
      </w:tr>
      <w:tr>
        <w:trPr>
          <w:trHeight w:val="162"/>
        </w:trPr>
        <w:tc>
          <w:tcPr>
            <w:tcW w:w="50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Other comprehensive income</w:t>
            </w: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1,013,851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891,674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545,964</w:t>
            </w:r>
          </w:p>
        </w:tc>
      </w:tr>
      <w:tr>
        <w:trPr>
          <w:trHeight w:val="229"/>
        </w:trPr>
        <w:tc>
          <w:tcPr>
            <w:tcW w:w="5080" w:type="dxa"/>
            <w:vAlign w:val="bottom"/>
          </w:tcPr>
          <w:p>
            <w:pPr>
              <w:ind w:left="220"/>
              <w:spacing w:after="0"/>
              <w:rPr>
                <w:sz w:val="20"/>
                <w:szCs w:val="20"/>
                <w:color w:val="auto"/>
              </w:rPr>
            </w:pPr>
            <w:r>
              <w:rPr>
                <w:rFonts w:ascii="Arial" w:cs="Arial" w:eastAsia="Arial" w:hAnsi="Arial"/>
                <w:sz w:val="18"/>
                <w:szCs w:val="18"/>
                <w:color w:val="auto"/>
              </w:rPr>
              <w:t>Unrealized gain (loss) on cash flow hedges</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29,166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(27,443)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(42,954)</w:t>
            </w:r>
          </w:p>
        </w:tc>
      </w:tr>
      <w:tr>
        <w:trPr>
          <w:trHeight w:val="23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0"/>
              </w:rPr>
              <w:t>Reclassification of realized loss on cash flow hedges to net income</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64,239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rPr>
              <w:t>Comprehensive income attributable to common stockholders</w:t>
            </w: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1,107,256</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864,231</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503,010</w:t>
            </w:r>
          </w:p>
        </w:tc>
      </w:tr>
      <w:tr>
        <w:trPr>
          <w:trHeight w:val="20"/>
        </w:trPr>
        <w:tc>
          <w:tcPr>
            <w:tcW w:w="50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CONSOLIDATED STATEMENTS OF STOCKHOLDERS’ EQUITY</w:t>
      </w:r>
    </w:p>
    <w:p>
      <w:pPr>
        <w:jc w:val="center"/>
        <w:spacing w:after="0"/>
        <w:rPr>
          <w:sz w:val="20"/>
          <w:szCs w:val="20"/>
          <w:color w:val="auto"/>
        </w:rPr>
      </w:pPr>
      <w:r>
        <w:rPr>
          <w:rFonts w:ascii="Arial" w:cs="Arial" w:eastAsia="Arial" w:hAnsi="Arial"/>
          <w:sz w:val="20"/>
          <w:szCs w:val="20"/>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 Paid-in</w:t>
            </w:r>
          </w:p>
        </w:tc>
        <w:tc>
          <w:tcPr>
            <w:tcW w:w="14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Accumulated Other</w:t>
            </w:r>
          </w:p>
        </w:tc>
        <w:tc>
          <w:tcPr>
            <w:tcW w:w="180" w:type="dxa"/>
            <w:vAlign w:val="bottom"/>
          </w:tcPr>
          <w:p>
            <w:pPr>
              <w:spacing w:after="0"/>
              <w:rPr>
                <w:sz w:val="14"/>
                <w:szCs w:val="14"/>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Total VICI</w:t>
            </w:r>
          </w:p>
        </w:tc>
        <w:tc>
          <w:tcPr>
            <w:tcW w:w="11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Non-controlling</w:t>
            </w: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Total Stockholders’</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Common Stock</w:t>
            </w:r>
          </w:p>
        </w:tc>
        <w:tc>
          <w:tcPr>
            <w:tcW w:w="12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1180" w:type="dxa"/>
            <w:vAlign w:val="bottom"/>
            <w:gridSpan w:val="3"/>
            <w:vMerge w:val="continue"/>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32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180" w:type="dxa"/>
            <w:vAlign w:val="bottom"/>
          </w:tcPr>
          <w:p>
            <w:pPr>
              <w:spacing w:after="0"/>
              <w:rPr>
                <w:sz w:val="16"/>
                <w:szCs w:val="16"/>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Equity</w:t>
            </w:r>
          </w:p>
        </w:tc>
        <w:tc>
          <w:tcPr>
            <w:tcW w:w="20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Interest</w:t>
            </w:r>
          </w:p>
        </w:tc>
        <w:tc>
          <w:tcPr>
            <w:tcW w:w="280" w:type="dxa"/>
            <w:vAlign w:val="bottom"/>
          </w:tcPr>
          <w:p>
            <w:pPr>
              <w:spacing w:after="0"/>
              <w:rPr>
                <w:sz w:val="16"/>
                <w:szCs w:val="16"/>
                <w:color w:val="auto"/>
              </w:rPr>
            </w:pPr>
          </w:p>
        </w:tc>
        <w:tc>
          <w:tcPr>
            <w:tcW w:w="1020" w:type="dxa"/>
            <w:vAlign w:val="bottom"/>
          </w:tcPr>
          <w:p>
            <w:pPr>
              <w:jc w:val="right"/>
              <w:ind w:right="359"/>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1"/>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0"/>
              </w:rPr>
              <w:t>Balance as of December 31, 2018</w:t>
            </w:r>
          </w:p>
        </w:tc>
        <w:tc>
          <w:tcPr>
            <w:tcW w:w="360" w:type="dxa"/>
            <w:vAlign w:val="bottom"/>
            <w:tcBorders>
              <w:top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6,648,430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(22,124)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187,096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6,817,449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83,573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6,901,022</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545,964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545,964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8,317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554,281</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 stock, net</w:t>
            </w: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1,163,983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1,164,545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1,164,545</w:t>
            </w:r>
          </w:p>
        </w:tc>
        <w:tc>
          <w:tcPr>
            <w:tcW w:w="0" w:type="dxa"/>
            <w:vAlign w:val="bottom"/>
          </w:tcPr>
          <w:p>
            <w:pPr>
              <w:spacing w:after="0"/>
              <w:rPr>
                <w:sz w:val="1"/>
                <w:szCs w:val="1"/>
                <w:color w:val="auto"/>
              </w:rPr>
            </w:pPr>
          </w:p>
        </w:tc>
      </w:tr>
      <w:tr>
        <w:trPr>
          <w:trHeight w:val="166"/>
        </w:trPr>
        <w:tc>
          <w:tcPr>
            <w:tcW w:w="2320" w:type="dxa"/>
            <w:vAlign w:val="bottom"/>
          </w:tcPr>
          <w:p>
            <w:pPr>
              <w:ind w:left="20"/>
              <w:spacing w:after="0" w:line="166" w:lineRule="exact"/>
              <w:rPr>
                <w:sz w:val="20"/>
                <w:szCs w:val="20"/>
                <w:color w:val="auto"/>
              </w:rPr>
            </w:pPr>
            <w:r>
              <w:rPr>
                <w:rFonts w:ascii="Arial" w:cs="Arial" w:eastAsia="Arial" w:hAnsi="Arial"/>
                <w:sz w:val="16"/>
                <w:szCs w:val="16"/>
                <w:color w:val="auto"/>
              </w:rPr>
              <w:t>Distributions to non-controlling</w:t>
            </w:r>
          </w:p>
        </w:tc>
        <w:tc>
          <w:tcPr>
            <w:tcW w:w="360" w:type="dxa"/>
            <w:vAlign w:val="bottom"/>
          </w:tcPr>
          <w:p>
            <w:pPr>
              <w:spacing w:after="0"/>
              <w:rPr>
                <w:sz w:val="14"/>
                <w:szCs w:val="14"/>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(8,084)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(8,084)</w:t>
            </w:r>
          </w:p>
        </w:tc>
        <w:tc>
          <w:tcPr>
            <w:tcW w:w="0" w:type="dxa"/>
            <w:vAlign w:val="bottom"/>
          </w:tcPr>
          <w:p>
            <w:pPr>
              <w:spacing w:after="0"/>
              <w:rPr>
                <w:sz w:val="1"/>
                <w:szCs w:val="1"/>
                <w:color w:val="auto"/>
              </w:rPr>
            </w:pPr>
          </w:p>
        </w:tc>
      </w:tr>
      <w:tr>
        <w:trPr>
          <w:trHeight w:val="209"/>
        </w:trPr>
        <w:tc>
          <w:tcPr>
            <w:tcW w:w="2320" w:type="dxa"/>
            <w:vAlign w:val="bottom"/>
          </w:tcPr>
          <w:p>
            <w:pPr>
              <w:ind w:left="20"/>
              <w:spacing w:after="0"/>
              <w:rPr>
                <w:sz w:val="20"/>
                <w:szCs w:val="20"/>
                <w:color w:val="auto"/>
              </w:rPr>
            </w:pPr>
            <w:r>
              <w:rPr>
                <w:rFonts w:ascii="Arial" w:cs="Arial" w:eastAsia="Arial" w:hAnsi="Arial"/>
                <w:sz w:val="16"/>
                <w:szCs w:val="16"/>
                <w:color w:val="auto"/>
              </w:rPr>
              <w:t>interest</w:t>
            </w:r>
          </w:p>
        </w:tc>
        <w:tc>
          <w:tcPr>
            <w:tcW w:w="36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3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8"/>
              </w:rPr>
              <w:t>Dividends declared ($1.1700 per</w:t>
            </w:r>
          </w:p>
        </w:tc>
        <w:tc>
          <w:tcPr>
            <w:tcW w:w="36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(524,991)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(524,991)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(524,991)</w:t>
            </w:r>
          </w:p>
        </w:tc>
        <w:tc>
          <w:tcPr>
            <w:tcW w:w="0" w:type="dxa"/>
            <w:vAlign w:val="bottom"/>
          </w:tcPr>
          <w:p>
            <w:pPr>
              <w:spacing w:after="0"/>
              <w:rPr>
                <w:sz w:val="1"/>
                <w:szCs w:val="1"/>
                <w:color w:val="auto"/>
              </w:rPr>
            </w:pPr>
          </w:p>
        </w:tc>
      </w:tr>
      <w:tr>
        <w:trPr>
          <w:trHeight w:val="212"/>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share)</w:t>
            </w:r>
          </w:p>
        </w:tc>
        <w:tc>
          <w:tcPr>
            <w:tcW w:w="36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320" w:type="dxa"/>
            <w:vAlign w:val="bottom"/>
          </w:tcPr>
          <w:p>
            <w:pPr>
              <w:ind w:left="20"/>
              <w:spacing w:after="0" w:line="166" w:lineRule="exact"/>
              <w:rPr>
                <w:sz w:val="20"/>
                <w:szCs w:val="20"/>
                <w:color w:val="auto"/>
              </w:rPr>
            </w:pPr>
            <w:r>
              <w:rPr>
                <w:rFonts w:ascii="Arial" w:cs="Arial" w:eastAsia="Arial" w:hAnsi="Arial"/>
                <w:sz w:val="16"/>
                <w:szCs w:val="16"/>
                <w:color w:val="auto"/>
                <w:w w:val="94"/>
              </w:rPr>
              <w:t>Stock-based compensation, net of</w:t>
            </w:r>
          </w:p>
        </w:tc>
        <w:tc>
          <w:tcPr>
            <w:tcW w:w="3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5,169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5,170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5,170</w:t>
            </w:r>
          </w:p>
        </w:tc>
        <w:tc>
          <w:tcPr>
            <w:tcW w:w="0" w:type="dxa"/>
            <w:vAlign w:val="bottom"/>
          </w:tcPr>
          <w:p>
            <w:pPr>
              <w:spacing w:after="0"/>
              <w:rPr>
                <w:sz w:val="1"/>
                <w:szCs w:val="1"/>
                <w:color w:val="auto"/>
              </w:rPr>
            </w:pPr>
          </w:p>
        </w:tc>
      </w:tr>
      <w:tr>
        <w:trPr>
          <w:trHeight w:val="209"/>
        </w:trPr>
        <w:tc>
          <w:tcPr>
            <w:tcW w:w="2320" w:type="dxa"/>
            <w:vAlign w:val="bottom"/>
          </w:tcPr>
          <w:p>
            <w:pPr>
              <w:ind w:left="20"/>
              <w:spacing w:after="0"/>
              <w:rPr>
                <w:sz w:val="20"/>
                <w:szCs w:val="20"/>
                <w:color w:val="auto"/>
              </w:rPr>
            </w:pPr>
            <w:r>
              <w:rPr>
                <w:rFonts w:ascii="Arial" w:cs="Arial" w:eastAsia="Arial" w:hAnsi="Arial"/>
                <w:sz w:val="16"/>
                <w:szCs w:val="16"/>
                <w:color w:val="auto"/>
              </w:rPr>
              <w:t>forfeitures</w:t>
            </w:r>
          </w:p>
        </w:tc>
        <w:tc>
          <w:tcPr>
            <w:tcW w:w="3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3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Unrealized loss on cash flow</w:t>
            </w:r>
          </w:p>
        </w:tc>
        <w:tc>
          <w:tcPr>
            <w:tcW w:w="36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(42,954)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(42,954)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(42,954)</w:t>
            </w:r>
          </w:p>
        </w:tc>
        <w:tc>
          <w:tcPr>
            <w:tcW w:w="0" w:type="dxa"/>
            <w:vAlign w:val="bottom"/>
          </w:tcPr>
          <w:p>
            <w:pPr>
              <w:spacing w:after="0"/>
              <w:rPr>
                <w:sz w:val="1"/>
                <w:szCs w:val="1"/>
                <w:color w:val="auto"/>
              </w:rPr>
            </w:pPr>
          </w:p>
        </w:tc>
      </w:tr>
      <w:tr>
        <w:trPr>
          <w:trHeight w:val="212"/>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hedges</w:t>
            </w:r>
          </w:p>
        </w:tc>
        <w:tc>
          <w:tcPr>
            <w:tcW w:w="36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w w:val="90"/>
              </w:rPr>
              <w:t>Balance as of December 31, 2019</w:t>
            </w:r>
          </w:p>
        </w:tc>
        <w:tc>
          <w:tcPr>
            <w:tcW w:w="36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4,610</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7,817,582</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(65,078)</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208,069</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7,965,183</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83,806</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8,048,989</w:t>
            </w:r>
          </w:p>
        </w:tc>
        <w:tc>
          <w:tcPr>
            <w:tcW w:w="0" w:type="dxa"/>
            <w:vAlign w:val="bottom"/>
          </w:tcPr>
          <w:p>
            <w:pPr>
              <w:spacing w:after="0"/>
              <w:rPr>
                <w:sz w:val="1"/>
                <w:szCs w:val="1"/>
                <w:color w:val="auto"/>
              </w:rPr>
            </w:pPr>
          </w:p>
        </w:tc>
      </w:tr>
      <w:tr>
        <w:trPr>
          <w:trHeight w:val="149"/>
        </w:trPr>
        <w:tc>
          <w:tcPr>
            <w:tcW w:w="232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rPr>
              <w:t>Cumulative effect of adoption of</w:t>
            </w:r>
          </w:p>
        </w:tc>
        <w:tc>
          <w:tcPr>
            <w:tcW w:w="3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(307,114)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(307,114)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(2,248)</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(309,362)</w:t>
            </w:r>
          </w:p>
        </w:tc>
        <w:tc>
          <w:tcPr>
            <w:tcW w:w="0" w:type="dxa"/>
            <w:vAlign w:val="bottom"/>
          </w:tcPr>
          <w:p>
            <w:pPr>
              <w:spacing w:after="0"/>
              <w:rPr>
                <w:sz w:val="1"/>
                <w:szCs w:val="1"/>
                <w:color w:val="auto"/>
              </w:rPr>
            </w:pPr>
          </w:p>
        </w:tc>
      </w:tr>
      <w:tr>
        <w:trPr>
          <w:trHeight w:val="212"/>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ASC 326</w:t>
            </w:r>
          </w:p>
        </w:tc>
        <w:tc>
          <w:tcPr>
            <w:tcW w:w="36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891,674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891,674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896,208</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common stock, net</w:t>
            </w: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1,538,778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1,539,533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1,539,533</w:t>
            </w:r>
          </w:p>
        </w:tc>
        <w:tc>
          <w:tcPr>
            <w:tcW w:w="0" w:type="dxa"/>
            <w:vAlign w:val="bottom"/>
          </w:tcPr>
          <w:p>
            <w:pPr>
              <w:spacing w:after="0"/>
              <w:rPr>
                <w:sz w:val="1"/>
                <w:szCs w:val="1"/>
                <w:color w:val="auto"/>
              </w:rPr>
            </w:pPr>
          </w:p>
        </w:tc>
      </w:tr>
      <w:tr>
        <w:trPr>
          <w:trHeight w:val="166"/>
        </w:trPr>
        <w:tc>
          <w:tcPr>
            <w:tcW w:w="2320" w:type="dxa"/>
            <w:vAlign w:val="bottom"/>
          </w:tcPr>
          <w:p>
            <w:pPr>
              <w:ind w:left="20"/>
              <w:spacing w:after="0" w:line="166" w:lineRule="exact"/>
              <w:rPr>
                <w:sz w:val="20"/>
                <w:szCs w:val="20"/>
                <w:color w:val="auto"/>
              </w:rPr>
            </w:pPr>
            <w:r>
              <w:rPr>
                <w:rFonts w:ascii="Arial" w:cs="Arial" w:eastAsia="Arial" w:hAnsi="Arial"/>
                <w:sz w:val="16"/>
                <w:szCs w:val="16"/>
                <w:color w:val="auto"/>
              </w:rPr>
              <w:t>Distributions to non-controlling</w:t>
            </w:r>
          </w:p>
        </w:tc>
        <w:tc>
          <w:tcPr>
            <w:tcW w:w="360" w:type="dxa"/>
            <w:vAlign w:val="bottom"/>
          </w:tcPr>
          <w:p>
            <w:pPr>
              <w:spacing w:after="0"/>
              <w:rPr>
                <w:sz w:val="14"/>
                <w:szCs w:val="14"/>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(8,186)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(8,186)</w:t>
            </w:r>
          </w:p>
        </w:tc>
        <w:tc>
          <w:tcPr>
            <w:tcW w:w="0" w:type="dxa"/>
            <w:vAlign w:val="bottom"/>
          </w:tcPr>
          <w:p>
            <w:pPr>
              <w:spacing w:after="0"/>
              <w:rPr>
                <w:sz w:val="1"/>
                <w:szCs w:val="1"/>
                <w:color w:val="auto"/>
              </w:rPr>
            </w:pPr>
          </w:p>
        </w:tc>
      </w:tr>
      <w:tr>
        <w:trPr>
          <w:trHeight w:val="209"/>
        </w:trPr>
        <w:tc>
          <w:tcPr>
            <w:tcW w:w="2320" w:type="dxa"/>
            <w:vAlign w:val="bottom"/>
          </w:tcPr>
          <w:p>
            <w:pPr>
              <w:ind w:left="20"/>
              <w:spacing w:after="0"/>
              <w:rPr>
                <w:sz w:val="20"/>
                <w:szCs w:val="20"/>
                <w:color w:val="auto"/>
              </w:rPr>
            </w:pPr>
            <w:r>
              <w:rPr>
                <w:rFonts w:ascii="Arial" w:cs="Arial" w:eastAsia="Arial" w:hAnsi="Arial"/>
                <w:sz w:val="16"/>
                <w:szCs w:val="16"/>
                <w:color w:val="auto"/>
              </w:rPr>
              <w:t>interest</w:t>
            </w:r>
          </w:p>
        </w:tc>
        <w:tc>
          <w:tcPr>
            <w:tcW w:w="36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3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8"/>
              </w:rPr>
              <w:t>Dividends declared ($1.2550 per</w:t>
            </w:r>
          </w:p>
        </w:tc>
        <w:tc>
          <w:tcPr>
            <w:tcW w:w="36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(653,175)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(653,175)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(653,175)</w:t>
            </w:r>
          </w:p>
        </w:tc>
        <w:tc>
          <w:tcPr>
            <w:tcW w:w="0" w:type="dxa"/>
            <w:vAlign w:val="bottom"/>
          </w:tcPr>
          <w:p>
            <w:pPr>
              <w:spacing w:after="0"/>
              <w:rPr>
                <w:sz w:val="1"/>
                <w:szCs w:val="1"/>
                <w:color w:val="auto"/>
              </w:rPr>
            </w:pPr>
          </w:p>
        </w:tc>
      </w:tr>
      <w:tr>
        <w:trPr>
          <w:trHeight w:val="212"/>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share)</w:t>
            </w:r>
          </w:p>
        </w:tc>
        <w:tc>
          <w:tcPr>
            <w:tcW w:w="36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320" w:type="dxa"/>
            <w:vAlign w:val="bottom"/>
          </w:tcPr>
          <w:p>
            <w:pPr>
              <w:ind w:left="20"/>
              <w:spacing w:after="0" w:line="166" w:lineRule="exact"/>
              <w:rPr>
                <w:sz w:val="20"/>
                <w:szCs w:val="20"/>
                <w:color w:val="auto"/>
              </w:rPr>
            </w:pPr>
            <w:r>
              <w:rPr>
                <w:rFonts w:ascii="Arial" w:cs="Arial" w:eastAsia="Arial" w:hAnsi="Arial"/>
                <w:sz w:val="16"/>
                <w:szCs w:val="16"/>
                <w:color w:val="auto"/>
                <w:w w:val="94"/>
              </w:rPr>
              <w:t>Stock-based compensation, net of</w:t>
            </w:r>
          </w:p>
        </w:tc>
        <w:tc>
          <w:tcPr>
            <w:tcW w:w="3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7,179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7,181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7,181</w:t>
            </w:r>
          </w:p>
        </w:tc>
        <w:tc>
          <w:tcPr>
            <w:tcW w:w="0" w:type="dxa"/>
            <w:vAlign w:val="bottom"/>
          </w:tcPr>
          <w:p>
            <w:pPr>
              <w:spacing w:after="0"/>
              <w:rPr>
                <w:sz w:val="1"/>
                <w:szCs w:val="1"/>
                <w:color w:val="auto"/>
              </w:rPr>
            </w:pPr>
          </w:p>
        </w:tc>
      </w:tr>
      <w:tr>
        <w:trPr>
          <w:trHeight w:val="209"/>
        </w:trPr>
        <w:tc>
          <w:tcPr>
            <w:tcW w:w="2320" w:type="dxa"/>
            <w:vAlign w:val="bottom"/>
          </w:tcPr>
          <w:p>
            <w:pPr>
              <w:ind w:left="20"/>
              <w:spacing w:after="0"/>
              <w:rPr>
                <w:sz w:val="20"/>
                <w:szCs w:val="20"/>
                <w:color w:val="auto"/>
              </w:rPr>
            </w:pPr>
            <w:r>
              <w:rPr>
                <w:rFonts w:ascii="Arial" w:cs="Arial" w:eastAsia="Arial" w:hAnsi="Arial"/>
                <w:sz w:val="16"/>
                <w:szCs w:val="16"/>
                <w:color w:val="auto"/>
              </w:rPr>
              <w:t>forfeitures</w:t>
            </w:r>
          </w:p>
        </w:tc>
        <w:tc>
          <w:tcPr>
            <w:tcW w:w="3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3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Unrealized loss on cash flow</w:t>
            </w:r>
          </w:p>
        </w:tc>
        <w:tc>
          <w:tcPr>
            <w:tcW w:w="36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(27,443)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(27,443)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(27,443)</w:t>
            </w:r>
          </w:p>
        </w:tc>
        <w:tc>
          <w:tcPr>
            <w:tcW w:w="0" w:type="dxa"/>
            <w:vAlign w:val="bottom"/>
          </w:tcPr>
          <w:p>
            <w:pPr>
              <w:spacing w:after="0"/>
              <w:rPr>
                <w:sz w:val="1"/>
                <w:szCs w:val="1"/>
                <w:color w:val="auto"/>
              </w:rPr>
            </w:pPr>
          </w:p>
        </w:tc>
      </w:tr>
      <w:tr>
        <w:trPr>
          <w:trHeight w:val="212"/>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hedges</w:t>
            </w:r>
          </w:p>
        </w:tc>
        <w:tc>
          <w:tcPr>
            <w:tcW w:w="36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w w:val="90"/>
              </w:rPr>
              <w:t>Balance as of December 31, 2020</w:t>
            </w:r>
          </w:p>
        </w:tc>
        <w:tc>
          <w:tcPr>
            <w:tcW w:w="36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5,367</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9,363,539</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(92,521)</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139,454</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9,415,839</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77,906</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9,493,745</w:t>
            </w:r>
          </w:p>
        </w:tc>
        <w:tc>
          <w:tcPr>
            <w:tcW w:w="0" w:type="dxa"/>
            <w:vAlign w:val="bottom"/>
          </w:tcPr>
          <w:p>
            <w:pPr>
              <w:spacing w:after="0"/>
              <w:rPr>
                <w:sz w:val="1"/>
                <w:szCs w:val="1"/>
                <w:color w:val="auto"/>
              </w:rPr>
            </w:pPr>
          </w:p>
        </w:tc>
      </w:tr>
      <w:tr>
        <w:trPr>
          <w:trHeight w:val="213"/>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1,013,851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1,013,851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1,023,158</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Issuance of common stock, net</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2,383,896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2,384,815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2,384,815</w:t>
            </w:r>
          </w:p>
        </w:tc>
        <w:tc>
          <w:tcPr>
            <w:tcW w:w="0" w:type="dxa"/>
            <w:vAlign w:val="bottom"/>
          </w:tcPr>
          <w:p>
            <w:pPr>
              <w:spacing w:after="0"/>
              <w:rPr>
                <w:sz w:val="1"/>
                <w:szCs w:val="1"/>
                <w:color w:val="auto"/>
              </w:rPr>
            </w:pPr>
          </w:p>
        </w:tc>
      </w:tr>
      <w:tr>
        <w:trPr>
          <w:trHeight w:val="169"/>
        </w:trPr>
        <w:tc>
          <w:tcPr>
            <w:tcW w:w="23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Distributions to non-controlling</w:t>
            </w:r>
          </w:p>
        </w:tc>
        <w:tc>
          <w:tcPr>
            <w:tcW w:w="36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(8,307)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(8,307)</w:t>
            </w:r>
          </w:p>
        </w:tc>
        <w:tc>
          <w:tcPr>
            <w:tcW w:w="0" w:type="dxa"/>
            <w:vAlign w:val="bottom"/>
          </w:tcPr>
          <w:p>
            <w:pPr>
              <w:spacing w:after="0"/>
              <w:rPr>
                <w:sz w:val="1"/>
                <w:szCs w:val="1"/>
                <w:color w:val="auto"/>
              </w:rPr>
            </w:pPr>
          </w:p>
        </w:tc>
      </w:tr>
      <w:tr>
        <w:trPr>
          <w:trHeight w:val="212"/>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w:t>
            </w:r>
          </w:p>
        </w:tc>
        <w:tc>
          <w:tcPr>
            <w:tcW w:w="36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320" w:type="dxa"/>
            <w:vAlign w:val="bottom"/>
          </w:tcPr>
          <w:p>
            <w:pPr>
              <w:ind w:left="20"/>
              <w:spacing w:after="0" w:line="166" w:lineRule="exact"/>
              <w:rPr>
                <w:sz w:val="20"/>
                <w:szCs w:val="20"/>
                <w:color w:val="auto"/>
              </w:rPr>
            </w:pPr>
            <w:r>
              <w:rPr>
                <w:rFonts w:ascii="Arial" w:cs="Arial" w:eastAsia="Arial" w:hAnsi="Arial"/>
                <w:sz w:val="16"/>
                <w:szCs w:val="16"/>
                <w:color w:val="auto"/>
                <w:w w:val="98"/>
              </w:rPr>
              <w:t>Dividends declared ($1.3800 per</w:t>
            </w:r>
          </w:p>
        </w:tc>
        <w:tc>
          <w:tcPr>
            <w:tcW w:w="360" w:type="dxa"/>
            <w:vAlign w:val="bottom"/>
          </w:tcPr>
          <w:p>
            <w:pPr>
              <w:spacing w:after="0"/>
              <w:rPr>
                <w:sz w:val="14"/>
                <w:szCs w:val="14"/>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(807,279)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(807,279)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(807,279)</w:t>
            </w:r>
          </w:p>
        </w:tc>
        <w:tc>
          <w:tcPr>
            <w:tcW w:w="0" w:type="dxa"/>
            <w:vAlign w:val="bottom"/>
          </w:tcPr>
          <w:p>
            <w:pPr>
              <w:spacing w:after="0"/>
              <w:rPr>
                <w:sz w:val="1"/>
                <w:szCs w:val="1"/>
                <w:color w:val="auto"/>
              </w:rPr>
            </w:pPr>
          </w:p>
        </w:tc>
      </w:tr>
      <w:tr>
        <w:trPr>
          <w:trHeight w:val="209"/>
        </w:trPr>
        <w:tc>
          <w:tcPr>
            <w:tcW w:w="2320" w:type="dxa"/>
            <w:vAlign w:val="bottom"/>
          </w:tcPr>
          <w:p>
            <w:pPr>
              <w:ind w:left="20"/>
              <w:spacing w:after="0"/>
              <w:rPr>
                <w:sz w:val="20"/>
                <w:szCs w:val="20"/>
                <w:color w:val="auto"/>
              </w:rPr>
            </w:pPr>
            <w:r>
              <w:rPr>
                <w:rFonts w:ascii="Arial" w:cs="Arial" w:eastAsia="Arial" w:hAnsi="Arial"/>
                <w:sz w:val="16"/>
                <w:szCs w:val="16"/>
                <w:color w:val="auto"/>
              </w:rPr>
              <w:t>common share)</w:t>
            </w:r>
          </w:p>
        </w:tc>
        <w:tc>
          <w:tcPr>
            <w:tcW w:w="36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3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4"/>
              </w:rPr>
              <w:t>Stock-based compensation, net of</w:t>
            </w:r>
          </w:p>
        </w:tc>
        <w:tc>
          <w:tcPr>
            <w:tcW w:w="3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7,634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7,637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7,637</w:t>
            </w:r>
          </w:p>
        </w:tc>
        <w:tc>
          <w:tcPr>
            <w:tcW w:w="0" w:type="dxa"/>
            <w:vAlign w:val="bottom"/>
          </w:tcPr>
          <w:p>
            <w:pPr>
              <w:spacing w:after="0"/>
              <w:rPr>
                <w:sz w:val="1"/>
                <w:szCs w:val="1"/>
                <w:color w:val="auto"/>
              </w:rPr>
            </w:pPr>
          </w:p>
        </w:tc>
      </w:tr>
      <w:tr>
        <w:trPr>
          <w:trHeight w:val="212"/>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forfeitures</w:t>
            </w:r>
          </w:p>
        </w:tc>
        <w:tc>
          <w:tcPr>
            <w:tcW w:w="3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320" w:type="dxa"/>
            <w:vAlign w:val="bottom"/>
          </w:tcPr>
          <w:p>
            <w:pPr>
              <w:ind w:left="20"/>
              <w:spacing w:after="0" w:line="166" w:lineRule="exact"/>
              <w:rPr>
                <w:sz w:val="20"/>
                <w:szCs w:val="20"/>
                <w:color w:val="auto"/>
              </w:rPr>
            </w:pPr>
            <w:r>
              <w:rPr>
                <w:rFonts w:ascii="Arial" w:cs="Arial" w:eastAsia="Arial" w:hAnsi="Arial"/>
                <w:sz w:val="16"/>
                <w:szCs w:val="16"/>
                <w:color w:val="auto"/>
              </w:rPr>
              <w:t>Unrealized gain on cash flow</w:t>
            </w:r>
          </w:p>
        </w:tc>
        <w:tc>
          <w:tcPr>
            <w:tcW w:w="360" w:type="dxa"/>
            <w:vAlign w:val="bottom"/>
          </w:tcPr>
          <w:p>
            <w:pPr>
              <w:spacing w:after="0"/>
              <w:rPr>
                <w:sz w:val="14"/>
                <w:szCs w:val="14"/>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29,166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29,166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29,166</w:t>
            </w:r>
          </w:p>
        </w:tc>
        <w:tc>
          <w:tcPr>
            <w:tcW w:w="0" w:type="dxa"/>
            <w:vAlign w:val="bottom"/>
          </w:tcPr>
          <w:p>
            <w:pPr>
              <w:spacing w:after="0"/>
              <w:rPr>
                <w:sz w:val="1"/>
                <w:szCs w:val="1"/>
                <w:color w:val="auto"/>
              </w:rPr>
            </w:pPr>
          </w:p>
        </w:tc>
      </w:tr>
      <w:tr>
        <w:trPr>
          <w:trHeight w:val="209"/>
        </w:trPr>
        <w:tc>
          <w:tcPr>
            <w:tcW w:w="2320" w:type="dxa"/>
            <w:vAlign w:val="bottom"/>
          </w:tcPr>
          <w:p>
            <w:pPr>
              <w:ind w:left="20"/>
              <w:spacing w:after="0"/>
              <w:rPr>
                <w:sz w:val="20"/>
                <w:szCs w:val="20"/>
                <w:color w:val="auto"/>
              </w:rPr>
            </w:pPr>
            <w:r>
              <w:rPr>
                <w:rFonts w:ascii="Arial" w:cs="Arial" w:eastAsia="Arial" w:hAnsi="Arial"/>
                <w:sz w:val="16"/>
                <w:szCs w:val="16"/>
                <w:color w:val="auto"/>
              </w:rPr>
              <w:t>hedges</w:t>
            </w:r>
          </w:p>
        </w:tc>
        <w:tc>
          <w:tcPr>
            <w:tcW w:w="36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3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3"/>
              </w:rPr>
              <w:t>Reclassification of realized loss on</w:t>
            </w:r>
          </w:p>
        </w:tc>
        <w:tc>
          <w:tcPr>
            <w:tcW w:w="36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64,239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64,239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64,239</w:t>
            </w:r>
          </w:p>
        </w:tc>
        <w:tc>
          <w:tcPr>
            <w:tcW w:w="0" w:type="dxa"/>
            <w:vAlign w:val="bottom"/>
          </w:tcPr>
          <w:p>
            <w:pPr>
              <w:spacing w:after="0"/>
              <w:rPr>
                <w:sz w:val="1"/>
                <w:szCs w:val="1"/>
                <w:color w:val="auto"/>
              </w:rPr>
            </w:pPr>
          </w:p>
        </w:tc>
      </w:tr>
      <w:tr>
        <w:trPr>
          <w:trHeight w:val="20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 hedges to net income</w:t>
            </w:r>
          </w:p>
        </w:tc>
        <w:tc>
          <w:tcPr>
            <w:tcW w:w="36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b w:val="1"/>
                <w:bCs w:val="1"/>
                <w:color w:val="auto"/>
                <w:w w:val="90"/>
              </w:rPr>
              <w:t>Balance as of December 31, 2021</w:t>
            </w:r>
          </w:p>
        </w:tc>
        <w:tc>
          <w:tcPr>
            <w:tcW w:w="36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6,289</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11,755,069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884</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346,026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12,108,268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78,906</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12,187,174</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VICI PROPERTIES INC.</w:t>
      </w:r>
    </w:p>
    <w:p>
      <w:pPr>
        <w:jc w:val="center"/>
        <w:ind w:right="-19"/>
        <w:spacing w:after="0"/>
        <w:rPr>
          <w:sz w:val="20"/>
          <w:szCs w:val="20"/>
          <w:color w:val="auto"/>
        </w:rPr>
      </w:pPr>
      <w:r>
        <w:rPr>
          <w:rFonts w:ascii="Arial" w:cs="Arial" w:eastAsia="Arial" w:hAnsi="Arial"/>
          <w:sz w:val="20"/>
          <w:szCs w:val="20"/>
          <w:b w:val="1"/>
          <w:bCs w:val="1"/>
          <w:color w:val="auto"/>
        </w:rPr>
        <w:t>CONSOLIDATED STATEMENTS OF CASH FLOWS</w:t>
      </w:r>
    </w:p>
    <w:p>
      <w:pPr>
        <w:jc w:val="center"/>
        <w:ind w:right="-19"/>
        <w:spacing w:after="0"/>
        <w:rPr>
          <w:sz w:val="20"/>
          <w:szCs w:val="20"/>
          <w:color w:val="auto"/>
        </w:rPr>
      </w:pPr>
      <w:r>
        <w:rPr>
          <w:rFonts w:ascii="Arial" w:cs="Arial" w:eastAsia="Arial" w:hAnsi="Arial"/>
          <w:sz w:val="20"/>
          <w:szCs w:val="20"/>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64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6"/>
                <w:szCs w:val="16"/>
                <w:b w:val="1"/>
                <w:bCs w:val="1"/>
                <w:color w:val="auto"/>
                <w:w w:val="91"/>
              </w:rPr>
              <w:t>Year Ended December 31,</w:t>
            </w:r>
          </w:p>
        </w:tc>
        <w:tc>
          <w:tcPr>
            <w:tcW w:w="1160" w:type="dxa"/>
            <w:vAlign w:val="bottom"/>
            <w:tcBorders>
              <w:bottom w:val="single" w:sz="8" w:color="auto"/>
            </w:tcBorders>
          </w:tcPr>
          <w:p>
            <w:pPr>
              <w:spacing w:after="0"/>
              <w:rPr>
                <w:sz w:val="18"/>
                <w:szCs w:val="18"/>
                <w:color w:val="auto"/>
              </w:rPr>
            </w:pPr>
          </w:p>
        </w:tc>
      </w:tr>
      <w:tr>
        <w:trPr>
          <w:trHeight w:val="207"/>
        </w:trPr>
        <w:tc>
          <w:tcPr>
            <w:tcW w:w="64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2021</w:t>
            </w: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6"/>
                <w:szCs w:val="16"/>
                <w:b w:val="1"/>
                <w:bCs w:val="1"/>
                <w:color w:val="auto"/>
              </w:rPr>
              <w:t>2019</w:t>
            </w:r>
          </w:p>
        </w:tc>
      </w:tr>
      <w:tr>
        <w:trPr>
          <w:trHeight w:val="215"/>
        </w:trPr>
        <w:tc>
          <w:tcPr>
            <w:tcW w:w="64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Cash flows from operating activities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6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1,023,158</w:t>
            </w:r>
          </w:p>
        </w:tc>
        <w:tc>
          <w:tcPr>
            <w:tcW w:w="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896,208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554,281</w:t>
            </w:r>
          </w:p>
        </w:tc>
      </w:tr>
      <w:tr>
        <w:trPr>
          <w:trHeight w:val="230"/>
        </w:trPr>
        <w:tc>
          <w:tcPr>
            <w:tcW w:w="6460" w:type="dxa"/>
            <w:vAlign w:val="bottom"/>
          </w:tcPr>
          <w:p>
            <w:pPr>
              <w:ind w:left="220"/>
              <w:spacing w:after="0"/>
              <w:rPr>
                <w:sz w:val="20"/>
                <w:szCs w:val="20"/>
                <w:color w:val="auto"/>
              </w:rPr>
            </w:pPr>
            <w:r>
              <w:rPr>
                <w:rFonts w:ascii="Arial" w:cs="Arial" w:eastAsia="Arial" w:hAnsi="Arial"/>
                <w:sz w:val="18"/>
                <w:szCs w:val="18"/>
                <w:color w:val="auto"/>
                <w:w w:val="94"/>
              </w:rPr>
              <w:t>Adjustments to reconcile net income to cash flows provided by operating activities: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Non-cash leasing and financing adjustments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(119,969)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29"/>
        </w:trPr>
        <w:tc>
          <w:tcPr>
            <w:tcW w:w="6460" w:type="dxa"/>
            <w:vAlign w:val="bottom"/>
          </w:tcPr>
          <w:p>
            <w:pPr>
              <w:ind w:left="46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9,371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5,223</w:t>
            </w:r>
          </w:p>
        </w:tc>
      </w:tr>
      <w:tr>
        <w:trPr>
          <w:trHeight w:val="230"/>
        </w:trPr>
        <w:tc>
          <w:tcPr>
            <w:tcW w:w="6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Depreciation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w:t>
            </w:r>
          </w:p>
        </w:tc>
      </w:tr>
      <w:tr>
        <w:trPr>
          <w:trHeight w:val="229"/>
        </w:trPr>
        <w:tc>
          <w:tcPr>
            <w:tcW w:w="6460" w:type="dxa"/>
            <w:vAlign w:val="bottom"/>
          </w:tcPr>
          <w:p>
            <w:pPr>
              <w:ind w:left="460"/>
              <w:spacing w:after="0"/>
              <w:rPr>
                <w:sz w:val="20"/>
                <w:szCs w:val="20"/>
                <w:color w:val="auto"/>
              </w:rPr>
            </w:pPr>
            <w:r>
              <w:rPr>
                <w:rFonts w:ascii="Arial" w:cs="Arial" w:eastAsia="Arial" w:hAnsi="Arial"/>
                <w:sz w:val="18"/>
                <w:szCs w:val="18"/>
                <w:color w:val="auto"/>
              </w:rPr>
              <w:t>Amortization of debt issuance costs and original issue discount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71,452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19,872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33,034</w:t>
            </w:r>
          </w:p>
        </w:tc>
      </w:tr>
      <w:tr>
        <w:trPr>
          <w:trHeight w:val="229"/>
        </w:trPr>
        <w:tc>
          <w:tcPr>
            <w:tcW w:w="6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Change in allowance for credit losses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60" w:type="dxa"/>
            <w:vAlign w:val="bottom"/>
          </w:tcPr>
          <w:p>
            <w:pPr>
              <w:ind w:left="460"/>
              <w:spacing w:after="0"/>
              <w:rPr>
                <w:sz w:val="20"/>
                <w:szCs w:val="20"/>
                <w:color w:val="auto"/>
              </w:rPr>
            </w:pPr>
            <w:r>
              <w:rPr>
                <w:rFonts w:ascii="Arial" w:cs="Arial" w:eastAsia="Arial" w:hAnsi="Arial"/>
                <w:sz w:val="18"/>
                <w:szCs w:val="18"/>
                <w:color w:val="auto"/>
              </w:rPr>
              <w:t>Loss on extinguishment of debt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15,622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39,059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58,143</w:t>
            </w:r>
          </w:p>
        </w:tc>
      </w:tr>
      <w:tr>
        <w:trPr>
          <w:trHeight w:val="229"/>
        </w:trPr>
        <w:tc>
          <w:tcPr>
            <w:tcW w:w="6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Gain upon lease modification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60" w:type="dxa"/>
            <w:vAlign w:val="bottom"/>
          </w:tcPr>
          <w:p>
            <w:pPr>
              <w:ind w:left="220"/>
              <w:spacing w:after="0"/>
              <w:rPr>
                <w:sz w:val="20"/>
                <w:szCs w:val="20"/>
                <w:color w:val="auto"/>
              </w:rPr>
            </w:pPr>
            <w:r>
              <w:rPr>
                <w:rFonts w:ascii="Arial" w:cs="Arial" w:eastAsia="Arial" w:hAnsi="Arial"/>
                <w:sz w:val="18"/>
                <w:szCs w:val="18"/>
                <w:color w:val="auto"/>
              </w:rPr>
              <w:t>Change in operating assets and liabilities: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(5,635)</w:t>
            </w:r>
          </w:p>
        </w:tc>
      </w:tr>
      <w:tr>
        <w:trPr>
          <w:trHeight w:val="229"/>
        </w:trPr>
        <w:tc>
          <w:tcPr>
            <w:tcW w:w="6460" w:type="dxa"/>
            <w:vAlign w:val="bottom"/>
          </w:tcPr>
          <w:p>
            <w:pPr>
              <w:ind w:left="460"/>
              <w:spacing w:after="0"/>
              <w:rPr>
                <w:sz w:val="20"/>
                <w:szCs w:val="20"/>
                <w:color w:val="auto"/>
              </w:rPr>
            </w:pPr>
            <w:r>
              <w:rPr>
                <w:rFonts w:ascii="Arial" w:cs="Arial" w:eastAsia="Arial" w:hAnsi="Arial"/>
                <w:sz w:val="18"/>
                <w:szCs w:val="18"/>
                <w:color w:val="auto"/>
              </w:rPr>
              <w:t>Accrued expenses and deferred revenue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(88,127)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49,588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32,704</w:t>
            </w:r>
          </w:p>
        </w:tc>
      </w:tr>
      <w:tr>
        <w:trPr>
          <w:trHeight w:val="230"/>
        </w:trPr>
        <w:tc>
          <w:tcPr>
            <w:tcW w:w="64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23"/>
        </w:trPr>
        <w:tc>
          <w:tcPr>
            <w:tcW w:w="646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896,350</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883,640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682,159</w:t>
            </w:r>
          </w:p>
        </w:tc>
      </w:tr>
      <w:tr>
        <w:trPr>
          <w:trHeight w:val="237"/>
        </w:trPr>
        <w:tc>
          <w:tcPr>
            <w:tcW w:w="64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Cash flows from investing activities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 in leases - sales-type and direct financing</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(1,407,260)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(1,812,404)</w:t>
            </w:r>
          </w:p>
        </w:tc>
      </w:tr>
      <w:tr>
        <w:trPr>
          <w:trHeight w:val="229"/>
        </w:trPr>
        <w:tc>
          <w:tcPr>
            <w:tcW w:w="6460" w:type="dxa"/>
            <w:vAlign w:val="bottom"/>
          </w:tcPr>
          <w:p>
            <w:pPr>
              <w:ind w:left="220"/>
              <w:spacing w:after="0"/>
              <w:rPr>
                <w:sz w:val="20"/>
                <w:szCs w:val="20"/>
                <w:color w:val="auto"/>
              </w:rPr>
            </w:pPr>
            <w:r>
              <w:rPr>
                <w:rFonts w:ascii="Arial" w:cs="Arial" w:eastAsia="Arial" w:hAnsi="Arial"/>
                <w:sz w:val="18"/>
                <w:szCs w:val="18"/>
                <w:color w:val="auto"/>
              </w:rPr>
              <w:t>Investments in leases - financing receivables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(6,000)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(2,694,503)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 in loans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(33,614)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(535,476)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60" w:type="dxa"/>
            <w:vAlign w:val="bottom"/>
          </w:tcPr>
          <w:p>
            <w:pPr>
              <w:ind w:left="220"/>
              <w:spacing w:after="0"/>
              <w:rPr>
                <w:sz w:val="20"/>
                <w:szCs w:val="20"/>
                <w:color w:val="auto"/>
              </w:rPr>
            </w:pPr>
            <w:r>
              <w:rPr>
                <w:rFonts w:ascii="Arial" w:cs="Arial" w:eastAsia="Arial" w:hAnsi="Arial"/>
                <w:sz w:val="18"/>
                <w:szCs w:val="18"/>
                <w:color w:val="auto"/>
              </w:rPr>
              <w:t>Principal repayments of lease financing receivables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repayments of loan and receipts of deferred fees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70,448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60" w:type="dxa"/>
            <w:vAlign w:val="bottom"/>
          </w:tcPr>
          <w:p>
            <w:pPr>
              <w:ind w:left="220"/>
              <w:spacing w:after="0"/>
              <w:rPr>
                <w:sz w:val="20"/>
                <w:szCs w:val="20"/>
                <w:color w:val="auto"/>
              </w:rPr>
            </w:pPr>
            <w:r>
              <w:rPr>
                <w:rFonts w:ascii="Arial" w:cs="Arial" w:eastAsia="Arial" w:hAnsi="Arial"/>
                <w:sz w:val="18"/>
                <w:szCs w:val="18"/>
                <w:color w:val="auto"/>
              </w:rPr>
              <w:t>Capitalized transaction costs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(20,697)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(8,698)</w:t>
            </w:r>
          </w:p>
        </w:tc>
      </w:tr>
      <w:tr>
        <w:trPr>
          <w:trHeight w:val="229"/>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Investments in short-term investments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(440,353)</w:t>
            </w:r>
          </w:p>
        </w:tc>
      </w:tr>
      <w:tr>
        <w:trPr>
          <w:trHeight w:val="230"/>
        </w:trPr>
        <w:tc>
          <w:tcPr>
            <w:tcW w:w="6460" w:type="dxa"/>
            <w:vAlign w:val="bottom"/>
          </w:tcPr>
          <w:p>
            <w:pPr>
              <w:ind w:left="220"/>
              <w:spacing w:after="0"/>
              <w:rPr>
                <w:sz w:val="20"/>
                <w:szCs w:val="20"/>
                <w:color w:val="auto"/>
              </w:rPr>
            </w:pPr>
            <w:r>
              <w:rPr>
                <w:rFonts w:ascii="Arial" w:cs="Arial" w:eastAsia="Arial" w:hAnsi="Arial"/>
                <w:sz w:val="18"/>
                <w:szCs w:val="18"/>
                <w:color w:val="auto"/>
              </w:rPr>
              <w:t>Maturities of short-term investments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19,973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59,474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901,756</w:t>
            </w:r>
          </w:p>
        </w:tc>
      </w:tr>
      <w:tr>
        <w:trPr>
          <w:trHeight w:val="230"/>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sale of real estate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r>
      <w:tr>
        <w:trPr>
          <w:trHeight w:val="230"/>
        </w:trPr>
        <w:tc>
          <w:tcPr>
            <w:tcW w:w="64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Acquisition of property and equipment</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(2,505)</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(2,724)</w:t>
            </w:r>
          </w:p>
        </w:tc>
      </w:tr>
      <w:tr>
        <w:trPr>
          <w:trHeight w:val="223"/>
        </w:trPr>
        <w:tc>
          <w:tcPr>
            <w:tcW w:w="64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41,449</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(4,548,759)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(1,361,379)</w:t>
            </w:r>
          </w:p>
        </w:tc>
      </w:tr>
      <w:tr>
        <w:trPr>
          <w:trHeight w:val="236"/>
        </w:trPr>
        <w:tc>
          <w:tcPr>
            <w:tcW w:w="6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Cash flows from financing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460" w:type="dxa"/>
            <w:vAlign w:val="bottom"/>
          </w:tcPr>
          <w:p>
            <w:pPr>
              <w:ind w:left="220"/>
              <w:spacing w:after="0"/>
              <w:rPr>
                <w:sz w:val="20"/>
                <w:szCs w:val="20"/>
                <w:color w:val="auto"/>
              </w:rPr>
            </w:pPr>
            <w:r>
              <w:rPr>
                <w:rFonts w:ascii="Arial" w:cs="Arial" w:eastAsia="Arial" w:hAnsi="Arial"/>
                <w:sz w:val="18"/>
                <w:szCs w:val="18"/>
                <w:color w:val="auto"/>
              </w:rPr>
              <w:t>Proceeds from offering of common stock</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2,385,779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1,539,748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1,164,307</w:t>
            </w:r>
          </w:p>
        </w:tc>
      </w:tr>
      <w:tr>
        <w:trPr>
          <w:trHeight w:val="230"/>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February 2020 Senior Unsecured Notes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60" w:type="dxa"/>
            <w:vAlign w:val="bottom"/>
          </w:tcPr>
          <w:p>
            <w:pPr>
              <w:ind w:left="220"/>
              <w:spacing w:after="0"/>
              <w:rPr>
                <w:sz w:val="20"/>
                <w:szCs w:val="20"/>
                <w:color w:val="auto"/>
              </w:rPr>
            </w:pPr>
            <w:r>
              <w:rPr>
                <w:rFonts w:ascii="Arial" w:cs="Arial" w:eastAsia="Arial" w:hAnsi="Arial"/>
                <w:sz w:val="18"/>
                <w:szCs w:val="18"/>
                <w:color w:val="auto"/>
              </w:rPr>
              <w:t>Proceeds from November 2019 Senior Unsecured Notes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2,250,000</w:t>
            </w:r>
          </w:p>
        </w:tc>
      </w:tr>
      <w:tr>
        <w:trPr>
          <w:trHeight w:val="230"/>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Repayment of Term Loan B Facility</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60" w:type="dxa"/>
            <w:vAlign w:val="bottom"/>
          </w:tcPr>
          <w:p>
            <w:pPr>
              <w:ind w:left="220"/>
              <w:spacing w:after="0"/>
              <w:rPr>
                <w:sz w:val="20"/>
                <w:szCs w:val="20"/>
                <w:color w:val="auto"/>
              </w:rPr>
            </w:pPr>
            <w:r>
              <w:rPr>
                <w:rFonts w:ascii="Arial" w:cs="Arial" w:eastAsia="Arial" w:hAnsi="Arial"/>
                <w:sz w:val="18"/>
                <w:szCs w:val="18"/>
                <w:color w:val="auto"/>
              </w:rPr>
              <w:t>Redemption of Second Lien Notes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(537,538)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Repayment of CPLV CMBS Debt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(1,663,544)</w:t>
            </w:r>
          </w:p>
        </w:tc>
      </w:tr>
      <w:tr>
        <w:trPr>
          <w:trHeight w:val="229"/>
        </w:trPr>
        <w:tc>
          <w:tcPr>
            <w:tcW w:w="6460" w:type="dxa"/>
            <w:vAlign w:val="bottom"/>
          </w:tcPr>
          <w:p>
            <w:pPr>
              <w:ind w:left="220"/>
              <w:spacing w:after="0"/>
              <w:rPr>
                <w:sz w:val="20"/>
                <w:szCs w:val="20"/>
                <w:color w:val="auto"/>
              </w:rPr>
            </w:pPr>
            <w:r>
              <w:rPr>
                <w:rFonts w:ascii="Arial" w:cs="Arial" w:eastAsia="Arial" w:hAnsi="Arial"/>
                <w:sz w:val="18"/>
                <w:szCs w:val="18"/>
                <w:color w:val="auto"/>
              </w:rPr>
              <w:t>CPLV CMBS Debt prepayment penalty reimbursement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55,401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Repurchase of stock for tax withholding</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60" w:type="dxa"/>
            <w:vAlign w:val="bottom"/>
          </w:tcPr>
          <w:p>
            <w:pPr>
              <w:ind w:left="220"/>
              <w:spacing w:after="0"/>
              <w:rPr>
                <w:sz w:val="20"/>
                <w:szCs w:val="20"/>
                <w:color w:val="auto"/>
              </w:rPr>
            </w:pPr>
            <w:r>
              <w:rPr>
                <w:rFonts w:ascii="Arial" w:cs="Arial" w:eastAsia="Arial" w:hAnsi="Arial"/>
                <w:sz w:val="18"/>
                <w:szCs w:val="18"/>
                <w:color w:val="auto"/>
              </w:rPr>
              <w:t>Debt issuance costs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(31,126)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(57,794)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(56,055)</w:t>
            </w:r>
          </w:p>
        </w:tc>
      </w:tr>
      <w:tr>
        <w:trPr>
          <w:trHeight w:val="230"/>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non-controlling interest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(8,084)</w:t>
            </w:r>
          </w:p>
        </w:tc>
      </w:tr>
      <w:tr>
        <w:trPr>
          <w:trHeight w:val="229"/>
        </w:trPr>
        <w:tc>
          <w:tcPr>
            <w:tcW w:w="64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Dividends paid</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(758,790)</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(612,205)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(503,958)</w:t>
            </w:r>
          </w:p>
        </w:tc>
      </w:tr>
      <w:tr>
        <w:trPr>
          <w:trHeight w:val="223"/>
        </w:trPr>
        <w:tc>
          <w:tcPr>
            <w:tcW w:w="64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cash (used in) provided by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(514,178)</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2,879,219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1,182,666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VICI PROPERTIES INC.</w:t>
      </w:r>
    </w:p>
    <w:p>
      <w:pPr>
        <w:jc w:val="center"/>
        <w:ind w:right="-19"/>
        <w:spacing w:after="0"/>
        <w:rPr>
          <w:sz w:val="20"/>
          <w:szCs w:val="20"/>
          <w:color w:val="auto"/>
        </w:rPr>
      </w:pPr>
      <w:r>
        <w:rPr>
          <w:rFonts w:ascii="Arial" w:cs="Arial" w:eastAsia="Arial" w:hAnsi="Arial"/>
          <w:sz w:val="20"/>
          <w:szCs w:val="20"/>
          <w:b w:val="1"/>
          <w:bCs w:val="1"/>
          <w:color w:val="auto"/>
        </w:rPr>
        <w:t>CONSOLIDATED STATEMENTS OF CASH FLOWS</w:t>
      </w:r>
    </w:p>
    <w:p>
      <w:pPr>
        <w:jc w:val="center"/>
        <w:ind w:right="-19"/>
        <w:spacing w:after="0"/>
        <w:rPr>
          <w:sz w:val="20"/>
          <w:szCs w:val="20"/>
          <w:color w:val="auto"/>
        </w:rPr>
      </w:pPr>
      <w:r>
        <w:rPr>
          <w:rFonts w:ascii="Arial" w:cs="Arial" w:eastAsia="Arial" w:hAnsi="Arial"/>
          <w:sz w:val="20"/>
          <w:szCs w:val="20"/>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423,621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(785,900)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503,446</w:t>
            </w:r>
          </w:p>
        </w:tc>
        <w:tc>
          <w:tcPr>
            <w:tcW w:w="0" w:type="dxa"/>
            <w:vAlign w:val="bottom"/>
          </w:tcPr>
          <w:p>
            <w:pPr>
              <w:spacing w:after="0"/>
              <w:rPr>
                <w:sz w:val="1"/>
                <w:szCs w:val="1"/>
                <w:color w:val="auto"/>
              </w:rPr>
            </w:pPr>
          </w:p>
        </w:tc>
      </w:tr>
      <w:tr>
        <w:trPr>
          <w:trHeight w:val="23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315,993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1,101,893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598,447</w:t>
            </w:r>
          </w:p>
        </w:tc>
        <w:tc>
          <w:tcPr>
            <w:tcW w:w="0" w:type="dxa"/>
            <w:vAlign w:val="bottom"/>
          </w:tcPr>
          <w:p>
            <w:pPr>
              <w:spacing w:after="0"/>
              <w:rPr>
                <w:sz w:val="1"/>
                <w:szCs w:val="1"/>
                <w:color w:val="auto"/>
              </w:rPr>
            </w:pPr>
          </w:p>
        </w:tc>
      </w:tr>
      <w:tr>
        <w:trPr>
          <w:trHeight w:val="248"/>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739,614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315,993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1,101,893</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Supplemental cash flow information:</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60" w:type="dxa"/>
            <w:vAlign w:val="bottom"/>
          </w:tcPr>
          <w:p>
            <w:pPr>
              <w:ind w:left="220"/>
              <w:spacing w:after="0"/>
              <w:rPr>
                <w:sz w:val="20"/>
                <w:szCs w:val="20"/>
                <w:color w:val="auto"/>
              </w:rPr>
            </w:pPr>
            <w:r>
              <w:rPr>
                <w:rFonts w:ascii="Arial" w:cs="Arial" w:eastAsia="Arial" w:hAnsi="Arial"/>
                <w:sz w:val="18"/>
                <w:szCs w:val="18"/>
                <w:color w:val="auto"/>
              </w:rPr>
              <w:t>Cash paid for interest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323,219</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262,464</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209,379</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paid for income taxes</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0" w:type="dxa"/>
            <w:vAlign w:val="bottom"/>
          </w:tcPr>
          <w:p>
            <w:pPr>
              <w:spacing w:after="0"/>
              <w:rPr>
                <w:sz w:val="1"/>
                <w:szCs w:val="1"/>
                <w:color w:val="auto"/>
              </w:rPr>
            </w:pP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Supplemental non-cash investing and financing activity:</w:t>
            </w: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declared, not paid</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226,419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177,894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137,149</w:t>
            </w:r>
          </w:p>
        </w:tc>
        <w:tc>
          <w:tcPr>
            <w:tcW w:w="0" w:type="dxa"/>
            <w:vAlign w:val="bottom"/>
          </w:tcPr>
          <w:p>
            <w:pPr>
              <w:spacing w:after="0"/>
              <w:rPr>
                <w:sz w:val="1"/>
                <w:szCs w:val="1"/>
                <w:color w:val="auto"/>
              </w:rPr>
            </w:pPr>
          </w:p>
        </w:tc>
      </w:tr>
      <w:tr>
        <w:trPr>
          <w:trHeight w:val="229"/>
        </w:trPr>
        <w:tc>
          <w:tcPr>
            <w:tcW w:w="6460" w:type="dxa"/>
            <w:vAlign w:val="bottom"/>
          </w:tcPr>
          <w:p>
            <w:pPr>
              <w:ind w:left="220"/>
              <w:spacing w:after="0"/>
              <w:rPr>
                <w:sz w:val="20"/>
                <w:szCs w:val="20"/>
                <w:color w:val="auto"/>
              </w:rPr>
            </w:pPr>
            <w:r>
              <w:rPr>
                <w:rFonts w:ascii="Arial" w:cs="Arial" w:eastAsia="Arial" w:hAnsi="Arial"/>
                <w:sz w:val="18"/>
                <w:szCs w:val="18"/>
                <w:color w:val="auto"/>
              </w:rPr>
              <w:t>Debt issuance costs payable</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43,005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16,066</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transaction costs payable</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30"/>
        </w:trPr>
        <w:tc>
          <w:tcPr>
            <w:tcW w:w="6460" w:type="dxa"/>
            <w:vAlign w:val="bottom"/>
          </w:tcPr>
          <w:p>
            <w:pPr>
              <w:ind w:left="220"/>
              <w:spacing w:after="0"/>
              <w:rPr>
                <w:sz w:val="20"/>
                <w:szCs w:val="20"/>
                <w:color w:val="auto"/>
              </w:rPr>
            </w:pPr>
            <w:r>
              <w:rPr>
                <w:rFonts w:ascii="Arial" w:cs="Arial" w:eastAsia="Arial" w:hAnsi="Arial"/>
                <w:sz w:val="18"/>
                <w:szCs w:val="18"/>
                <w:color w:val="auto"/>
              </w:rPr>
              <w:t>Non-cash change in Investments in leases - financing receivables</w:t>
            </w: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21,139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8,116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Lease liabilities arising from obtaining right-of-use assets</w:t>
            </w:r>
          </w:p>
        </w:tc>
        <w:tc>
          <w:tcPr>
            <w:tcW w:w="4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282,054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26,516</w:t>
            </w:r>
          </w:p>
        </w:tc>
        <w:tc>
          <w:tcPr>
            <w:tcW w:w="0" w:type="dxa"/>
            <w:vAlign w:val="bottom"/>
          </w:tcPr>
          <w:p>
            <w:pPr>
              <w:spacing w:after="0"/>
              <w:rPr>
                <w:sz w:val="1"/>
                <w:szCs w:val="1"/>
                <w:color w:val="auto"/>
              </w:rPr>
            </w:pPr>
          </w:p>
        </w:tc>
      </w:tr>
      <w:tr>
        <w:trPr>
          <w:trHeight w:val="176"/>
        </w:trPr>
        <w:tc>
          <w:tcPr>
            <w:tcW w:w="6460" w:type="dxa"/>
            <w:vAlign w:val="bottom"/>
          </w:tcPr>
          <w:p>
            <w:pPr>
              <w:ind w:left="220"/>
              <w:spacing w:after="0" w:line="176" w:lineRule="exact"/>
              <w:rPr>
                <w:sz w:val="20"/>
                <w:szCs w:val="20"/>
                <w:color w:val="auto"/>
              </w:rPr>
            </w:pPr>
            <w:r>
              <w:rPr>
                <w:rFonts w:ascii="Arial" w:cs="Arial" w:eastAsia="Arial" w:hAnsi="Arial"/>
                <w:sz w:val="18"/>
                <w:szCs w:val="18"/>
                <w:color w:val="auto"/>
                <w:w w:val="90"/>
              </w:rPr>
              <w:t>Transfer of Investments in leases - operating to Investments in leases - sales-type and</w:t>
            </w: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60" w:type="dxa"/>
            <w:vAlign w:val="bottom"/>
          </w:tcPr>
          <w:p>
            <w:pPr>
              <w:ind w:left="220"/>
              <w:spacing w:after="0" w:line="176" w:lineRule="exact"/>
              <w:rPr>
                <w:sz w:val="20"/>
                <w:szCs w:val="20"/>
                <w:color w:val="auto"/>
              </w:rPr>
            </w:pPr>
            <w:r>
              <w:rPr>
                <w:rFonts w:ascii="Arial" w:cs="Arial" w:eastAsia="Arial" w:hAnsi="Arial"/>
                <w:sz w:val="18"/>
                <w:szCs w:val="18"/>
                <w:color w:val="auto"/>
                <w:w w:val="93"/>
              </w:rPr>
              <w:t>direct financing due to modification of the Caesars Lease Agreements in connection</w:t>
            </w:r>
          </w:p>
        </w:tc>
        <w:tc>
          <w:tcPr>
            <w:tcW w:w="46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1,023,179</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60" w:type="dxa"/>
            <w:vAlign w:val="bottom"/>
          </w:tcPr>
          <w:p>
            <w:pPr>
              <w:ind w:left="220"/>
              <w:spacing w:after="0"/>
              <w:rPr>
                <w:sz w:val="20"/>
                <w:szCs w:val="20"/>
                <w:color w:val="auto"/>
              </w:rPr>
            </w:pPr>
            <w:r>
              <w:rPr>
                <w:rFonts w:ascii="Arial" w:cs="Arial" w:eastAsia="Arial" w:hAnsi="Arial"/>
                <w:sz w:val="18"/>
                <w:szCs w:val="18"/>
                <w:color w:val="auto"/>
              </w:rPr>
              <w:t>with the Eldorado Transaction</w:t>
            </w:r>
          </w:p>
        </w:tc>
        <w:tc>
          <w:tcPr>
            <w:tcW w:w="4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4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9"/>
              </w:rPr>
              <w:t>Transfer of Investments in leases - operating to Land due to modification of the</w:t>
            </w:r>
          </w:p>
        </w:tc>
        <w:tc>
          <w:tcPr>
            <w:tcW w:w="46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63,479</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Caesars Lease Agreements in connection with the Eldorado Transaction</w:t>
            </w:r>
          </w:p>
        </w:tc>
        <w:tc>
          <w:tcPr>
            <w:tcW w:w="46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Pr>
          <w:p>
            <w:pPr>
              <w:ind w:left="220"/>
              <w:spacing w:after="0"/>
              <w:rPr>
                <w:sz w:val="20"/>
                <w:szCs w:val="20"/>
                <w:color w:val="auto"/>
              </w:rPr>
            </w:pPr>
            <w:r>
              <w:rPr>
                <w:rFonts w:ascii="Arial" w:cs="Arial" w:eastAsia="Arial" w:hAnsi="Arial"/>
                <w:sz w:val="18"/>
                <w:szCs w:val="18"/>
                <w:color w:val="auto"/>
                <w:w w:val="97"/>
              </w:rPr>
              <w:t>CPLV CMBS Debt prepayment penalty reimbursement receivable from Caesars</w:t>
            </w:r>
          </w:p>
        </w:tc>
        <w:tc>
          <w:tcPr>
            <w:tcW w:w="4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55,401</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 these notes, the words “VICI,” the “Company,” “we,” “our,” and “us” refer to VICI Properties Inc. and its subsidiaries, on a consolidated basis, unless otherwise stated or the context requires otherwise.</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We refer to (i) our Consolidated Financial Statements as our “Financial Statements,” (ii) our Consolidated Balance Sheets as our “Balance Sheet,” (iii) our Consolidated Statements of Operations and Comprehensive Income as our “Statement of Operations,” and (iv) our Consolidated Statement of Cash Flows as our “Statement of Cash Flows.” References to numbered “Notes” refer to the Notes to our Consolidated Financial Statements.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“2025 Notes” refers to $750.0 million aggregate principal amount of 3.500% senior unsecured notes due 2025 issued by the Operating Partnership and VICI Note Co. Inc., as Co-Issuer, in February 2020.</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“2026 Notes” refers to $1.25 billion aggregate principal amount of 4.250% senior unsecured notes due 2026 issued by the Operating Partnership and VICI Note Co. Inc., as Co-Issuer, in November 2019.</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“2027 Notes” refers to $750.0 million aggregate principal amount of 3.750% senior unsecured notes due 2027 issued by the Operating Partnership and VICI Note Co. Inc., as Co-Issuer, in February 2020.</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“2029 Notes” refers to $1.0 billion aggregate principal amount of 4.625% senior unsecured notes due 2029 issued by the Operating Partnership and VICI Note Co. Inc., as Co-Issuer, in November 2019.</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“2030 Notes” refers to $1.0 billion aggregate principal amount of 4.125% senior unsecured notes due 2030 issued by the Operating Partnership and VICI Note Co. Inc., as Co-Issuer, in February 2020.</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“Apollo” refers to Apollo Global Management, Inc., a Delaware corporation, and, as the context requires, certain of its subsidiaries and affiliates.</w:t>
      </w:r>
    </w:p>
    <w:p>
      <w:pPr>
        <w:spacing w:after="0" w:line="1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“BREIT JV” refers to the joint venture between MGP and Blackstone Real Estate Income Trust, Inc. in which the Company will retain MGP’s existing 50.1% ownership stake following the closing of the MGP Transactions.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“Caesars” refers to Caesars Entertainment, Inc., a Delaware corporation, formerly Eldorado, following the consummation of the Eldorado/Caesars Merger on July 20, 2020 and Eldorado’s conversion to a Delaware corporation.</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“Caesars Forum Convention Center” refers to the Caesars Forum Convention Center in Las Vegas, Nevada, and the approximately 28 acres of land upon which the Caesars Forum Convention Center is built and/or otherwise used in connection with or necessary for the operation of the Caesars Forum Convention Center.</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“Caesars Lease Agreements” refer collectively to (i) prior to the consummation of the Eldorado Transaction, the CPLV Lease Agreement, the Non-CPLV Lease Agreement, the Joliet Lease Agreement and the HLV Lease Agreement, and (ii) from and after the consummation of the Eldorado Transaction, the Las Vegas Master Lease Agreement, the Regional Master Lease Agreement and the Joliet Lease Agreement, in each case, unless the context otherwise requires.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“Caesars Southern Indiana” refers to the real estate assets associated with the Caesars Southern Indiana Casino and Hotel, located in Elizabeth, Indiana, the operations of which were purchased by EBCI from Caesars on September 3, 2021, and which retained the Caesars brand name in accordance with the terms of a licensing agreement negotiated between EBCI and Caesars.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“Century Casinos” refers to Century Casinos, Inc., a Delaware corporation, and, as the context requires, its subsidiaries.</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“Century Portfolio” refers to the real estate assets associated with the (i) Mountaineer Casino, Racetrack &amp; Resort located in New Cumberland, West Virginia, (ii) Century Casino Caruthersville located in Caruthersville, Missouri and (iii) Century Casino Cape Girardeau located in Cape Girardeau, Missouri, which we purchased on December 6,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“Century Portfolio Lease Agreement” refers to the lease agreement for the Century Portfolio, as amended from time to 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“Co-Issuer” refers to VICI Note Co. Inc., a Delaware corporation, and co-issuer of the Senior Unsecured Notes.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“CPLV CMBS Debt” refers to $1.55 billion of asset-level real estate mortgage financing of Caesars Palace Las Vegas, incurred by a subsidiary of the Operating Partnership on October 6, 2017 and repaid in full on November 26, 2019.</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“CPLV Lease Agreement” refers to the lease agreement for Caesars Palace Las Vegas, as amended from time to time, which was combined with the HLV Lease Agreement into the Las Vegas Master Lease Agreement upon the consummation of the Eldorado Transaction.</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“Credit Agreement” refers to the Credit Agreement, dated as of February 8, 2022, by and among the Operating Partnership, the lenders from time to time party thereto, and JPMorgan Chase Bank, N.A., as administrative agent, as amended from time to time.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 refers collectively to the Delayed Draw Term Loan and the Revolving Credit Facility.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“Delayed Draw Term Loan” refers to the three-year unsecured delayed draw term loan facility of the Operating Partnership provided under the Credit Agreement.</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“EBCI” refers to the Eastern Band of Cherokee Indians, a federally recognized Tribe located in western North Carolina, and, as the context requires, its subsidiary and affiliate entities.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“EBCI Lease Agreement” refers to the lease agreement for Caesars Southern Indiana, as amended from time to time.</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“Eldorado” refers to Eldorado Resorts, Inc., a Nevada corporation, and, as the context requires, its subsidiaries. Following the consummation of the Eldorado/Caesars Merger on July 20, 2020, Eldorado converted to a Delaware corporation and changed its name to Caesars Entertainment, Inc.</w:t>
      </w:r>
    </w:p>
    <w:p>
      <w:pPr>
        <w:spacing w:after="0" w:line="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“Eldorado Master Transaction Agreement” or “Eldorado MTA” refers to the Master Transaction Agreement dated June 24, 2019 with Eldorado relating to the Eldorado Transaction. The Eldorado MTA was previously referred to as the “Master Transaction Agreement” or “MTA”.</w:t>
      </w:r>
    </w:p>
    <w:p>
      <w:pPr>
        <w:spacing w:after="0" w:line="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“Eldorado Transaction” refers to a series of transactions between us and Eldorado in connection with the Eldorado/Caesars Merger, including the acquisition of the Harrah’s Original Call Properties, modifications to the Caesars Lease Agreements, and rights of first refusal.</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“Eldorado/Caesars Merger” refers to the merger consummated on July 20, 2020 under an Agreement and Plan of Merger pursuant to which a subsidiary of Eldorado merged with and into Pre-Merger Caesars, with Pre-Merger Caesars surviving as a wholly owned subsidiary of Caesars (which changed its name from Eldorado in connection with the closing of the Eldorado/Caesars Merger).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“February 2020 Senior Unsecured Notes” refers collectively to the 2025 Notes, the 2027 Notes and the 2030 Notes.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“Greektown” refers to the real estate assets associated with the Greektown Casino-Hotel, located in Detroit, Michigan, which we purchased on May 23,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“Greektown Lease Agreement” refers to the lease agreement for Greektown, as amended from time to 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“Hard Rock” means Seminole Hard Rock International, LLC, and, as the context requires, its subsidiary and affiliate entities.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“Hard Rock Cincinnati” refers to the casino-entitled land and real estate and related assets associated with the Hard Rock Cincinnati Casino, located in Cincinnati, Ohio, which we purchased on September 20,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“Hard Rock Cincinnati Lease Agreement” refers to the lease agreement for Hard Rock Cincinnati, as amended from time to time.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“Harrah’s Original Call Properties” refers to the land and real estate assets associated with Harrah’s New Orleans, Harrah’s Laughlin and Harrah’s Atlantic City, which we purchased on July 20, 2020 upon the consummation of the Eldorado Transaction. The Harrah’s Original Call Properties were previously referred to as the “MTA Properties”.</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“HLV Lease Agreement” refers to the lease agreement for the Harrah’s Las Vegas facilities, as amended from time to time, which was combined with the CPLV Lease Agreement into the Las Vegas Master Lease Agreement upon the consummation of the Eldorado Transaction.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“JACK Entertainment” refers to JACK Ohio LLC, and, as the context requires, its subsidiary and affiliate entities.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“JACK Cleveland/Thistledown” refers to the casino-entitled land and real estate and related assets associated with the JACK Cleveland Casino located in Cleveland, Ohio, and the video lottery gaming and pari-mutuel wagering authorized land and real estate and related assets of JACK Thistledown Racino located in North Randall, Ohio, which we purchased on January 24, 2020.</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“JACK Cleveland/Thistledown Lease Agreement” refers to the lease agreement for JACK Cleveland/Thistledown, as amended from time to time.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“Joliet Lease Agreement” refers to the lease agreement for the facility in Joliet, Illinois, as amended from time to time.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“Las Vegas Master Lease Agreement” refers to the lease agreement for Caesars Palace Las Vegas and the Harrah’s Las Vegas facilities, as amended from time to time, from and after the consummation of the Eldorado Transaction.</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“Lease Agreements” refer collectively to the Caesars Lease Agreements, the Penn National Lease Agreements, the Hard Rock Cincinnati Lease Agreement, the Century Portfolio Lease Agreement, the JACK Cleveland/Thistledown Lease Agreement, the EBCI Lease Agreement and the Venetian Lease Agreement, unless the context otherwise requires.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“Margaritaville” refers to the real estate of Margaritaville Resort Casino, located in Bossier City, Louisiana, which we purchased on January 2, 2019.</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“Margaritaville Lease Agreement” refers to the lease agreement for Margaritaville, as amended from time to time.</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“Mergers” refers to a series of transactions contemplated under the MGP Master Transaction Agreement, consisting of (i) the contribution of our interest in the Operating Partnership to New VICI Operating Company, which will serve as our new operating company, followed by (ii) the merger of MGP with and into REIT Merger Sub, with REIT Merger Sub surviving the merger, followed by (iii) the distribution by REIT Merger Sub of the interests of the general partner of MGP OP to the Operating Partnership and, (iv) the merger of REIT Merger Sub with and into MGP OP, with MGP OP surviving such merger.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“MGM” refers to MGM Resorts International, a Delaware corporation, and, as the context requires, its subsidiaries.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“MGM Master Lease Agreement” refers to the form of amended and restated triple-net master lease to be entered into by us and MGM with respect to certain MGM properties that will be owned by us upon consummation of the MGP Transactions.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“MGM Tax Protection Agreement” refers to the form of tax protection agreement that we have agreed to enter into with MGM upon consummation of the MGP Transactions.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“MGP” refers to MGM Growth Properties LLC, a Delaware limited liability company, and, as the context requires, its subsidiaries.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“MGP Master Transaction Agreement” refers to that certain Master Transaction Agreement between the Company, MGP, MGP OP, the Operating Partnership, Venus Sub LLC, a Delaware limited liability company and wholly owned subsidiary of the Operating Partnership (“REIT Merger Sub”), VICI Properties OP LLC, a Delaware limited liability company and indirect wholly owned subsidiary of the Company (“New VICI Operating Company”), and MGM entered into on August 4, 2021.</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“MGP OP” refers to MGM Growth Properties Operating Partnership LP, a Delaware limited partnership, and, as the context requires, its subsidiaries.</w:t>
      </w:r>
    </w:p>
    <w:p>
      <w:pPr>
        <w:spacing w:after="0" w:line="18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“MGP OP Notes” refers collectively to the notes issued by MGP OP and MGP Finance Co-Issuer, Inc. (“MGP Co-Issuer” and, together with MGP OP, the “MGP Issuers”), consisting of (i) the 5.625% Senior Notes due 2024 issued pursuant to the indenture, dated as of April 20, 2016, (ii) the 4.625% Senior Notes due 2025 issued pursuant to the indenture, dated as of June 5, 2020, (iii) the 4.500% Senior Notes due 2026 issued pursuant to the indenture, dated as of August 12, 2016, (iv) the 5.750% Senior Notes due 2027 issued pursuant to the indenture, dated as of January 25, 2019, (v) the 4.500% Senior Notes due 2028 issued pursuant to the indenture, dated as of September 21, 2017, and (vi) the 3.875% Senior Notes due 2029 issued pursuant to the indenture, dated as of November 19, 2020, in each case, as amended or supplemented as of the date hereof, among the MGP Issuers, the subsidiary guarantors party thereto (the “MGP Subsidiary Guarantors”) and U.S. Bank National Association, as trustee (the “MGP Trustee”).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“MGP Transactions” refers, collectively, to a series of transactions pursuant to the MGP Master Transaction Agreement between us, MGP and MGM and the other parties thereto in connection with our acquisition of MGP, as contemplated by the MGP Master Transaction Agreement, including the MGM Tax Protection Agreement and the MGM Master Lease Agreement.</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“Non-CPLV Lease Agreement” refers to the lease agreement for regional properties (other than the facility in Joliet, Illinois) leased to Pre-Merger Caesars prior to the consummation of the Eldorado Transaction, as amended from time to time, which was replaced by the Regional Master Lease Agreement upon the consummation of the Eldorado Transaction.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“November 2019 Senior Unsecured Notes” refers collectively to the 2026 Notes and the 2029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Partnership” refers to VICI Properties L.P., a Delaware limited partnership and a wholly owned subsidiary of VICI.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“Penn National” refers to Penn National Gaming, Inc., a Pennsylvania corporation, and, as the context requires, its subsidiaries.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“Penn National Lease Agreements” refer collectively to the Margaritaville Lease Agreement and the Greektown Lease Agreement, unless the context otherwise requires.</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“Pre-Merger Caesars” refers to Caesars Entertainment Corporation, a Delaware corporation, and, as the context requires, its subsidiaries. Following the consummation of the Eldorado/Caesars Merger on July 20, 2020, Pre-Merger Caesars became a wholly owned subsidiary of Caesars.</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“Regional Master Lease Agreement” refers to the lease agreement for the regional properties (other than the facility in Joliet, Illinois) leased to Caesars, as amended from time to time, from and after the consummation of the Eldorado Transaction.</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“Revolving Credit Facility” refers to the four-year unsecured revolving credit facility of the Operating Partnership provided under the Credit Agreement.</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“Second Lien Notes” refers to $766.9 million aggregate principal amount of 8.0% second priority senior secured notes due 2023 issued by a subsidiary of the Operating Partnership in October 2017, the remaining $498.5 million aggregate principal amount outstanding as of December 31, 2019 of which was redeemed in full on February 20, 2020.</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“Secured Revolving Credit Facility” refers to the five-year first lien revolving credit facility entered into by VICI PropCo in December 2017, as amended, which was terminated on February 8, 2022.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“Seminole Hard Rock” means Seminole Hard Rock Entertainment, Inc.</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“Term Loan B Facility” refers to the seven-year senior secured first lien term loan B facility entered into by VICI PropCo in December 2017, as amended from time to time, which was repaid in full on September 15,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“Venetian Acquisition” refers to our acquisition of the Venetian Resort, with Apollo, which closed on February 23,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“Venetian Lease Agreement” refers to the lease agreement for the Venetian Resort.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“Venetian Resort” refers to the land and real estate assets associated with the Venetian Resort Las Vegas and Venetian Expo, located in Las Vegas, Nevada, which we purchased on February 23, 2022.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“Venetian Tenant” refers to an affiliate of certain funds managed by affiliates of Apollo.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“VICI Golf” refers to VICI Golf LLC, a Delaware limited liability company that is the owner and operator of our golf segment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“VICI Issuers” refers to VICI Properties L.P., a Delaware limited partnership and VICI Note Co. Inc., a Delaware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“VICI PropCo” refers to VICI Properties 1 LLC, a Delaware limited liability company and an indirect wholly owned subsidiary of VICI.</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 Business and Organization</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a Maryland corporation that is primarily engaged in the business of owning and acquiring gaming, hospitality and entertainment destinations, subject to long-term triple net leases. Our national, geographically diverse portfolio consisted of 27 market-leading properties, including Caesars Palace Las Vegas and Harrah’s Las Vegas (and following the closing of the acquisition of the Venetian Resort on February 23, 2022, our portfolio consists of 28 properties). Our properties are leased to, and our tenants are, subsidiaries of Caesars, Penn National, Hard Rock, Century Casinos, JACK Entertainment and EBCI (and following the closing of the acquisition of the Venetian Resort on February 23, 2022, an entity managed by Apollo also became one of our tenants). We also own and operate four championship golf courses located near certain of our properties.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conduct our operations as a real estate investment trust (“REIT”) for U.S. federal income tax purposes. As such, we generally will not be subject to U.S. federal income taxes on our taxable income to the extent that we annually distribute all of our net taxable income to stockholders and maintain our qualification as a REIT. We conduct our real property business through our Operating Partnership and our golf course business, through a taxable REIT subsidiary (“TRS”), VICI Golf.</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 on our Business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Since the emergence of the COVID-19 pandemic in early 2020, among the broader public health, societal and global impacts, the pandemic has resulted in governmental and/or regulatory actions imposing temporary closures or restrictions from time to time on our tenants’ operations at our properties and our golf course operations. Although all of our leased properties and our golf courses are currently open and operating, without restriction in some jurisdictions, they remain subject to any current or future operating limitations, restrictions or closures imposed by governmental and/or regulatory authorities. While our tenants’ recent performance at many of our leased properties has been at or above pre-pandemic levels, our tenants may continue to face additional challenges and uncertainty due to the impact of the COVID-19 pandemic, such as complying with operational and capacity restrictions and ensuring sufficient employee staffing and service levels, and the sustainability of maintaining improved operating margins and financial performance. Due to prior closures, operating restrictions and other factors, our tenants’ operations, liquidity and financial performance have been adversely affected, and the ongoing nature of the pandemic, including emerging variants, may further adversely affect our tenants’ businesses and, accordingly, our business and financial performance could be adversely affected in the future.</w:t>
      </w:r>
    </w:p>
    <w:p>
      <w:pPr>
        <w:spacing w:after="0" w:line="1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All of our tenants have fulfilled their rent obligations through February 2022 and we regularly engage with our tenants in connection with their business performance, operations, liquidity and financial results. As a triple-net lessor, we believe we are generally in a strong creditor position and structurally insulated from operational and performance impacts of our tenants, both positive and negative. However, the full extent to which the COVID-19 pandemic continues to adversely affect our tenants, and ultimately impacts us, depends on future developments which cannot be predicted with confidence, including the actions taken to contain the pandemic or mitigate its impact, including the availability, distribution, public acceptance and efficacy of approved vaccines, new or mutated variants of COVID-19 (including vaccine-resistant variants) or a similar virus, the direct and indirect economic effects of the pandemic and containment measures on our tenants, our tenants’ financial performance and any future operating limitations or closures.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 Summary of Significant Accounting Policies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(“GAAP”) as set forth in the Accounting Standards Codification (“ASC”), as published by the Financial Accounting Standards Board (“FASB”), and with the applicable rules and regulations of the Securities and Exchange Commission (“SEC”).</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Non-controlling Interest</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accompanying consolidated Financial Statements include our accounts and the accounts of our Operating Partnership, and the subsidiaries in which we or our Operating Partnership has a controlling interest, which includes a single variable interest entity (“VIE”) where we are the primary beneficiary. All intercompany account balances and transactions have been eliminated in consolidation. We consolidate all subsidiaries in which we have a controlling financial interest and VIEs for which we or one of our consolidated subsidiaries is the primary beneficiary.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present non-controlling interest and classify such interest as a component of consolidated stockholders’ equity, separate from VICI stockholders’ equity. Our non-controlling interest represents a 20% third-party ownership of Harrah’s Joliet LandCo LLC, the entity that owns the Harrah’s Joliet property and is the lessor under the related Joliet Lease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financial statements in conformity with GAAP requires us to make estimates and assumptions. These estimates and assumptions affect the reported amounts of assets and liabilities and the disclosure of contingent assets and liabilities at the date of the Financial Statements and the reported amounts of revenues and expenses during the reporting periods. Actual results could differ materially from these estimates.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Reportable Segments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real property business and our golf course business represent two reportable segments. The real property business segment consists of leased real property and real estate lending activities and represents the substantial majority of our business. The golf course business segment consists of four golf courses, each of which is an operating segment and is aggregated into one reportable segment.</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Corporate and overhead costs are allocated to reportable segments based upon revenue or headcount. Management believes that the assumptions and methodologies used in the allocation of such expenses are reasonable.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Cash consists of cash-on-hand and cash-in-bank. Highly liquid investments with an original maturity of three months or less from the date of purchase are considered cash equivalents and are carried at cost, which approximates fair value. As of December 31, 2021 and 2020, we did not have any restricted cash.</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Investments with an original maturity of greater than three months and less than one year from the date of purchase are considered short-term investments and are stated at fair value.</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invest our excess cash in short-term investment grade commercial paper as well as discount notes issued by government-sponsored enterprises including the Federal Home Loan Mortgage Corporation and certain of the Federal Home Loan Banks. These investments generally have original maturities between 91 and 180 days and are accounted for as available for sale securities. Interest on our short-term investments is recognized as interest income in our Statement of Operations. We had $20.0 million of short-term investments as of December 31, 2020. We did not have any short-term investments as of December 31, 2021.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Leases - Sales-type, Net</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account for our investments in leases under ASC 842 “Leases” (“ASC 842”). Upon lease inception or lease modification, we assess lease classification to determine whether the lease should be classified as a direct financing, sales-type or operating lease. As required by ASC 842, we separately assess the land and building components of the property to determine the classification of each component. If the lease component is determined to be a direct financing or sales-type lease, we record a net investment in the lease, which is equal to the sum of the lease receivable and the unguaranteed residual asset, discounted at the rate implicit in the lease. Any difference between the fair value of the asset and the net investment in the lease is considered selling profit or loss and is either recognized upon execution of the lease or deferred and recognized over the life of the lease, depending on the classification of the lease. Since we purchase properties and simultaneously enter into new leases directly with the tenants, the net investment in the lease is generally equal to the purchase price of the asset, and, due to the long-term nature of our leases, the land and building components of an investment generally have the same lease classification.</w:t>
      </w:r>
    </w:p>
    <w:p>
      <w:pPr>
        <w:spacing w:after="0" w:line="127" w:lineRule="exact"/>
        <w:rPr>
          <w:sz w:val="20"/>
          <w:szCs w:val="20"/>
          <w:color w:val="auto"/>
        </w:rPr>
      </w:pPr>
    </w:p>
    <w:p>
      <w:pPr>
        <w:jc w:val="both"/>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We have determined that the land and building components of the Las Vegas Master Lease Agreement, the Regional Master Lease Agreement (excluding the Harrah’s Original Call Properties (as defined in </w:t>
      </w:r>
      <w:hyperlink w:anchor="page103">
        <w:r>
          <w:rPr>
            <w:rFonts w:ascii="Arial" w:cs="Arial" w:eastAsia="Arial" w:hAnsi="Arial"/>
            <w:sz w:val="18"/>
            <w:szCs w:val="18"/>
            <w:u w:val="single" w:color="auto"/>
            <w:color w:val="0000FF"/>
          </w:rPr>
          <w:t>Note 3 - Property Transactions</w:t>
        </w:r>
      </w:hyperlink>
      <w:r>
        <w:rPr>
          <w:rFonts w:ascii="Arial" w:cs="Arial" w:eastAsia="Arial" w:hAnsi="Arial"/>
          <w:sz w:val="18"/>
          <w:szCs w:val="18"/>
          <w:color w:val="auto"/>
          <w:highlight w:val="white"/>
        </w:rPr>
        <w:t>)</w:t>
      </w:r>
      <w:r>
        <w:rPr>
          <w:rFonts w:ascii="Arial" w:cs="Arial" w:eastAsia="Arial" w:hAnsi="Arial"/>
          <w:sz w:val="18"/>
          <w:szCs w:val="18"/>
          <w:color w:val="auto"/>
        </w:rPr>
        <w:t>), the Joliet Lease Agreement, the Margaritaville Lease Agreement, the Greektown Lease Agreement, the Hard Rock Cincinnati Lease Agreement, the Century Portfolio Lease Agreement and the EBCI Lease Agreement meet the definition of a sales-type lease under ASC 842.</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Leases - Financing Receivables, Net</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accordance with ASC 842, for transactions in which we enter into a contract to acquire an asset and lease it back to the seller under a sales-type lease (i.e., a sale leaseback transaction), control of the asset is not considered to have transferred to us. As a result, we do not recognize the underlying asset but instead recognize a financial asset in accordance with ASC 310 “Receivables” (“ASC 310”). The accounting for the financing receivable under ASC 310 is materially consistent with the accounting for our investments in leases - sales-type under ASC 842. We determined that the land and building components of the JACK Cleveland/Thistledown Lease Agreement meet the definition of a sales-type lease and, since we purchased and leased the assets back to the seller under a sale leaseback transaction, control is not considered to have transferred to us under GAAP. Accordingly, the JACK Cleveland/Thistledown Lease Agreement is accounted for as Investments in leases - financing receivables on our Balance Sheet, net of allowance for credit losses, in accordance with ASC 310.</w:t>
      </w:r>
    </w:p>
    <w:p>
      <w:pPr>
        <w:spacing w:after="0" w:line="138" w:lineRule="exact"/>
        <w:rPr>
          <w:sz w:val="20"/>
          <w:szCs w:val="20"/>
          <w:color w:val="auto"/>
        </w:rPr>
      </w:pPr>
    </w:p>
    <w:p>
      <w:pPr>
        <w:jc w:val="both"/>
        <w:spacing w:after="0" w:line="291" w:lineRule="auto"/>
        <w:rPr>
          <w:rFonts w:ascii="Arial" w:cs="Arial" w:eastAsia="Arial" w:hAnsi="Arial"/>
          <w:sz w:val="16"/>
          <w:szCs w:val="16"/>
          <w:color w:val="auto"/>
        </w:rPr>
      </w:pPr>
      <w:r>
        <w:rPr>
          <w:rFonts w:ascii="Arial" w:cs="Arial" w:eastAsia="Arial" w:hAnsi="Arial"/>
          <w:sz w:val="16"/>
          <w:szCs w:val="16"/>
          <w:color w:val="auto"/>
        </w:rPr>
        <w:t xml:space="preserve">Upon the consummation of the Eldorado Transaction on July 20, 2020, we reassessed the classification of the Caesars Lease Agreements and determined that the Harrah’s Original Call Properties Acquisitions (as defined in </w:t>
      </w:r>
      <w:hyperlink w:anchor="page103">
        <w:r>
          <w:rPr>
            <w:rFonts w:ascii="Arial" w:cs="Arial" w:eastAsia="Arial" w:hAnsi="Arial"/>
            <w:sz w:val="16"/>
            <w:szCs w:val="16"/>
            <w:u w:val="single" w:color="auto"/>
            <w:color w:val="0000FF"/>
          </w:rPr>
          <w:t>Note 3 - Property Transactions</w:t>
        </w:r>
      </w:hyperlink>
      <w:r>
        <w:rPr>
          <w:rFonts w:ascii="Arial" w:cs="Arial" w:eastAsia="Arial" w:hAnsi="Arial"/>
          <w:sz w:val="16"/>
          <w:szCs w:val="16"/>
          <w:color w:val="auto"/>
          <w:highlight w:val="white"/>
        </w:rPr>
        <w:t>)</w:t>
      </w:r>
      <w:r>
        <w:rPr>
          <w:rFonts w:ascii="Arial" w:cs="Arial" w:eastAsia="Arial" w:hAnsi="Arial"/>
          <w:sz w:val="16"/>
          <w:szCs w:val="16"/>
          <w:color w:val="auto"/>
        </w:rPr>
        <w:t xml:space="preserve"> </w:t>
      </w:r>
      <w:r>
        <w:rPr>
          <w:rFonts w:ascii="Arial" w:cs="Arial" w:eastAsia="Arial" w:hAnsi="Arial"/>
          <w:sz w:val="16"/>
          <w:szCs w:val="16"/>
          <w:color w:val="auto"/>
          <w:highlight w:val="white"/>
        </w:rPr>
        <w:t>meet the definition of a separate contract under ASC</w:t>
      </w:r>
    </w:p>
    <w:p>
      <w:pPr>
        <w:jc w:val="both"/>
        <w:ind w:firstLine="8"/>
        <w:spacing w:after="0" w:line="253" w:lineRule="auto"/>
        <w:tabs>
          <w:tab w:leader="none" w:pos="363"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accordance with this guidance, we are required to separately assess the lease classification apart from the other assets in the Regional Master Lease Agreement. We determined that the land and building components of the Harrah’s Original Call Properties meet the definition of a sales-type lease and, since we purchased and leased the assets back to Caesars, control is not considered to have transferred to us under GAAP. Accordingly, the Harrah’s Original Call Properties are accounted for as Investments in leases - financing receivables on our Balance Sheet, net of allowance for credit losses, in accordance with ASC 310.</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Term</w:t>
      </w:r>
    </w:p>
    <w:p>
      <w:pPr>
        <w:spacing w:after="0" w:line="15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assess the noncancelable lease term under ASC 842, which includes any reasonably assured renewal periods. All of our Lease Agreements provide for an initial term, with multiple tenant renewal options. We have individually assessed all of our Lease Agreements and concluded that the lease term includes all of the periods covered by extension options as it is reasonably certain our tenants will renew the Lease Agreements. We believe our tenants are economically compelled to renew the Lease Agreements due to the importance of our real estate to the operation of their business, the significant capital they have invested in our properties and the lack of suitable replacement assets.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Leases and Lease Financing Receivables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recognize the related income from our sales-type leases, direct financing leases and lease financing receivables on an effective interest basis at a constant rate of return over the terms of the applicable leases. As a result, the cash payments accounted for under sales-type leases, direct financing leases and lease financing receivables will not equal income from our Lease Agreements. Rather, a portion of the cash rent we receive is recorded as Income from sales-type and direct financing leases or Income from lease financing receivables and loans, as applicable, in our Statement of Operations and a portion is recorded as a change to Investments in leases - sales-type, net or Investments in leases - financing receivables, net, as applicable.</w:t>
      </w:r>
    </w:p>
    <w:p>
      <w:pPr>
        <w:spacing w:after="0" w:line="10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Under ASC 840, we determined that the land component of Caesars Palace Las Vegas was greater than 25% of the overall fair value of the combined land and building components. At lease inception, the land was determined to be an operating lease and we recorded the related income on a straight-line basis over the lease term. The amount of annual minimum lease payments attributable to the land element after deducting executory costs, including any profit thereon, was determined by applying the lessee’s incremental borrowing rate to the value of the land. Revenue from this lease was recorded as Income from operating leases in our Statement of Operations. Further, upon adoption of ASC 842 on January 1, 2019, we made an accounting policy election to use a package of practical expedients that, among other things, allow us to not reassess prior lease classifications or initial direct costs for leases that existed as of the balance sheet date. Upon the consummation of the Eldorado Transaction on July 20, 2020, the land component of Caesars Palace Las Vegas was reassessed for lease classification and determined to be a sales-type lease. Accordingly, subsequent to July 20, 2020, the income is recognized as Income from sales-type leases and we no longer have any leases classified as operating or direct financing and, as such, there is no longer any income recorded through Income from operating leases.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Initial direct costs incurred in connection with entering into investments classified as sales-type or direct financing leases are included in the balance of the net investment in lease. Such amounts will be recognized as a reduction to Income from investments in leases over the life of the lease using the effective interest method. Costs that would have been incurred regardless of whether the lease was signed, such as legal fees and certain other third-party fees, are expensed as incurred to Transaction and acquisition expenses in our Statement of Operations.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Loan origination fees and costs incurred in connection with entering into investments classified as lease financing receivables are included in the balance of the net investment and such amounts will be recognized as a reduction to Income from investments in loans and lease financing receivables over the life of the lease using the effective interest method.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Loans, net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Investments in loans are held-for-investment and are carried at historical cost, net of unamortized loan origination costs and fees and allowances for credit losses. Income is recognized on an effective interest basis at a constant rate of return over the life of the related loan.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1, 2020, we adopted ASC 326 “Financial Instruments-Credit Losses” (“ASC 326”), which requires that we measure and record current expected credit losses (“CECL”) for the majority of our investments, the scope of which includes our Investments in leases - sales-type, Investments in leases - financing receivables and Investments in loans.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elected to use a discounted cash flow model to estimate the Allowance for credit losses, or CECL allowance. This model requires us to develop cash flows which is used to project estimated credit losses over the life of the lease or loan and discount these cash flows at the asset’s effective interest rate. We then record a CECL allowance equal to the difference between the amortized cost basis of the asset and the present value of the expected credit loss cash flows.</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Expected losses within our cash flows are determined by estimating the probability of default (“PD”) and loss given default (“LGD”) of our tenants or borrowers and their parent guarantors over the life of each individual lease or financial asset. We have engaged a nationally recognized data analytics firm to assist us with estimating both the PD and LGD of our tenants or borrowers and their parent guarantors. The PD and LGD are estimated during a reasonable and supportable period for which we believe we are able to estimate future economic conditions (the “R&amp;S Period”) and a long-term period for which we revert to long-term historical averages (the “Long-Term Period”). The PD and LGD estimates for the R&amp;S Period are developed using the current financial condition of the tenant or borrower and the parent guarantor and applied to a projection of economic conditions over a two-year term. The PD and LGD for the Long-Term Period are estimated using the average historical default rates and historical loss rates, respectively, of public companies over the past 35 years that have similar credit profiles or characteristics to our tenants or borrowers and their parent guarantors. We are unable to use our historical data to estimate losses as we have no loss history to date.</w:t>
      </w:r>
    </w:p>
    <w:p>
      <w:pPr>
        <w:spacing w:after="0" w:line="12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CECL allowance is recorded as a reduction to our net Investments in leases - sales-type, Investments in leases - financing receivables and Investments in loans on our Balance Sheet. We are required to update our CECL allowance on a quarterly basis with the resulting change being recorded in the Statement of Operations for the relevant period. Finally, each time we make a new investment in an asset subject to ASC 326, we are required to record an initial CECL allowance for such asset, which will result in a non-cash charge to the Statement of Operations for the relevant period.</w:t>
      </w:r>
    </w:p>
    <w:p>
      <w:pPr>
        <w:spacing w:after="0" w:line="10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required to estimate a CECL allowance related to contractual commitments to extend credit, such as future funding commitments under a revolving credit facility, delayed draw term loan or construction loan. We estimate the amount that we will fund for each contractual commitment based on (i) discussions with our borrowers, (ii) our borrowers' business plans and financial condition and (iii) other relevant factors. Based on these considerations, we apply a CECL allowance to the estimated amount of credit we expect to extend. The CECL allowance for unfunded commitments is calculated using the same methodology as the allowance for all of our other investments subject to the CECL model. The CECL allowance related to these future commitments is recorded as a component of Other liabilities on our Balance Sheet.</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Charge-offs are deducted from the allowance in the period in which they are deemed uncollectible. Recoveries previously written off are recorded when received. There were no charge-offs or recoveries for the years ended December 31, 2021, 2020 and 2019.</w:t>
      </w:r>
    </w:p>
    <w:p>
      <w:pPr>
        <w:spacing w:after="0" w:line="116"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Refer to </w:t>
      </w:r>
      <w:hyperlink w:anchor="page118">
        <w:r>
          <w:rPr>
            <w:rFonts w:ascii="Arial" w:cs="Arial" w:eastAsia="Arial" w:hAnsi="Arial"/>
            <w:sz w:val="18"/>
            <w:szCs w:val="18"/>
            <w:u w:val="single" w:color="auto"/>
            <w:color w:val="0000FF"/>
          </w:rPr>
          <w:t>Note 5 - Allowance for Credit Losses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Land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investments in land are held at historical cost and comprised of the following:</w:t>
      </w:r>
    </w:p>
    <w:p>
      <w:pPr>
        <w:spacing w:after="0" w:line="117"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Las Vegas Land. </w:t>
      </w:r>
      <w:r>
        <w:rPr>
          <w:rFonts w:ascii="Arial" w:cs="Arial" w:eastAsia="Arial" w:hAnsi="Arial"/>
          <w:sz w:val="18"/>
          <w:szCs w:val="18"/>
          <w:color w:val="auto"/>
        </w:rPr>
        <w:t>We own certain underdeveloped or undeveloped land adjacent to the Las Vegas strip.</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6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Vacant, Non-Operating Land. </w:t>
      </w:r>
      <w:r>
        <w:rPr>
          <w:rFonts w:ascii="Arial" w:cs="Arial" w:eastAsia="Arial" w:hAnsi="Arial"/>
          <w:sz w:val="18"/>
          <w:szCs w:val="18"/>
          <w:color w:val="auto"/>
        </w:rPr>
        <w:t>We own certain vacant, non-operating land parcels located outside of Las Vegas.</w:t>
      </w:r>
    </w:p>
    <w:p>
      <w:pPr>
        <w:spacing w:after="0" w:line="117" w:lineRule="exact"/>
        <w:rPr>
          <w:rFonts w:ascii="Arial" w:cs="Arial" w:eastAsia="Arial" w:hAnsi="Arial"/>
          <w:sz w:val="18"/>
          <w:szCs w:val="18"/>
          <w:i w:val="1"/>
          <w:iCs w:val="1"/>
          <w:color w:val="auto"/>
        </w:rPr>
      </w:pPr>
    </w:p>
    <w:p>
      <w:pPr>
        <w:jc w:val="both"/>
        <w:ind w:left="660" w:hanging="328"/>
        <w:spacing w:after="0" w:line="279" w:lineRule="auto"/>
        <w:tabs>
          <w:tab w:leader="none" w:pos="655" w:val="left"/>
        </w:tabs>
        <w:numPr>
          <w:ilvl w:val="0"/>
          <w:numId w:val="6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Eastside Property. </w:t>
      </w:r>
      <w:r>
        <w:rPr>
          <w:rFonts w:ascii="Arial" w:cs="Arial" w:eastAsia="Arial" w:hAnsi="Arial"/>
          <w:sz w:val="17"/>
          <w:szCs w:val="17"/>
          <w:color w:val="auto"/>
        </w:rPr>
        <w:t>In 2017, we sold 18.4 acres of property located in Las Vegas, Nevada, east of Harrah’s Las Vegas, known as the Eastside</w:t>
      </w:r>
      <w:r>
        <w:rPr>
          <w:rFonts w:ascii="Arial" w:cs="Arial" w:eastAsia="Arial" w:hAnsi="Arial"/>
          <w:sz w:val="17"/>
          <w:szCs w:val="17"/>
          <w:i w:val="1"/>
          <w:iCs w:val="1"/>
          <w:color w:val="auto"/>
        </w:rPr>
        <w:t xml:space="preserve"> </w:t>
      </w:r>
      <w:r>
        <w:rPr>
          <w:rFonts w:ascii="Arial" w:cs="Arial" w:eastAsia="Arial" w:hAnsi="Arial"/>
          <w:sz w:val="17"/>
          <w:szCs w:val="17"/>
          <w:color w:val="auto"/>
        </w:rPr>
        <w:t>Property, to Caesars for a sales price of $73.6 million. It was determined that the transaction did not meet the requirements of a completed sale for accounting purposes due to a put/call option on the land parcels and the Caesars Forum Convention Center. The amount of $73.6 million is presented as Land with a corresponding amount of $73.6 million recorded in Other liabilities in our Balance Sheet.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Used in Operations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Property and equipment used in operations is included within Other assets on our Balance Sheet and represents assets primarily related to VICI Golf, our golf operations. We assign lives to our assets based on our standard policy, which is established by management as representative of the useful life of each category of asset.</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Additions to property used in operations are stated at cost. We capitalize the costs of improvements that extend the life of the asset and expense maintenance and repair costs as incurred. Gains or losses on the dispositions of property and equipment are recognized in the period of disposal.</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380" w:type="dxa"/>
            <w:vAlign w:val="bottom"/>
          </w:tcPr>
          <w:p>
            <w:pPr>
              <w:spacing w:after="0"/>
              <w:rPr>
                <w:sz w:val="20"/>
                <w:szCs w:val="20"/>
                <w:color w:val="auto"/>
              </w:rPr>
            </w:pPr>
            <w:r>
              <w:rPr>
                <w:rFonts w:ascii="Arial" w:cs="Arial" w:eastAsia="Arial" w:hAnsi="Arial"/>
                <w:sz w:val="18"/>
                <w:szCs w:val="18"/>
                <w:color w:val="auto"/>
                <w:w w:val="91"/>
              </w:rPr>
              <w:t>Depreciation is calculated using the straight-line method over the shorter of the estimated useful life of the asset or the related lease as follows:</w:t>
            </w:r>
          </w:p>
        </w:tc>
        <w:tc>
          <w:tcPr>
            <w:tcW w:w="860" w:type="dxa"/>
            <w:vAlign w:val="bottom"/>
          </w:tcPr>
          <w:p>
            <w:pPr>
              <w:spacing w:after="0"/>
              <w:rPr>
                <w:sz w:val="20"/>
                <w:szCs w:val="20"/>
                <w:color w:val="auto"/>
              </w:rPr>
            </w:pPr>
          </w:p>
        </w:tc>
      </w:tr>
      <w:tr>
        <w:trPr>
          <w:trHeight w:val="135"/>
        </w:trPr>
        <w:tc>
          <w:tcPr>
            <w:tcW w:w="1038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229"/>
        </w:trPr>
        <w:tc>
          <w:tcPr>
            <w:tcW w:w="10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Depreciable land improvements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2-50 years</w:t>
            </w:r>
          </w:p>
        </w:tc>
      </w:tr>
      <w:tr>
        <w:trPr>
          <w:trHeight w:val="230"/>
        </w:trPr>
        <w:tc>
          <w:tcPr>
            <w:tcW w:w="1038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860" w:type="dxa"/>
            <w:vAlign w:val="bottom"/>
          </w:tcPr>
          <w:p>
            <w:pPr>
              <w:jc w:val="right"/>
              <w:spacing w:after="0"/>
              <w:rPr>
                <w:sz w:val="20"/>
                <w:szCs w:val="20"/>
                <w:color w:val="auto"/>
              </w:rPr>
            </w:pPr>
            <w:r>
              <w:rPr>
                <w:rFonts w:ascii="Arial" w:cs="Arial" w:eastAsia="Arial" w:hAnsi="Arial"/>
                <w:sz w:val="18"/>
                <w:szCs w:val="18"/>
                <w:color w:val="auto"/>
                <w:w w:val="96"/>
              </w:rPr>
              <w:t>5-25 years</w:t>
            </w:r>
          </w:p>
        </w:tc>
      </w:tr>
      <w:tr>
        <w:trPr>
          <w:trHeight w:val="230"/>
        </w:trPr>
        <w:tc>
          <w:tcPr>
            <w:tcW w:w="10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equipment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years</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assess our investments in land and property and equipment used in operations for impairment under ASC 360 “Property, Plant and Equipment” (“ASC 360”) on a quarterly basis or whenever certain events or changes in circumstances indicate a possible impairment of the carrying value of the asset. Events or circumstances that may occur include changes in management’s intended holding period or potential sale to a third party, significant changes in real estate market conditions or tenant financial difficulties resulting in non-payment of the lease.</w:t>
      </w:r>
    </w:p>
    <w:p>
      <w:pPr>
        <w:spacing w:after="0" w:line="13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Impairments are measured as the amount by which the current book value of the asset exceeds the estimated fair value of the asset. With respect to estimated expected future cash flows for determining whether an asset is impaired, assets are grouped at the lowest level of identifiable cash flows.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Other expenses</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Other income primarily represents sub-lease income related to certain ground and use leases. Under the Lease Agreements, the tenants are required to pay all costs associated with such ground and use leases and provides for their direct payment to the landlord. This income and the related expense are recorded on a gross basis in our Statement of Operations as required under GAAP as we are the primary obligor under the ground and use leases.</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previously recorded the sub-lease income as a component of General and administrative expenses on a net basis with the sub-lease expense. Beginning with the three months ended March 31, 2020, we recorded these amounts to be presented gross in Other income with an offsetting amount in Other expenses within the Statement of Operations. For the year ended December 31, 2019, such amounts, included net in General and administrative expenses, were $2.9 million.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measure the fair value of financial instruments based on assumptions that market participants would use in pricing the asset or liability. As a basis for considering market participant assumptions in fair value measurements, a fair value hierarchy distinguishes between market participant assumptions based on market data obtained from sources independent of the reporting entity and the reporting entity’s own assumptions about market participant assumptions. In accordance with the fair value hierarchy, Level 1 assets/liabilities are valued based on quoted prices for identical instruments in active markets, Level 2 assets/liabilities are valued based on quoted prices in active markets for similar instruments, on quoted prices in less active or inactive markets or on other “observable” market inputs, and Level 3 assets/liabilities are valued based significantly on “unobservable” market inputs.</w:t>
      </w:r>
    </w:p>
    <w:p>
      <w:pPr>
        <w:spacing w:after="0" w:line="110"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Refer to </w:t>
      </w:r>
      <w:hyperlink w:anchor="page128">
        <w:r>
          <w:rPr>
            <w:rFonts w:ascii="Arial" w:cs="Arial" w:eastAsia="Arial" w:hAnsi="Arial"/>
            <w:sz w:val="18"/>
            <w:szCs w:val="18"/>
            <w:u w:val="single" w:color="auto"/>
            <w:color w:val="0000FF"/>
          </w:rPr>
          <w:t>Note 9 - Fair Value</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record our derivative financial instruments as either Other assets or Other liabilities on our Balance Sheet at fair value.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accounting for changes in the fair value of derivatives depends on the intended use of the derivative, whether we elected to designate a derivative in a hedging relationship and apply hedge accounting and whether the hedging relationship has satisfied the criteria necessary to apply hedge accounting. Derivatives designated and qualifying as a hedge of the exposure to variability in expected future cash flows are considered cash flow hedges. We formally document our hedge relationships and designation at the contract’s inception. This documentation includes the identification of the hedging instruments and the hedged items, its risk management objectives, strategy for undertaking the hedge transaction and our evaluation of the effectiveness of its hedged transaction.</w:t>
      </w:r>
    </w:p>
    <w:p>
      <w:pPr>
        <w:spacing w:after="0" w:line="1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 quarterly basis, we also assess whether the derivative we designated in each hedging relationship is expected to be, and has been, highly effective in offsetting changes in the value or cash flows of the hedged transactions. If it is determined that a derivative is not highly effective at hedging the designated exposure, hedge accounting is discontinued and the changes in fair value of the instrument are included in Net income prospectively. If the hedge relationship is terminated, then the value of the derivative previously recorded in Accumulated other comprehensive income (loss) is recognized in earnings when the hedged transactions affect earnings. Changes in the fair value of our derivative instruments that qualify as hedges are reported as a component of Accumulated other comprehensive income (loss) on our Balance Sheet with a corresponding change in Unrealized gain (loss) on cash flows hedges within Other comprehensive income on our Statement of Operations.</w:t>
      </w:r>
    </w:p>
    <w:p>
      <w:pPr>
        <w:spacing w:after="0" w:line="12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use derivative instruments to mitigate the effects of interest rate volatility, whether from variable rate debt or future forecasted transactions, which could unfavorably impact our future earnings and forecasted cash flows. We do not use derivative instruments for speculative or trading purposes.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Golf Revenues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VICI Golf and Caesars are party to a golf course use agreement (the “Golf Course Use Agreement”), whereby certain subsidiaries of Caesars are granted certain priority rights and privileges with respect to access and use of certain golf course properties. For the year ended December 31, 2021, payments under the Golf Course Use Agreement were comprised of a $10.5 million annual membership fee, $3.2 million of use fees and approximately $1.3 million of minimum rounds fees. The annual membership fee, use fees and minimum round fees are subject to an annual escalator beginning at the times provided under the Golf Course Use Agreement. Revenue from the Golf Course Use Agreement is recognized in accordance with ASC 606, “Revenue From Contracts With Customers” and recognized ratably over the performance period.</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Additional revenues from golf course operations, food and beverage and merchandise sales are recognized at the time of sale or when the service is provided and are reported net of sales tax. Golf memberships sold to individuals are not refundable and are deferred and recognized within golf revenue in the Statements of Operations over the expected life of an active membership, which is typically one year or less.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Taxes-REIT Qualification</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conduct our operations as a REIT for U.S. federal income tax purposes. To qualify as a REIT, we must meet certain organizational and operational requirements, including a requirement to distribute at least 90% of our annual REIT taxable income to stockholders, determined without regard to the dividends paid deduction and excluding any net capital gains. As a REIT, we generally will not be subject to federal income tax on income that we pay as distributions to our stockholders. If we fail to qualify as a REIT in any taxable year, we will be subject to U.S. federal income tax on our taxable income at regular corporate income tax rates, and distributions paid to our stockholders would not be deductible by us in computing taxable income. Additionally, any resulting corporate liability created if we fail to qualify as a REIT could be substantial and could materially and adversely affect our net income and net cash available for distribution to stockholders. Unless we were entitled to relief under certain Code provisions, we also would be disqualified from re-electing to be taxed as a REIT for the four taxable years following the year in which we failed to qualify to be taxed as a REIT.</w:t>
      </w:r>
    </w:p>
    <w:p>
      <w:pPr>
        <w:spacing w:after="0" w:line="1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TRS operations (represented by the four golf course businesses) are able to engage in activities resulting in income that would not be qualifying income for a REIT. As a result, certain of our activities which occur within our TRS operations are subject to federal and state income taxes. The provision for income taxes includes current and deferred portions. The current income tax provision differs from the amount of income tax currently payable because of temporary differences in the recognition of certain income and expense items between financial reporting and income tax reporting. We use the asset and liability method to provide for income taxes, which requires that our income tax expense reflect the expected future tax consequences of temporary differences between the carrying amounts of assets or liabilities for financial reporting versus income tax purposes. Accordingly, a deferred tax asset or liability for each temporary difference is determined based on enacted tax rates that we expect to be in effect when the underlying items of income and expense are realized and the differences reverse.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recognize any interest and penalties, as incurred, in general and administrative expenses in our Statement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Debt issuance costs are deferred and amortized to interest expense over the contractual term of the underlying indebtedness. We present unamortized deferred financing costs as a direct deduction from the carrying amount of the associated debt liability.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and Acquisition Expenses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Transaction and acquisition-related expenses that are not capitalizable under GAAP, including most leasing costs under ASC 842, are expensed in the period they occur. Transaction and acquisition expenses also include dead deal costs.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account for stock-based compensation under ASC 718, Compensation - Stock Compensation (“ASC 718”), which requires us to expense the cost of employee services received in exchange for an award of equity instruments based on the grant-date fair value of the award. This expense is recognized ratably over the requisite service period following the date of grant. For non-vested share awards that vest over a predetermined time period, we use the 10-day volume weighted average price using the 10 trading days ending on the grant date. For non-vested share awards that vest based on market conditions, we use a Monte Carlo simulation (risk-neutral approach) to determine the value of each tranche.</w:t>
      </w:r>
    </w:p>
    <w:p>
      <w:pPr>
        <w:spacing w:after="0" w:line="1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unrecognized compensation relating to awards under our stock incentive plan will be amortized to general and administrative expense over the awards’ remaining vesting periods. Vesting periods for award of equity instruments range from zero to three years.</w:t>
      </w:r>
    </w:p>
    <w:p>
      <w:pPr>
        <w:spacing w:after="0" w:line="116"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135">
        <w:r>
          <w:rPr>
            <w:rFonts w:ascii="Arial" w:cs="Arial" w:eastAsia="Arial" w:hAnsi="Arial"/>
            <w:sz w:val="18"/>
            <w:szCs w:val="18"/>
            <w:u w:val="single" w:color="auto"/>
            <w:color w:val="0000FF"/>
          </w:rPr>
          <w:t>Note 13—Stock-Based Compensation</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information related to the stock-based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Earnings per share (”EPS”) is calculated in accordance with ASC 260, “Earnings Per Share”. Basic EPS is computed by dividing net income applicable to common stockholders by the weighted-average number of shares of common stock outstanding during the period. Diluted EPS reflects the additional dilution for all potentially dilutive securities including those from our stock incentive plan.</w:t>
      </w:r>
    </w:p>
    <w:p>
      <w:pPr>
        <w:spacing w:after="0" w:line="76"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134">
        <w:r>
          <w:rPr>
            <w:rFonts w:ascii="Arial" w:cs="Arial" w:eastAsia="Arial" w:hAnsi="Arial"/>
            <w:sz w:val="18"/>
            <w:szCs w:val="18"/>
            <w:u w:val="single" w:color="auto"/>
            <w:color w:val="0000FF"/>
          </w:rPr>
          <w:t>Note 12—Earnings Per Share</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detailed EPS calculation.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Commissions and Offering Costs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Underwriting commissions and offering costs incurred in connection with common stock offerings are reflected as a reduction of additional paid-in capital.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Costs incurred that are not directly associated with the completion of a common stock offering are expensed when incurred.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7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Caesars is the guarantor of all the lease payment obligations of the tenants under the respective leases of the properties that it leases from us. Revenue from the Caesars Lease Agreements represented 85%, 84%, and 93% of our lease revenues for the years ended December 31, 2021, 2020 and 2019, respectively. Additionally, our properties on the Las Vegas Strip generated approximately 32%, 30%, and 33% of our lease revenues for the years ended December 31, 2021, 2020 and 2019, respectively. Following the MGP Transactions, MGM will be guarantor of all the lease payment obligations of the tenants under the MGM Master Lease Agreement. We do not believe there are any other significant concentrations of credit risk.</w:t>
      </w:r>
    </w:p>
    <w:p>
      <w:pPr>
        <w:spacing w:after="0" w:line="1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Caesars and MGM are publicly traded companies that are subject to the informational filing requirements of the Securities Exchange Act of 1934, as amended, and are required to file periodic reports on Form 10-K and Form 10-Q and current reports on Form 8-K with the SEC. Caesars’ and MGM’s SEC filings are available to the public from the SEC’s web site at </w:t>
      </w:r>
      <w:r>
        <w:rPr>
          <w:rFonts w:ascii="Arial" w:cs="Arial" w:eastAsia="Arial" w:hAnsi="Arial"/>
          <w:sz w:val="18"/>
          <w:szCs w:val="18"/>
          <w:u w:val="single" w:color="auto"/>
          <w:color w:val="auto"/>
        </w:rPr>
        <w:t>www.sec.gov</w:t>
      </w:r>
      <w:r>
        <w:rPr>
          <w:rFonts w:ascii="Arial" w:cs="Arial" w:eastAsia="Arial" w:hAnsi="Arial"/>
          <w:sz w:val="18"/>
          <w:szCs w:val="18"/>
          <w:color w:val="auto"/>
        </w:rPr>
        <w:t>. We make no representation as to the accuracy or completeness of the information regarding Caesars and MGM that is available through the SEC’s website or otherwise made available by Caesars, MGM or any third party, and none of such information is incorporated by reference in this Annual Report on Form 10-K.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December 31, 2021 we reclassified amounts previously presented as Accrued interest, Deferred revenue and certain operating accounts payable and accrued expenses previously presented in Other liabilities to Accrued expenses and deferred revenue on the Balance Sheet. In addition, we reclassified the amount previously presented as Deferred financing liability to Other liabilities in the Balance Sheet. Both reclassifications were made in order to simplify our presentation and maintain consistency with the current year presentation. These reclassifications had no effect on the reported results of operations.</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present the reclassification changes to Liabilities section of the Balance Sheet as of December 31, 2020, to reflect the aforementioned changes: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60" w:type="dxa"/>
            <w:vAlign w:val="bottom"/>
          </w:tcPr>
          <w:p>
            <w:pPr>
              <w:spacing w:after="0"/>
              <w:rPr>
                <w:sz w:val="16"/>
                <w:szCs w:val="16"/>
                <w:color w:val="auto"/>
              </w:rPr>
            </w:pPr>
          </w:p>
        </w:tc>
        <w:tc>
          <w:tcPr>
            <w:tcW w:w="23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December 31, 2020</w:t>
            </w:r>
          </w:p>
        </w:tc>
        <w:tc>
          <w:tcPr>
            <w:tcW w:w="2340" w:type="dxa"/>
            <w:vAlign w:val="bottom"/>
            <w:gridSpan w:val="2"/>
            <w:vMerge w:val="restart"/>
          </w:tcPr>
          <w:p>
            <w:pPr>
              <w:ind w:left="580"/>
              <w:spacing w:after="0"/>
              <w:rPr>
                <w:sz w:val="20"/>
                <w:szCs w:val="20"/>
                <w:color w:val="auto"/>
              </w:rPr>
            </w:pPr>
            <w:r>
              <w:rPr>
                <w:rFonts w:ascii="Arial" w:cs="Arial" w:eastAsia="Arial" w:hAnsi="Arial"/>
                <w:sz w:val="16"/>
                <w:szCs w:val="16"/>
                <w:b w:val="1"/>
                <w:bCs w:val="1"/>
                <w:color w:val="auto"/>
              </w:rPr>
              <w:t>Reclassification</w:t>
            </w:r>
          </w:p>
        </w:tc>
        <w:tc>
          <w:tcPr>
            <w:tcW w:w="2220" w:type="dxa"/>
            <w:vAlign w:val="bottom"/>
          </w:tcPr>
          <w:p>
            <w:pPr>
              <w:jc w:val="right"/>
              <w:ind w:right="392"/>
              <w:spacing w:after="0"/>
              <w:rPr>
                <w:sz w:val="20"/>
                <w:szCs w:val="20"/>
                <w:color w:val="auto"/>
              </w:rPr>
            </w:pPr>
            <w:r>
              <w:rPr>
                <w:rFonts w:ascii="Arial" w:cs="Arial" w:eastAsia="Arial" w:hAnsi="Arial"/>
                <w:sz w:val="16"/>
                <w:szCs w:val="16"/>
                <w:b w:val="1"/>
                <w:bCs w:val="1"/>
                <w:color w:val="auto"/>
              </w:rPr>
              <w:t>December 31, 2020</w:t>
            </w:r>
          </w:p>
        </w:tc>
        <w:tc>
          <w:tcPr>
            <w:tcW w:w="0" w:type="dxa"/>
            <w:vAlign w:val="bottom"/>
          </w:tcPr>
          <w:p>
            <w:pPr>
              <w:spacing w:after="0"/>
              <w:rPr>
                <w:sz w:val="1"/>
                <w:szCs w:val="1"/>
                <w:color w:val="auto"/>
              </w:rPr>
            </w:pPr>
          </w:p>
        </w:tc>
      </w:tr>
      <w:tr>
        <w:trPr>
          <w:trHeight w:val="213"/>
        </w:trPr>
        <w:tc>
          <w:tcPr>
            <w:tcW w:w="43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Historical</w:t>
            </w:r>
          </w:p>
        </w:tc>
        <w:tc>
          <w:tcPr>
            <w:tcW w:w="2340" w:type="dxa"/>
            <w:vAlign w:val="bottom"/>
            <w:gridSpan w:val="2"/>
            <w:vMerge w:val="continue"/>
          </w:tcPr>
          <w:p>
            <w:pPr>
              <w:spacing w:after="0"/>
              <w:rPr>
                <w:sz w:val="18"/>
                <w:szCs w:val="18"/>
                <w:color w:val="auto"/>
              </w:rPr>
            </w:pPr>
          </w:p>
        </w:tc>
        <w:tc>
          <w:tcPr>
            <w:tcW w:w="2220" w:type="dxa"/>
            <w:vAlign w:val="bottom"/>
          </w:tcPr>
          <w:p>
            <w:pPr>
              <w:jc w:val="right"/>
              <w:ind w:right="512"/>
              <w:spacing w:after="0"/>
              <w:rPr>
                <w:sz w:val="20"/>
                <w:szCs w:val="20"/>
                <w:color w:val="auto"/>
              </w:rPr>
            </w:pPr>
            <w:r>
              <w:rPr>
                <w:rFonts w:ascii="Arial" w:cs="Arial" w:eastAsia="Arial" w:hAnsi="Arial"/>
                <w:sz w:val="16"/>
                <w:szCs w:val="16"/>
                <w:b w:val="1"/>
                <w:bCs w:val="1"/>
                <w:color w:val="auto"/>
              </w:rPr>
              <w:t>As Reclassified</w:t>
            </w:r>
          </w:p>
        </w:tc>
        <w:tc>
          <w:tcPr>
            <w:tcW w:w="0" w:type="dxa"/>
            <w:vAlign w:val="bottom"/>
          </w:tcPr>
          <w:p>
            <w:pPr>
              <w:spacing w:after="0"/>
              <w:rPr>
                <w:sz w:val="1"/>
                <w:szCs w:val="1"/>
                <w:color w:val="auto"/>
              </w:rPr>
            </w:pPr>
          </w:p>
        </w:tc>
      </w:tr>
      <w:tr>
        <w:trPr>
          <w:trHeight w:val="212"/>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Liabilities</w:t>
            </w:r>
          </w:p>
        </w:tc>
        <w:tc>
          <w:tcPr>
            <w:tcW w:w="2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220"/>
              <w:spacing w:after="0"/>
              <w:rPr>
                <w:sz w:val="20"/>
                <w:szCs w:val="20"/>
                <w:color w:val="auto"/>
              </w:rPr>
            </w:pPr>
            <w:r>
              <w:rPr>
                <w:rFonts w:ascii="Arial" w:cs="Arial" w:eastAsia="Arial" w:hAnsi="Arial"/>
                <w:sz w:val="18"/>
                <w:szCs w:val="18"/>
                <w:color w:val="auto"/>
              </w:rPr>
              <w:t>Debt, net</w:t>
            </w:r>
          </w:p>
        </w:tc>
        <w:tc>
          <w:tcPr>
            <w:tcW w:w="2220" w:type="dxa"/>
            <w:vAlign w:val="bottom"/>
          </w:tcPr>
          <w:p>
            <w:pPr>
              <w:jc w:val="right"/>
              <w:spacing w:after="0"/>
              <w:rPr>
                <w:sz w:val="20"/>
                <w:szCs w:val="20"/>
                <w:color w:val="auto"/>
              </w:rPr>
            </w:pPr>
            <w:r>
              <w:rPr>
                <w:rFonts w:ascii="Arial" w:cs="Arial" w:eastAsia="Arial" w:hAnsi="Arial"/>
                <w:sz w:val="18"/>
                <w:szCs w:val="18"/>
                <w:color w:val="auto"/>
              </w:rPr>
              <w:t>6,765,532</w:t>
            </w:r>
          </w:p>
        </w:tc>
        <w:tc>
          <w:tcPr>
            <w:tcW w:w="100" w:type="dxa"/>
            <w:vAlign w:val="bottom"/>
          </w:tcPr>
          <w:p>
            <w:pPr>
              <w:spacing w:after="0"/>
              <w:rPr>
                <w:sz w:val="19"/>
                <w:szCs w:val="19"/>
                <w:color w:val="auto"/>
              </w:rPr>
            </w:pPr>
          </w:p>
        </w:tc>
        <w:tc>
          <w:tcPr>
            <w:tcW w:w="2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20" w:type="dxa"/>
            <w:vAlign w:val="bottom"/>
          </w:tcPr>
          <w:p>
            <w:pPr>
              <w:jc w:val="right"/>
              <w:spacing w:after="0"/>
              <w:rPr>
                <w:sz w:val="20"/>
                <w:szCs w:val="20"/>
                <w:color w:val="auto"/>
              </w:rPr>
            </w:pPr>
            <w:r>
              <w:rPr>
                <w:rFonts w:ascii="Arial" w:cs="Arial" w:eastAsia="Arial" w:hAnsi="Arial"/>
                <w:sz w:val="18"/>
                <w:szCs w:val="18"/>
                <w:color w:val="auto"/>
              </w:rPr>
              <w:t>6,765,532</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 and deferred revenue</w:t>
            </w:r>
          </w:p>
        </w:tc>
        <w:tc>
          <w:tcPr>
            <w:tcW w:w="2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155,807</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155,807</w:t>
            </w:r>
          </w:p>
        </w:tc>
        <w:tc>
          <w:tcPr>
            <w:tcW w:w="0" w:type="dxa"/>
            <w:vAlign w:val="bottom"/>
          </w:tcPr>
          <w:p>
            <w:pPr>
              <w:spacing w:after="0"/>
              <w:rPr>
                <w:sz w:val="1"/>
                <w:szCs w:val="1"/>
                <w:color w:val="auto"/>
              </w:rPr>
            </w:pPr>
          </w:p>
        </w:tc>
      </w:tr>
      <w:tr>
        <w:trPr>
          <w:trHeight w:val="230"/>
        </w:trPr>
        <w:tc>
          <w:tcPr>
            <w:tcW w:w="4360" w:type="dxa"/>
            <w:vAlign w:val="bottom"/>
          </w:tcPr>
          <w:p>
            <w:pPr>
              <w:ind w:left="220"/>
              <w:spacing w:after="0"/>
              <w:rPr>
                <w:sz w:val="20"/>
                <w:szCs w:val="20"/>
                <w:color w:val="auto"/>
              </w:rPr>
            </w:pPr>
            <w:r>
              <w:rPr>
                <w:rFonts w:ascii="Arial" w:cs="Arial" w:eastAsia="Arial" w:hAnsi="Arial"/>
                <w:sz w:val="18"/>
                <w:szCs w:val="18"/>
                <w:color w:val="auto"/>
              </w:rPr>
              <w:t>Accrued interest</w:t>
            </w:r>
          </w:p>
        </w:tc>
        <w:tc>
          <w:tcPr>
            <w:tcW w:w="2220" w:type="dxa"/>
            <w:vAlign w:val="bottom"/>
          </w:tcPr>
          <w:p>
            <w:pPr>
              <w:jc w:val="right"/>
              <w:spacing w:after="0"/>
              <w:rPr>
                <w:sz w:val="20"/>
                <w:szCs w:val="20"/>
                <w:color w:val="auto"/>
              </w:rPr>
            </w:pPr>
            <w:r>
              <w:rPr>
                <w:rFonts w:ascii="Arial" w:cs="Arial" w:eastAsia="Arial" w:hAnsi="Arial"/>
                <w:sz w:val="18"/>
                <w:szCs w:val="18"/>
                <w:color w:val="auto"/>
              </w:rPr>
              <w:t>46,422</w:t>
            </w:r>
          </w:p>
        </w:tc>
        <w:tc>
          <w:tcPr>
            <w:tcW w:w="1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(46,422)</w:t>
            </w:r>
          </w:p>
        </w:tc>
        <w:tc>
          <w:tcPr>
            <w:tcW w:w="1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financing liability</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73,600</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(73,600)</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6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2220" w:type="dxa"/>
            <w:vAlign w:val="bottom"/>
          </w:tcPr>
          <w:p>
            <w:pPr>
              <w:jc w:val="right"/>
              <w:spacing w:after="0"/>
              <w:rPr>
                <w:sz w:val="20"/>
                <w:szCs w:val="20"/>
                <w:color w:val="auto"/>
              </w:rPr>
            </w:pPr>
            <w:r>
              <w:rPr>
                <w:rFonts w:ascii="Arial" w:cs="Arial" w:eastAsia="Arial" w:hAnsi="Arial"/>
                <w:sz w:val="18"/>
                <w:szCs w:val="18"/>
                <w:color w:val="auto"/>
              </w:rPr>
              <w:t>93,659</w:t>
            </w:r>
          </w:p>
        </w:tc>
        <w:tc>
          <w:tcPr>
            <w:tcW w:w="1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(93,659)</w:t>
            </w:r>
          </w:p>
        </w:tc>
        <w:tc>
          <w:tcPr>
            <w:tcW w:w="1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payable</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176,992</w:t>
            </w:r>
          </w:p>
        </w:tc>
        <w:tc>
          <w:tcPr>
            <w:tcW w:w="10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176,992</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liabilities</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413,663</w:t>
            </w:r>
          </w:p>
        </w:tc>
        <w:tc>
          <w:tcPr>
            <w:tcW w:w="100" w:type="dxa"/>
            <w:vAlign w:val="bottom"/>
            <w:tcBorders>
              <w:bottom w:val="single" w:sz="8" w:color="CCEEFF"/>
            </w:tcBorders>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57,874</w:t>
            </w:r>
          </w:p>
        </w:tc>
        <w:tc>
          <w:tcPr>
            <w:tcW w:w="100" w:type="dxa"/>
            <w:vAlign w:val="bottom"/>
            <w:tcBorders>
              <w:bottom w:val="single" w:sz="8" w:color="CCEEFF"/>
            </w:tcBorders>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471,537</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liabilities</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7,569,868</w:t>
            </w:r>
          </w:p>
        </w:tc>
        <w:tc>
          <w:tcPr>
            <w:tcW w:w="100" w:type="dxa"/>
            <w:vAlign w:val="bottom"/>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7,569,868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 Property Transactions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Recent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significant activities in 2021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MGP Transactions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August 4, 2021, we entered into the MGP Master Transaction Agreement, pursuant to which we will acquire MGP for total consideration of $17.2 billion, inclusive of the assumption of approximately $5.7 billion of debt. MGP is a publicly traded gaming REIT and the MGP Transactions will add $1,009.0 million of annualized rent to our portfolio from 15 Class A entertainment casino resort properties spread across nine regions and comprising 33,000 hotel rooms, 3.6 million square feet of meeting and convention space and hundreds of food, beverage and entertainment venues.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MGP’s portfolio, including properties owned by the BREIT JV, includes seven large-scale entertainment and gaming-related properties located on the Las Vegas Strip: Mandalay Bay, MGM Grand Las Vegas, The Mirage, Park MGM, New York-New York (and The Park, a dining and entertainment district located between New York-New York and Park MGM), Luxor and Excalibur. Outside of Las Vegas, MGP also owns eight high-quality casino resort properties: MGM Grand Detroit in Detroit, Michigan, Beau Rivage in Biloxi, Mississippi, Gold Strike Tunica in Tunica, Mississippi, Borgata in Atlantic City, New Jersey, MGM National Harbor in Prince George’s County, Maryland, MGM Northfield Park in Northfield, Ohio, Empire City in Yonkers, New York and MGM Springfield in Springfield, Massachusetts. MGP’s portfolio includes two of the five largest hotels in the United States and two of the three largest Las Vegas resorts by room count and convention space.</w:t>
      </w:r>
    </w:p>
    <w:p>
      <w:pPr>
        <w:spacing w:after="0" w:line="12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expect the MGP Transactions, which are subject to customary closing conditions, including regulatory approvals, to be completed in the first half of 2022. However, we can provide no assurances that the MGP Transactions will close in the anticipated timeframe, on the contemplated terms or at all.</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contemplated agreements and related activities under the MGP Transactions:</w:t>
      </w:r>
    </w:p>
    <w:p>
      <w:pPr>
        <w:spacing w:after="0" w:line="171" w:lineRule="exact"/>
        <w:rPr>
          <w:sz w:val="20"/>
          <w:szCs w:val="20"/>
          <w:color w:val="auto"/>
        </w:rPr>
      </w:pPr>
    </w:p>
    <w:p>
      <w:pPr>
        <w:jc w:val="both"/>
        <w:ind w:left="660" w:hanging="328"/>
        <w:spacing w:after="0" w:line="269" w:lineRule="auto"/>
        <w:tabs>
          <w:tab w:leader="none" w:pos="655" w:val="left"/>
        </w:tabs>
        <w:numPr>
          <w:ilvl w:val="0"/>
          <w:numId w:val="68"/>
        </w:numPr>
        <w:rPr>
          <w:rFonts w:ascii="Arial" w:cs="Arial" w:eastAsia="Arial" w:hAnsi="Arial"/>
          <w:sz w:val="17"/>
          <w:szCs w:val="17"/>
          <w:color w:val="auto"/>
        </w:rPr>
      </w:pPr>
      <w:r>
        <w:rPr>
          <w:rFonts w:ascii="Arial" w:cs="Arial" w:eastAsia="Arial" w:hAnsi="Arial"/>
          <w:sz w:val="17"/>
          <w:szCs w:val="17"/>
          <w:i w:val="1"/>
          <w:iCs w:val="1"/>
          <w:color w:val="auto"/>
        </w:rPr>
        <w:t xml:space="preserve">MGP Master Transaction Agreement. </w:t>
      </w:r>
      <w:r>
        <w:rPr>
          <w:rFonts w:ascii="Arial" w:cs="Arial" w:eastAsia="Arial" w:hAnsi="Arial"/>
          <w:sz w:val="17"/>
          <w:szCs w:val="17"/>
          <w:color w:val="auto"/>
        </w:rPr>
        <w:t>On August 4, 2021, we entered into the MGP Master Transaction Agreement with MGP, MGP OP, the</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Partnership, REIT Merger Sub, New VICI Operating Company, and MGM. Pursuant to the terms and subject to the conditions set forth in the MGP Master Transaction Agreement, at the effective time of the REIT Merger, each outstanding Class A common share, no par value per share, of MGP (“MGP Common Shares”) (other than MGP Common Shares then held in treasury by MGP or owned by any of MGP’s wholly owned subsidiaries) will be converted into the right to receive 1.366 (the “Exchange Ratio”) shares of common stock of the Company (such consideration, the “REIT Merger Consideration”), plus the right, if any, to receive cash in lieu of fractional shares of our common stock into which such MGP Common Shares would have been converted pursuant to the terms and subject to the conditions set forth in the MGP Master Transaction Agreement. The outstanding Class B common share, no par value per share, of MGP (the “Class B Share”), which is held by MGM, will be cancelled at the effective time of the REIT Merger. The REIT Merger is intended to qualify as a “reorganization” within the meaning of Section 368(a) of the Internal Revenue Code of 1986, as amended (the “Code”).</w:t>
      </w:r>
    </w:p>
    <w:p>
      <w:pPr>
        <w:spacing w:after="0" w:line="131" w:lineRule="exact"/>
        <w:rPr>
          <w:rFonts w:ascii="Arial" w:cs="Arial" w:eastAsia="Arial" w:hAnsi="Arial"/>
          <w:sz w:val="17"/>
          <w:szCs w:val="17"/>
          <w:color w:val="auto"/>
        </w:rPr>
      </w:pPr>
    </w:p>
    <w:p>
      <w:pPr>
        <w:jc w:val="both"/>
        <w:ind w:left="660"/>
        <w:spacing w:after="0" w:line="290" w:lineRule="auto"/>
        <w:rPr>
          <w:rFonts w:ascii="Arial" w:cs="Arial" w:eastAsia="Arial" w:hAnsi="Arial"/>
          <w:sz w:val="17"/>
          <w:szCs w:val="17"/>
          <w:color w:val="auto"/>
        </w:rPr>
      </w:pPr>
      <w:r>
        <w:rPr>
          <w:rFonts w:ascii="Arial" w:cs="Arial" w:eastAsia="Arial" w:hAnsi="Arial"/>
          <w:sz w:val="16"/>
          <w:szCs w:val="16"/>
          <w:color w:val="auto"/>
        </w:rPr>
        <w:t>Following the REIT Merger, pursuant to and subject to the terms set forth in the MGP Master Transaction Agreement, at the effective time of the Partnership Merger, each limited partnership unit in MGP OP (other than the limited partnership units in MGP OP held by REIT Merger Sub or any subsidiary of MGP OP), all of which are held by MGM and certain of its subsidiaries, will be converted into the right to receive a number of limited liability company units of New VICI Operating Company (“New VICI Operating Company Units”, and such consideration, the “Partnership Merger Consideration”) equal to the Exchange Ratio. The Company will redeem a majority of the New VICI Operating Company Units received by MGM in the Partnership Merger for $4,404.0 million in cash (the “Redemption Consideration”) using the proceeds of long-term debt financing or, if unavailable, borrowings under the MGP Transactions Bridge Facility (as defined below) on the closing date of the Mergers (the “Redemption”). Following the Redemption, MGM will retain approximately 12.0 million New VICI Operating Company Units.</w:t>
      </w:r>
    </w:p>
    <w:p>
      <w:pPr>
        <w:spacing w:after="0" w:line="111" w:lineRule="exact"/>
        <w:rPr>
          <w:rFonts w:ascii="Arial" w:cs="Arial" w:eastAsia="Arial" w:hAnsi="Arial"/>
          <w:sz w:val="17"/>
          <w:szCs w:val="17"/>
          <w:color w:val="auto"/>
        </w:rPr>
      </w:pPr>
    </w:p>
    <w:p>
      <w:pPr>
        <w:jc w:val="both"/>
        <w:ind w:left="660"/>
        <w:spacing w:after="0" w:line="263" w:lineRule="auto"/>
        <w:rPr>
          <w:rFonts w:ascii="Arial" w:cs="Arial" w:eastAsia="Arial" w:hAnsi="Arial"/>
          <w:sz w:val="17"/>
          <w:szCs w:val="17"/>
          <w:color w:val="auto"/>
        </w:rPr>
      </w:pPr>
      <w:r>
        <w:rPr>
          <w:rFonts w:ascii="Arial" w:cs="Arial" w:eastAsia="Arial" w:hAnsi="Arial"/>
          <w:sz w:val="18"/>
          <w:szCs w:val="18"/>
          <w:color w:val="auto"/>
        </w:rPr>
        <w:t>The MGP Master Transaction Agreement contains customary covenants, representations, warranties, and closing conditions, as well as certain termination rights for MGP and us, in each case, as more fully described in the MGP Master Transaction Agreement. The consummation of the Mergers is also subject to certain customary closing conditions, including regulatory approvals.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In accordance with the MGP Master Transaction Agreement, the Company and MGP jointly prepared and filed with the SEC a Form S-4 registering the Company’s common stock issuable in the REIT Merger, declared effective by the SEC on September 23, 2021, which contains a proxy statement of the Company with respect to the special meeting of the Company’s stockholders convened for purposes of approving the issuance of the Company’s common stock in the REIT Merger and that also constitutes a prospectus of the Company and an information statement of MGP concerning the Mergers and MGM’s written consent to the REIT Merger and the transactions contemplated by the MGP Master Transaction Agreement, as described below. The proxy statement contains, subject to certain exceptions, the recommendation of the VICI board of directors that the Company stockholders vote in favor of the issuance of our common stock in the REIT Merger. At the special meeting of the Company’s stockholders held on October 29, 2021, the Company’s stockholders approved the issuance of the Company’s common stock in the REIT Merger.</w:t>
      </w:r>
    </w:p>
    <w:p>
      <w:pPr>
        <w:spacing w:after="0" w:line="142" w:lineRule="exact"/>
        <w:rPr>
          <w:sz w:val="20"/>
          <w:szCs w:val="20"/>
          <w:color w:val="auto"/>
        </w:rPr>
      </w:pPr>
    </w:p>
    <w:p>
      <w:pPr>
        <w:jc w:val="both"/>
        <w:ind w:left="660" w:hanging="328"/>
        <w:spacing w:after="0" w:line="273" w:lineRule="auto"/>
        <w:tabs>
          <w:tab w:leader="none" w:pos="655" w:val="left"/>
        </w:tabs>
        <w:numPr>
          <w:ilvl w:val="0"/>
          <w:numId w:val="69"/>
        </w:numPr>
        <w:rPr>
          <w:rFonts w:ascii="Arial" w:cs="Arial" w:eastAsia="Arial" w:hAnsi="Arial"/>
          <w:sz w:val="17"/>
          <w:szCs w:val="17"/>
          <w:color w:val="auto"/>
        </w:rPr>
      </w:pPr>
      <w:r>
        <w:rPr>
          <w:rFonts w:ascii="Arial" w:cs="Arial" w:eastAsia="Arial" w:hAnsi="Arial"/>
          <w:sz w:val="17"/>
          <w:szCs w:val="17"/>
          <w:i w:val="1"/>
          <w:iCs w:val="1"/>
          <w:color w:val="auto"/>
        </w:rPr>
        <w:t>MGM Master Lease Agreement and BREIT JV Lease</w:t>
      </w:r>
      <w:r>
        <w:rPr>
          <w:rFonts w:ascii="Arial" w:cs="Arial" w:eastAsia="Arial" w:hAnsi="Arial"/>
          <w:sz w:val="17"/>
          <w:szCs w:val="17"/>
          <w:color w:val="auto"/>
        </w:rPr>
        <w:t>. Simultaneous with the closing of the Mergers, we will enter into the MGM Master Lease</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The MGM Master Lease Agreement will have an initial term of 25 years, with three 10-year tenant renewal options and will have an initial total annual rent of $860.0 million, which will be reduced by $90.0 million to $770.0 million, subject to MGM’s pending sale of the operations of the Mirage to Hard Rock and entrance into the Mirage Lease. Rent under the MGM Master Lease Agreement will escalate at a rate of 2.0% per annum for the first 10 years and thereafter at the greater of 2.0% per annum or the increase in the consumer price index (“CPI”), subject to a 3.0% cap. The tenant’s obligations under the MGM Master Lease will be guaranteed by MGM.</w:t>
      </w:r>
    </w:p>
    <w:p>
      <w:pPr>
        <w:spacing w:after="0" w:line="123" w:lineRule="exact"/>
        <w:rPr>
          <w:rFonts w:ascii="Arial" w:cs="Arial" w:eastAsia="Arial" w:hAnsi="Arial"/>
          <w:sz w:val="17"/>
          <w:szCs w:val="17"/>
          <w:color w:val="auto"/>
        </w:rPr>
      </w:pPr>
    </w:p>
    <w:p>
      <w:pPr>
        <w:jc w:val="both"/>
        <w:ind w:left="660" w:right="20"/>
        <w:spacing w:after="0" w:line="296" w:lineRule="auto"/>
        <w:rPr>
          <w:rFonts w:ascii="Arial" w:cs="Arial" w:eastAsia="Arial" w:hAnsi="Arial"/>
          <w:sz w:val="17"/>
          <w:szCs w:val="17"/>
          <w:color w:val="auto"/>
        </w:rPr>
      </w:pPr>
      <w:r>
        <w:rPr>
          <w:rFonts w:ascii="Arial" w:cs="Arial" w:eastAsia="Arial" w:hAnsi="Arial"/>
          <w:sz w:val="16"/>
          <w:szCs w:val="16"/>
          <w:color w:val="auto"/>
        </w:rPr>
        <w:t>Additionally, we will retain MGP’s existing 50.1% ownership stake in the BREIT JV, which owns the real estate assets of MGM Grand Las Vegas and Mandalay Bay. The BREIT JV lease will remain unchanged and provides for current total annual base rent of approximately $298.0 million, of which approximately $149.0 million is attributable to MGP’s investment in the BREIT JV, and an initial term of thirty years with two 10-year tenant renewal options. Rent under the BREIT JV lease escalates at a rate of 2.0% per annum for the first fifteen years and thereafter at the greater of 2.0% per annum or CPI, subject to a 3.0% cap. The tenant’s obligations under the BREIT JV lease will be guaranteed by MGM.</w:t>
      </w:r>
    </w:p>
    <w:p>
      <w:pPr>
        <w:spacing w:after="0" w:line="107" w:lineRule="exact"/>
        <w:rPr>
          <w:rFonts w:ascii="Arial" w:cs="Arial" w:eastAsia="Arial" w:hAnsi="Arial"/>
          <w:sz w:val="17"/>
          <w:szCs w:val="17"/>
          <w:color w:val="auto"/>
        </w:rPr>
      </w:pPr>
    </w:p>
    <w:p>
      <w:pPr>
        <w:jc w:val="both"/>
        <w:ind w:left="660" w:hanging="328"/>
        <w:spacing w:after="0" w:line="268" w:lineRule="auto"/>
        <w:tabs>
          <w:tab w:leader="none" w:pos="655" w:val="left"/>
        </w:tabs>
        <w:numPr>
          <w:ilvl w:val="0"/>
          <w:numId w:val="6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Tax Protection Agreement. </w:t>
      </w:r>
      <w:r>
        <w:rPr>
          <w:rFonts w:ascii="Arial" w:cs="Arial" w:eastAsia="Arial" w:hAnsi="Arial"/>
          <w:sz w:val="17"/>
          <w:szCs w:val="17"/>
          <w:color w:val="auto"/>
        </w:rPr>
        <w:t>In connection with the closing of the MGP Transactions, we have agreed with MGM to enter into a tax protection</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(the “MGM Tax Protection Agreement”) pursuant to which New VICI Operating Company will agree, subject to certain exceptions, for a period of 15 years following the closing of the Mergers (subject to early termination under certain circumstances), to indemnify MGM and certain of its subsidiaries (the “Protected Parties”) for certain tax liabilities resulting from (1) the sale, transfer, exchange or other disposition of a property owned directly or indirectly by MGP OP immediately prior to the closing date of the Mergers (each, a “Protected Property”), (2) a merger, consolidation, transfer of all assets of, or other significant transaction involving New VICI Operating Company pursuant to which the ownership interests of the Protected Parties in New VICI Operating Company are required to be exchanged in whole or in part for cash or other property, (3) the failure of New VICI Operating Company to maintain approximately $8.5 billion of nonrecourse indebtedness allocable to MGM, which amount may be reduced over time in accordance with the MGM Tax Protection Agreement, and (4) the failure of New VICI Operating Company or VICI to comply with certain tax covenants that would impact the tax liabilities of the Protected Parties. In the event that New VICI Operating Company or VICI breaches restrictions in the MGM Tax Protection Agreement, New VICI Operating Company will be liable for grossed-up tax amounts associated with the income or gain recognized as a result of such breach. In addition, the BREIT JV previously entered into a tax protection agreement with MGM with respect to built-in gain and debt maintenance related to MGM Grand Las Vegas and Mandalay Bay, which is effective through mid-2029, and by acquiring MGP, the Company will bear its 50.1% proportionate share in the BREIT JV of any indemnity under this existing tax protection agreement.</w:t>
      </w:r>
    </w:p>
    <w:p>
      <w:pPr>
        <w:spacing w:after="0" w:line="127" w:lineRule="exact"/>
        <w:rPr>
          <w:rFonts w:ascii="Arial" w:cs="Arial" w:eastAsia="Arial" w:hAnsi="Arial"/>
          <w:sz w:val="17"/>
          <w:szCs w:val="17"/>
          <w:i w:val="1"/>
          <w:iCs w:val="1"/>
          <w:color w:val="auto"/>
        </w:rPr>
      </w:pPr>
    </w:p>
    <w:p>
      <w:pPr>
        <w:jc w:val="both"/>
        <w:ind w:left="660" w:hanging="328"/>
        <w:spacing w:after="0" w:line="255"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Exchange Offers and Consent Solicitations</w:t>
      </w:r>
      <w:r>
        <w:rPr>
          <w:rFonts w:ascii="Arial" w:cs="Arial" w:eastAsia="Arial" w:hAnsi="Arial"/>
          <w:sz w:val="18"/>
          <w:szCs w:val="18"/>
          <w:color w:val="auto"/>
        </w:rPr>
        <w:t>. On September 13, 2021, we announced that the VICI Issuers commenced (i) private exchange offers</w:t>
      </w:r>
      <w:r>
        <w:rPr>
          <w:rFonts w:ascii="Arial" w:cs="Arial" w:eastAsia="Arial" w:hAnsi="Arial"/>
          <w:sz w:val="18"/>
          <w:szCs w:val="18"/>
          <w:i w:val="1"/>
          <w:iCs w:val="1"/>
          <w:color w:val="auto"/>
        </w:rPr>
        <w:t xml:space="preserve"> </w:t>
      </w:r>
      <w:r>
        <w:rPr>
          <w:rFonts w:ascii="Arial" w:cs="Arial" w:eastAsia="Arial" w:hAnsi="Arial"/>
          <w:sz w:val="18"/>
          <w:szCs w:val="18"/>
          <w:color w:val="auto"/>
        </w:rPr>
        <w:t>to certain eligible holders (collectively, the “Exchange Offers”) for any and all of each series of the MGP OP Notes for up to an aggregate principal amount of $4.2 billion of new notes issued by the VICI Issuers and (ii) consent solicitations with respect to each series of MGP OP Notes (collectively, the “Consent Solicitations”) to adopt certain proposed amendments to each of the indentures governing the MGP OP Notes (collectively, the “MGP OP Notes Indentures”), which, among other things, eliminate or modify certain of the covenants, restrictions, provisions and events of default in each of the MGP OP Notes Indentures.</w:t>
      </w:r>
    </w:p>
    <w:p>
      <w:pPr>
        <w:spacing w:after="0" w:line="138" w:lineRule="exact"/>
        <w:rPr>
          <w:rFonts w:ascii="Arial" w:cs="Arial" w:eastAsia="Arial" w:hAnsi="Arial"/>
          <w:sz w:val="18"/>
          <w:szCs w:val="18"/>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On September 27, 2021, we announced the early tender results of the Exchange Offers and the early participation results of the Consent Solicitations</w:t>
      </w:r>
      <w:r>
        <w:rPr>
          <w:rFonts w:ascii="Arial" w:cs="Arial" w:eastAsia="Arial" w:hAnsi="Arial"/>
          <w:sz w:val="16"/>
          <w:szCs w:val="16"/>
          <w:color w:val="auto"/>
        </w:rPr>
        <w:t>,</w:t>
      </w:r>
      <w:r>
        <w:rPr>
          <w:rFonts w:ascii="Arial" w:cs="Arial" w:eastAsia="Arial" w:hAnsi="Arial"/>
          <w:sz w:val="18"/>
          <w:szCs w:val="18"/>
          <w:color w:val="auto"/>
        </w:rPr>
        <w:t xml:space="preserve"> as well as the extension of the expiration date of the Exchange Offers from October 12, 2021 to December 31, 2021 (such date and time, as the same may be further extended, the “Expiration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left="660"/>
        <w:spacing w:after="0" w:line="290" w:lineRule="auto"/>
        <w:rPr>
          <w:sz w:val="20"/>
          <w:szCs w:val="20"/>
          <w:color w:val="auto"/>
        </w:rPr>
      </w:pPr>
      <w:r>
        <w:rPr>
          <w:rFonts w:ascii="Arial" w:cs="Arial" w:eastAsia="Arial" w:hAnsi="Arial"/>
          <w:sz w:val="16"/>
          <w:szCs w:val="16"/>
          <w:color w:val="auto"/>
        </w:rPr>
        <w:t>Date”). Following the receipt of the requisite consents pursuant to the Consent Solicitations, on September 23, 2021, the MGP Issuers executed supplemental indentures to each of the MGP OP Notes Indentures in order to effect the proposed amendments (the “MGP OP Supplemental Indentures”). The MGP OP Supplemental Indentures will become operative upon the settlement of the Exchange Offers and the Consent Solicitations (the “Settlement Date”), which is expected to occur promptly after the Expiration Date on or about the closing date of the Mergers. To the extent the consummation of the MGP Transactions is not anticipated to occur on or before the then-anticipated Settlement Date, for any reason, the VICI Issuers anticipate continuing to extend the Expiration Date until such time that the Mergers may be consummated on or before the Settlement Date. On December 28, 2021, we announced the further extension of the Expiration Date from December 31, 2021 to February 15, 2022. On February 14, 2022, we announced the further extension of the Expiration Date to March 31, 2022.</w:t>
      </w:r>
    </w:p>
    <w:p>
      <w:pPr>
        <w:spacing w:after="0" w:line="111" w:lineRule="exact"/>
        <w:rPr>
          <w:sz w:val="20"/>
          <w:szCs w:val="20"/>
          <w:color w:val="auto"/>
        </w:rPr>
      </w:pPr>
    </w:p>
    <w:p>
      <w:pPr>
        <w:jc w:val="both"/>
        <w:ind w:left="660"/>
        <w:spacing w:after="0" w:line="311" w:lineRule="auto"/>
        <w:rPr>
          <w:sz w:val="20"/>
          <w:szCs w:val="20"/>
          <w:color w:val="auto"/>
        </w:rPr>
      </w:pPr>
      <w:r>
        <w:rPr>
          <w:rFonts w:ascii="Arial" w:cs="Arial" w:eastAsia="Arial" w:hAnsi="Arial"/>
          <w:sz w:val="16"/>
          <w:szCs w:val="16"/>
          <w:color w:val="auto"/>
        </w:rPr>
        <w:t>The Exchange Offers and Consent Solicitations are being made solely pursuant to the terms and conditions set forth in the confidential offering memorandum, dated September 13, 2021, in a private offering exempt from, or not subject to, registration under the Securities Act of 1933, as amended (the “Securities Act”), and are subject to the satisfaction of certain conditions, including the consummation of the Mergers.</w:t>
      </w:r>
    </w:p>
    <w:p>
      <w:pPr>
        <w:spacing w:after="0" w:line="95" w:lineRule="exact"/>
        <w:rPr>
          <w:sz w:val="20"/>
          <w:szCs w:val="20"/>
          <w:color w:val="auto"/>
        </w:rPr>
      </w:pPr>
    </w:p>
    <w:p>
      <w:pPr>
        <w:jc w:val="both"/>
        <w:ind w:left="660" w:hanging="328"/>
        <w:spacing w:after="0" w:line="269" w:lineRule="auto"/>
        <w:tabs>
          <w:tab w:leader="none" w:pos="655" w:val="left"/>
        </w:tabs>
        <w:numPr>
          <w:ilvl w:val="0"/>
          <w:numId w:val="7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Mirage Severance Lease. </w:t>
      </w:r>
      <w:r>
        <w:rPr>
          <w:rFonts w:ascii="Arial" w:cs="Arial" w:eastAsia="Arial" w:hAnsi="Arial"/>
          <w:sz w:val="17"/>
          <w:szCs w:val="17"/>
          <w:color w:val="auto"/>
        </w:rPr>
        <w:t>On December 13, 2021, in connection with MGM’s agreement to sell the operations of the Mirage Hotel &amp; Casino to</w:t>
      </w:r>
      <w:r>
        <w:rPr>
          <w:rFonts w:ascii="Arial" w:cs="Arial" w:eastAsia="Arial" w:hAnsi="Arial"/>
          <w:sz w:val="17"/>
          <w:szCs w:val="17"/>
          <w:i w:val="1"/>
          <w:iCs w:val="1"/>
          <w:color w:val="auto"/>
        </w:rPr>
        <w:t xml:space="preserve"> </w:t>
      </w:r>
      <w:r>
        <w:rPr>
          <w:rFonts w:ascii="Arial" w:cs="Arial" w:eastAsia="Arial" w:hAnsi="Arial"/>
          <w:sz w:val="17"/>
          <w:szCs w:val="17"/>
          <w:color w:val="auto"/>
        </w:rPr>
        <w:t>Hard Rock, we agreed to enter into a new separate lease with Hard Rock related to the operation of the Mirage (the “Mirage Lease”), and enter into an amendment to the MGM Master Lease Agreement relating to the sale of the Mirage. The Mirage Lease will have initial annual base rent of $90.0 million with other economic terms substantially similar to the MGM Master Lease Agreement, including a base term of 25 years with three 10-year tenant renewal options, escalation of 2.0% per annum (with escalation of the greater of 2.0% and CPI, capped at 3.0%, beginning in lease year 11) and minimum capital expenditure requirements of 1.0% of annual net revenue. The MGM Master Lease Agreement will be amended to account for MGM’s divestiture of the Mirage operations and will result in a reduction of the initial annual base rent under the MGM Master Lease Agreement by $90.0 million. We expect these transactions to be completed in the second half of 2022, and they remain subject to customary closing conditions, regulatory approvals and the closing of the MGP Transactions. Additionally, subject to certain conditions, we may fund up to $1.5 billion of Hard Rock’s redevelopment plan for the Mirage through our Partner Property Growth Fund. Specific terms of the redevelopment and related funding remain under discussion and subject to final documentation.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Venetian Acquisition</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Subsequent to year end, on February 23, 2022, we closed on the previously announced transaction to acquire all of the land and real estate assets associated with the Venetian Resort from LVS for $4.0 billion in cash, and the Venetian Tenant acquired the operating assets of the Venetian Resort for $2.25 billion, of which $1.2 billion is in the form of a secured term loan from LVS and the remainder was paid in cash. We funded the Venetian Acquisition with (i) $3.2 billion in net proceeds from the physical settlement of the March 2021 Forward Sale Agreements and the September 2021 Forward Sale Agreements,</w:t>
      </w:r>
    </w:p>
    <w:p>
      <w:pPr>
        <w:spacing w:after="0" w:line="1" w:lineRule="exact"/>
        <w:rPr>
          <w:sz w:val="20"/>
          <w:szCs w:val="20"/>
          <w:color w:val="auto"/>
        </w:rPr>
      </w:pPr>
    </w:p>
    <w:p>
      <w:pPr>
        <w:jc w:val="both"/>
        <w:ind w:firstLine="8"/>
        <w:spacing w:after="0" w:line="287" w:lineRule="auto"/>
        <w:tabs>
          <w:tab w:leader="none" w:pos="265" w:val="left"/>
        </w:tabs>
        <w:numPr>
          <w:ilvl w:val="0"/>
          <w:numId w:val="71"/>
        </w:numPr>
        <w:rPr>
          <w:rFonts w:ascii="Arial" w:cs="Arial" w:eastAsia="Arial" w:hAnsi="Arial"/>
          <w:sz w:val="16"/>
          <w:szCs w:val="16"/>
          <w:color w:val="auto"/>
        </w:rPr>
      </w:pPr>
      <w:r>
        <w:rPr>
          <w:rFonts w:ascii="Arial" w:cs="Arial" w:eastAsia="Arial" w:hAnsi="Arial"/>
          <w:sz w:val="16"/>
          <w:szCs w:val="16"/>
          <w:color w:val="auto"/>
        </w:rPr>
        <w:t>an initial draw on the Revolving Credit Facility of $600.0 million, and (iii) cash on hand. Simultaneous with the closing of the Venetian Acquisition, we entered into the Venetian Lease Agreement with the Venetian Tenant. The Venetian Lease Agreement has an initial total annual rent of $250.0 million and an initial term of 30 years, with two ten-year tenant renewal options. The annual rent will be subject to escalation equal to the greater of 2.0% and the increase in the CPI, capped at 3.0%, beginning in the earlier of (i) the beginning of the third lease year, and (ii) the month following the month in which the net revenue generated by the Venetian Resort returns to its 2019 level (the year immediately prior to the onset of the COVID-19 pandemic) on a trailing twelve-month basis. We anticipate that the land and building components of the Venetian Lease Agreement will meet the definition of a sales-type lease and accordingly, during the three months ended March 31, 2022, we will record the corresponding asset, including related transaction and acquisition expenses, with an offsetting CECL allowance in Investments in leases - sales-type and direct financing on our Balance Sheet.</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the Venetian Acquisition, we entered into a Property Growth Fund Agreement (“Venetian PGFA”) with the Venetian Tenant. Under the Venetian PGFA we agreed to provide up to $1.0 billion for various development and construction projects affecting the Venetian Resort to be identified by the Venetian Tenant and that satisfy certain criteria more particularly set forth in the Venetian PGFA, in consideration of additional incremental rent to be paid by the Venetian Tenant under the Venetian Lease Agreement and calculated in accordance with a formula set forth in the Venetian PGFA. Upon execution of the PGFA we will be required to estimate a CECL allowance related to the contractual commitments to extend credit, which will be in part based on our best estimates of funding such commitments. Accordingly, during the three months ended March 31, 2022, we will record a CECL allowance for our unfunded commitment in Other liabilities.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LVS agreed with the Venetian Tenant pursuant to an agreement (the “Contingent Lease Support Agreement”) entered into simultaneously with the closing of the Venetian Acquisition to provide lease payment support designed to guarantee the Venetian Tenant’s rent obligations under the Venetian Lease Agreement through 2023, subject to early termination if EBITDAR (as defined in such agreement) generated by the Venetian Resort in 2022 equals or exceeds $550.0 million, or a tenant change of control occurs. We are a third-party beneficiary of the Contingent Lease Support Agreement and have certain enforcement rights pursuant thereto. The Contingent Lease Support Agreement is limited to coverage of the Venetian Tenant’s rent obligations and does not cover any environmental expenses, litigation claims, or any cure or enforcement costs. The obligations of the Venetian Tenant under the Venetian Lease Agreement are not guaranteed by Apollo or any of its affiliates. After the termination of the Contingent Lease Support Agreement, the Venetian Tenant will be required to provide a letter of credit to secure seven and one-half months of the rent, real estate taxes and assessments and insurance obligations of the Venetian Tenant if the operating results from the Venetian Resort do not exceed certain thresholds.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Louisiana Downs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 2021, we and Caesars closed on the previously announced transaction to sell Harrah’s Louisiana Downs Casino for $22.0 million to Rubico Acquisition Corp. We received $5.5 million of the proceeds from the sale and Caesars received $16.5 million of the proceeds. We did not recognize any gain or loss on the sale of Louisiana Downs as the asset was sold at its carrying amount. The annual rent payments under the Regional Master Lease Agreement remain unchanged following completion of the disposition.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BigShots Strategic Arrangement</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September 15, 2021, we and ClubCorp Holdings, Inc. (“ClubCorp”), a portfolio company of Apollo, announced that we entered into a strategic arrangement to grow their BigShots golf subsidiary (“BigShots Golf”), whereby we may provide up to $80.0 million of mortgage financing for the construction of up to five new BigShots Golf facilities throughout the United States. As part of the non-binding arrangement, we will have a call right to acquire the real estate assets associated with any BigShots Golf facility financed by us, which transaction will be structured as a sale leaseback. In addition, for so long as the mortgage financing remains outstanding and we continue to hold a majority interest therein, we expect to have a right of first offer on any additional mortgage, mezzanine, preferred equity, or other similar financing that is treated as debt to be obtained by BigShots Golf (or any of its affiliates) for any multisite financing related to the development of BigShots Golf’s extensive existing and growing pipeline of facilities. Pursuant to the non-binding letter agreement, the terms and conditions of any transaction between the parties will be set forth in definitive documentation.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Caesars Southern Indiana Lease Agreement</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September 3, 2021, in connection and concurrent with EBCI’s acquisition of the operations of Caesars Southern Indiana from Caesars, we entered into a triple-net lease agreement with a subsidiary of EBCI, the EBCI Lease Agreement, with respect to the real property associated with Caesars Southern Indiana. Initial total annual rent under the lease with EBCI is $32.5 million. The lease has an initial term of 15 years, with four 5-year tenant renewal options. The tenant’s obligations under the lease are guaranteed by EBCI. Annual base rent payments under the Regional Master Lease Agreement were reduced by $32.5 million upon completion of EBCI’s acquisition of the operations of Caesars Southern Indiana and the execution of the EBCI Lease Agreement. We determined that the land and building components of the EBCI Lease Agreement meet the definition of a sales-type lease and, as the asset continues to meet the definition of a sales-type lease under ASC 842, the existing lease balance of Caesars Southern Indiana was transferred from Caesars to EBCI, as the new tenant, and the income is recognized using the revised rate implicit in the lease. In addition, as part of the transaction, EBCI and Caesars entered into a right of first refusal agreement pursuant to which we have the first right to enter into a sale leaseback transaction with respect to the real property associated with the development of a new casino resort in Danville, Virginia (the “Danville ROFR Agreement”).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Great Wolf Mezzanine Loan</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16, 2021, we entered into a mezzanine loan agreement (the “Great Wolf Mezzanine Loan”) with an affiliate of Great Wolf Resorts, Inc. (“Great Wolf”) to provide up to $79.5 million in financing to partially fund the development of the Great Wolf Lodge Maryland, an expansive 48-acre indoor water park resort located in Perryville, MD. The Great Wolf Mezzanine Loan bears interest at a rate of 8.0% per annum and has an initial term of three years with two successive 12-month extension options, subject to certain conditions. Our commitment will be funded subject to customary terms and conditions in disbursements to the borrower based upon construction of the development and, as of December 31, 2021, approximately $33.6 million of the funds have been disbursed. We expect to fund our entire $79.5 million commitment by mid-2022.</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addition, pursuant to a non-binding letter agreement, we will have the opportunity for a period of up to five years to provide up to a total of $300.0 million of mezzanine financing, inclusive of the $79.5 million related to the Great Wolf Lodge Maryland, for the development and construction of Great Wolf’s extensive domestic and international indoor water park resort pipeline.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significant activities in 2020, in reverse chronological order,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Harrah’s Reno and Bally’s Atlantic City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30, 2020, we and Caesars closed on the previously announced transaction to sell Harrah’s Reno to a third party at a purchase price of $41.5 million. Pursuant to the agreement, we received $31.1 million of the proceeds of the sale and Caesars received $10.4 million of the proceeds. We did not recognize any gain or loss on the sale of Harrah’s Reno as the asset was sold at its carrying amount. The annual rent payments under the Regional Master Lease Agreement remain unchanged following completion of the disposition.</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18, 2020, we and Caesars closed on the previously announced transaction to sell Bally’s Atlantic City Hotel &amp; Casino for $25.0 million to Bally’s Corporation. We received approximately $19.0 million of the proceeds from the sale and Caesars received approximately $6.0 million of the proceeds. We did not recognize any gain or loss on the sale of Bally’s Atlantic City as the asset was sold at its carrying amount. The annual rent payments under the Regional Master Lease Agreement remain unchanged following completion of the disposition.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Caesars Forum Convention Center Mortgage Loan</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September 18, 2020, we entered into a mortgage loan agreement with a subsidiary of Caesars (the “Forum Convention Center Borrower”) pursuant to which we loaned $400.0 million to the Forum Convention Center Borrower for a term of five years, prepayable beginning in year three, subject to certain conditions (the “Forum Convention Center Mortgage Loan”). The Forum Convention Center Mortgage Loan is secured by, among other things, a first priority fee mortgage on the Caesars Forum Convention Center. The interest rate on the Forum Convention Center Mortgage Loan was initially 7.7% per annum, with annual interest payments subject to 2.0% annual escalation (resulting in year two annual interest of $31.4 million based on a year two interest rate of 7.854%), with interest paid monthly in cash in arrears.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Convention Center Put-Call Agreement</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18, 2020, concurrent with the entry into the Forum Convention Center Mortgage Loan, we and a subsidiary of Caesars amended and restated the Amended and Restated Put-Call Right Agreement entered into on July 20, 2020 in connection with the consummation of the Eldorado Transaction (as further amended, the “A&amp;R Convention Center Put-Call Agreement”) related to the Caesars Forum Convention Center. The A&amp;R Convention Center Put-Call Agreement provides for (i) a call right in our favor and a put right in favor of Caesars, which, if exercised by either party, would result in the sale by Caesars to us and simultaneous leaseback by us to Caesars of the Caesars Forum Convention Center (the “Convention Center Call Right”), at a price equal to 13.0x the initial annual rent for Caesars Forum Convention Center as proposed by Caesars (which shall be between $25.0 million and $35.0 million). We may exercise the call right from September 18, 2025 (the scheduled maturity date of the Forum Convention Center Mortgage Loan) until December 31, 2026, and Caesars may exercise the put right between January 1, 2024 and December 31, 2024. If there is an event of default under the Forum Convention Center Mortgage Loan, the Convention Center Put Right will not be exercisable and we, at our option, may accelerate the Convention Center Call Right so that it is exercisable from the date of such event of default until December 31, 2026 (in addition to any other remedies available to us in connection with such event of default).</w:t>
      </w:r>
    </w:p>
    <w:p>
      <w:pPr>
        <w:spacing w:after="0" w:line="12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A&amp;R Convention Center Put-Call Agreement also provides for, if Caesars exercises the Convention Center Put Right and, among other things, the sale of the Caesars Forum Convention Center to us does not close for certain reasons more particularly described in the A&amp;R Convention Center Put-Call Agreement, a repurchase right in favor of Caesars, which, if exercised, would result in the sale of the Harrah’s Las Vegas property by us to Caesars (the “HLV Repurchase Right”), exercisable by Caesars during a one-year period commencing on the date upon which the closing under the Convention Center Put Right transaction does not occur and ending on the day immediately preceding the one-year anniversary thereof for a price equal to 13.0x the rent of the Harrah’s Las Vegas property for the most recently ended annual period for which Caesars’ financial statements are available as of Caesars’ election to exercise the HLV Repurchase Right.</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Chelsea Piers Mortgage Loan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31, 2020, we entered into an $80.0 million mortgage loan agreement (the “Chelsea Piers Mortgage Loan”) with Chelsea Piers New York (“Chelsea Piers”) secured by the Chelsea Piers complex in New York City, pursuant to which we provided (i) an initial term loan of $65.0 million and (ii) a $15.0 million delayed draw term loan at the borrowers’ election (which remained undrawn as of December 31, 2021), subject to certain conditions. The Chelsea Piers Mortgage Loan bears interest at a rate of 7.0% per annum, with a term of 7 years.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Consummation of the Eldorado Transaction</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July 20, 2020, concurrent with the consummation of the Eldorado/Caesars Merger, we consummated the Eldorado Transaction contemplated by the Eldorado MTA and the Harrah’s Original Call Property Purchase Agreements (as defined below). We funded the Eldorado Transaction with a combination of cash on hand, the proceeds from the physical settlement, on June 2, 2020, of the forward sale agreements entered into in June 2019 and the proceeds from our February 2020 Senior Unsecured Notes offering. Any references to Caesars in the subsequent transaction discussion refer to the combined Eldorado/Caesars subsequent to the consummation of the Eldorado/Caesars Merger.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closing of the Eldorado Transaction includes the consummation of the transactions contemplated by the following agreements:</w:t>
      </w:r>
    </w:p>
    <w:p>
      <w:pPr>
        <w:spacing w:after="0" w:line="171" w:lineRule="exact"/>
        <w:rPr>
          <w:sz w:val="20"/>
          <w:szCs w:val="20"/>
          <w:color w:val="auto"/>
        </w:rPr>
      </w:pPr>
    </w:p>
    <w:p>
      <w:pPr>
        <w:jc w:val="both"/>
        <w:ind w:left="740" w:hanging="368"/>
        <w:spacing w:after="0" w:line="254" w:lineRule="auto"/>
        <w:tabs>
          <w:tab w:leader="none" w:pos="735"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Acquisition of the Harrah’s Original Call Properties. </w:t>
      </w:r>
      <w:r>
        <w:rPr>
          <w:rFonts w:ascii="Arial" w:cs="Arial" w:eastAsia="Arial" w:hAnsi="Arial"/>
          <w:sz w:val="18"/>
          <w:szCs w:val="18"/>
          <w:color w:val="auto"/>
        </w:rPr>
        <w:t>We acquired all of the land and real estate assets associated with Harrah’s New Orleans,</w:t>
      </w:r>
      <w:r>
        <w:rPr>
          <w:rFonts w:ascii="Arial" w:cs="Arial" w:eastAsia="Arial" w:hAnsi="Arial"/>
          <w:sz w:val="18"/>
          <w:szCs w:val="18"/>
          <w:i w:val="1"/>
          <w:iCs w:val="1"/>
          <w:color w:val="auto"/>
        </w:rPr>
        <w:t xml:space="preserve"> </w:t>
      </w:r>
      <w:r>
        <w:rPr>
          <w:rFonts w:ascii="Arial" w:cs="Arial" w:eastAsia="Arial" w:hAnsi="Arial"/>
          <w:sz w:val="18"/>
          <w:szCs w:val="18"/>
          <w:color w:val="auto"/>
        </w:rPr>
        <w:t>Harrah’s Laughlin and Harrah’s Atlantic City (collectively, the “Harrah’s Original Call Properties”) for an aggregate purchase price of $1,823.5 million (the “Harrah’s Original Call Properties Acquisitions”). The Regional Master Lease Agreement was amended to, among other things, include each such property, with initial aggregate total annual rent payable to us increased by $154.0 million to $621.7 million, and to extend the initial term to July 2035 and to adjust certain minimum capital expenditure requirements and other related terms and conditions as a result of the Harrah’s Original Call Properties being included in the Regional Master Lease Agreement as further described in “—Lease Amendments and Terminations” below.</w:t>
      </w:r>
    </w:p>
    <w:p>
      <w:pPr>
        <w:spacing w:after="0" w:line="140" w:lineRule="exact"/>
        <w:rPr>
          <w:rFonts w:ascii="Arial" w:cs="Arial" w:eastAsia="Arial" w:hAnsi="Arial"/>
          <w:sz w:val="18"/>
          <w:szCs w:val="18"/>
          <w:color w:val="auto"/>
        </w:rPr>
      </w:pPr>
    </w:p>
    <w:p>
      <w:pPr>
        <w:jc w:val="both"/>
        <w:ind w:left="740" w:hanging="368"/>
        <w:spacing w:after="0" w:line="270" w:lineRule="auto"/>
        <w:tabs>
          <w:tab w:leader="none" w:pos="735" w:val="left"/>
        </w:tabs>
        <w:numPr>
          <w:ilvl w:val="0"/>
          <w:numId w:val="72"/>
        </w:numPr>
        <w:rPr>
          <w:rFonts w:ascii="Arial" w:cs="Arial" w:eastAsia="Arial" w:hAnsi="Arial"/>
          <w:sz w:val="17"/>
          <w:szCs w:val="17"/>
          <w:color w:val="auto"/>
        </w:rPr>
      </w:pPr>
      <w:r>
        <w:rPr>
          <w:rFonts w:ascii="Arial" w:cs="Arial" w:eastAsia="Arial" w:hAnsi="Arial"/>
          <w:sz w:val="17"/>
          <w:szCs w:val="17"/>
          <w:i w:val="1"/>
          <w:iCs w:val="1"/>
          <w:color w:val="auto"/>
        </w:rPr>
        <w:t xml:space="preserve">Creation of Las Vegas Master Lease. </w:t>
      </w:r>
      <w:r>
        <w:rPr>
          <w:rFonts w:ascii="Arial" w:cs="Arial" w:eastAsia="Arial" w:hAnsi="Arial"/>
          <w:sz w:val="17"/>
          <w:szCs w:val="17"/>
          <w:color w:val="auto"/>
        </w:rPr>
        <w:t>In consideration of a payment by us to (i) the tenant under the CPLV Lease Agreement of $1,189.9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(the “CPLV Lease Amendment Payment”) and (ii) the tenant under the HLV Lease Agreement of $213.8 million (the “HLV Lease Amendment Payment”), upon the consummation of the Eldorado Transaction, (a) the CPLV Lease Agreement was amended to (A) combine the CPLV Lease Agreement and the HLV Lease Agreement into a single Las Vegas Master Lease Agreement, (B) increase the annual rent payable to us thereunder associated with Caesars Palace Las Vegas by $83.5 million (the “CPLV Additional Rent Acquisition”), (C) increase the annual rent previously payable to us with respect to the Harrah’s Las Vegas property by $15.0 million (the “HLV Additional Rent Acquisition”) under the Las Vegas Master Lease Agreement and (D) to provide for the amended terms described below, and (b) the HLV Lease Agreement and the related lease guaranty were terminated. As a result of such amendments, the Harrah’s Las Vegas property is also now subject to the higher rent escalator under the Las Vegas Master Lease Agreement.</w:t>
      </w:r>
    </w:p>
    <w:p>
      <w:pPr>
        <w:spacing w:after="0" w:line="126" w:lineRule="exact"/>
        <w:rPr>
          <w:rFonts w:ascii="Arial" w:cs="Arial" w:eastAsia="Arial" w:hAnsi="Arial"/>
          <w:sz w:val="17"/>
          <w:szCs w:val="17"/>
          <w:color w:val="auto"/>
        </w:rPr>
      </w:pPr>
    </w:p>
    <w:p>
      <w:pPr>
        <w:jc w:val="both"/>
        <w:ind w:left="740" w:hanging="368"/>
        <w:spacing w:after="0" w:line="257" w:lineRule="auto"/>
        <w:tabs>
          <w:tab w:leader="none" w:pos="735"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Lease Amendments and Terminations. </w:t>
      </w:r>
      <w:r>
        <w:rPr>
          <w:rFonts w:ascii="Arial" w:cs="Arial" w:eastAsia="Arial" w:hAnsi="Arial"/>
          <w:sz w:val="18"/>
          <w:szCs w:val="18"/>
          <w:color w:val="auto"/>
        </w:rPr>
        <w:t>Each of the Caesars Lease Agreements was amended to, among other things, (i) remove the rent coverage</w:t>
      </w:r>
      <w:r>
        <w:rPr>
          <w:rFonts w:ascii="Arial" w:cs="Arial" w:eastAsia="Arial" w:hAnsi="Arial"/>
          <w:sz w:val="18"/>
          <w:szCs w:val="18"/>
          <w:i w:val="1"/>
          <w:iCs w:val="1"/>
          <w:color w:val="auto"/>
        </w:rPr>
        <w:t xml:space="preserve"> </w:t>
      </w:r>
      <w:r>
        <w:rPr>
          <w:rFonts w:ascii="Arial" w:cs="Arial" w:eastAsia="Arial" w:hAnsi="Arial"/>
          <w:sz w:val="18"/>
          <w:szCs w:val="18"/>
          <w:color w:val="auto"/>
        </w:rPr>
        <w:t>floors, which coverage floors served to reduce the rent escalators under such leases in the event that the “EBITDAR to Rent Ratio” (as defined in the applicable Caesars Lease Agreements) coverage was below the stated floor and (ii) extend the term of each such lease by such additional period of time as necessary to ensure that each lease will have a full 15-year initial lease term following the consummation of the Eldorado Transaction.</w:t>
      </w:r>
    </w:p>
    <w:p>
      <w:pPr>
        <w:spacing w:after="0" w:line="133" w:lineRule="exact"/>
        <w:rPr>
          <w:rFonts w:ascii="Arial" w:cs="Arial" w:eastAsia="Arial" w:hAnsi="Arial"/>
          <w:sz w:val="18"/>
          <w:szCs w:val="18"/>
          <w:color w:val="auto"/>
        </w:rPr>
      </w:pPr>
    </w:p>
    <w:p>
      <w:pPr>
        <w:jc w:val="both"/>
        <w:ind w:left="740"/>
        <w:spacing w:after="0" w:line="254" w:lineRule="auto"/>
        <w:rPr>
          <w:rFonts w:ascii="Arial" w:cs="Arial" w:eastAsia="Arial" w:hAnsi="Arial"/>
          <w:sz w:val="18"/>
          <w:szCs w:val="18"/>
          <w:color w:val="auto"/>
        </w:rPr>
      </w:pPr>
      <w:r>
        <w:rPr>
          <w:rFonts w:ascii="Arial" w:cs="Arial" w:eastAsia="Arial" w:hAnsi="Arial"/>
          <w:sz w:val="18"/>
          <w:szCs w:val="18"/>
          <w:color w:val="auto"/>
        </w:rPr>
        <w:t>Caesars has executed new guaranties (and terminated the previous guarantees) with respect to the Las Vegas Master Lease Agreement (the “Las Vegas Lease Guaranty”), the Regional Master Lease Agreement (the “Regional Lease Guaranty”) and the Joliet Lease Agreement (the “Joliet Lease Guaranty” and, together with the Las Vegas Lease Guaranty and the Regional Lease Guaranty, the “Caesars Guaranties”), guaranteeing the prompt and complete payment and performance in full of: (i) all monetary obligations of the tenants under the Caesars Lease Agreements, including all rent and other sums payable by the tenants under the Caesars Lease Agreements and any obligation to pay monetary damages in connection with any breach and to pay any indemnification obligations of the tenants under the Caesars Lease Agreements; and (ii) the performance when due of all other covenants, agreements and requirements to be performed and satisfied by the tenants under the Caesars Lease Agreements.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left="740" w:hanging="368"/>
        <w:spacing w:after="0" w:line="287" w:lineRule="auto"/>
        <w:tabs>
          <w:tab w:leader="none" w:pos="735" w:val="left"/>
        </w:tabs>
        <w:numPr>
          <w:ilvl w:val="1"/>
          <w:numId w:val="73"/>
        </w:numPr>
        <w:rPr>
          <w:rFonts w:ascii="Arial" w:cs="Arial" w:eastAsia="Arial" w:hAnsi="Arial"/>
          <w:sz w:val="16"/>
          <w:szCs w:val="16"/>
          <w:b w:val="1"/>
          <w:bCs w:val="1"/>
          <w:i w:val="1"/>
          <w:iCs w:val="1"/>
          <w:color w:val="auto"/>
        </w:rPr>
      </w:pPr>
      <w:r>
        <w:rPr>
          <w:rFonts w:ascii="Arial" w:cs="Arial" w:eastAsia="Arial" w:hAnsi="Arial"/>
          <w:sz w:val="16"/>
          <w:szCs w:val="16"/>
          <w:i w:val="1"/>
          <w:iCs w:val="1"/>
          <w:color w:val="auto"/>
        </w:rPr>
        <w:t>Caesars Indianapolis Put-Call Agreement</w:t>
      </w:r>
      <w:r>
        <w:rPr>
          <w:rFonts w:ascii="Arial" w:cs="Arial" w:eastAsia="Arial" w:hAnsi="Arial"/>
          <w:sz w:val="16"/>
          <w:szCs w:val="16"/>
          <w:color w:val="auto"/>
        </w:rPr>
        <w:t>. We entered into a Put-Call Right Agreement with Caesars (the “Caesars Indianapolis Put-Call</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with respect to two gaming facilities in Indiana, Harrah’s Hoosier Park and Horseshoe Indianapolis (together, the “Indianapolis Properties”) whereby (i) we have the right to acquire all of the land and real estate assets associated with the Indianapolis Properties at a price equal to 13.0x the initial annual rent of each facility (determined as provided below), and to simultaneously lease back each such property to a subsidiary of Caesars for initial annual rent equal to the property’s trailing four quarters EBITDA at the time of acquisition divided by 1.3 (i.e., the initial annual rent will be set at 1.3x rent coverage) and (ii) Caesars will have the right to require us to acquire the Indianapolis Properties at a price equal to 12.5x the initial annual rent of each facility, and to simultaneously lease back each such Indianapolis Property to a subsidiary of Caesars for initial annual rent equal to the property’s trailing four quarters EBITDA at the time of acquisition divided by 1.3 (i.e., the initial annual rent will be set at 1.3x rent coverage). Either party will be able to trigger its respective put or call, as applicable, beginning on January 1, 2022 and ending on December 31, 2024. The Caesars Indianapolis Put-Call Agreement provides that the leaseback of the Indianapolis Properties will be implemented through the addition of the Indianapolis Properties to the Regional Master Lease Agreement.</w:t>
      </w:r>
    </w:p>
    <w:p>
      <w:pPr>
        <w:spacing w:after="0" w:line="117" w:lineRule="exact"/>
        <w:rPr>
          <w:rFonts w:ascii="Arial" w:cs="Arial" w:eastAsia="Arial" w:hAnsi="Arial"/>
          <w:sz w:val="16"/>
          <w:szCs w:val="16"/>
          <w:b w:val="1"/>
          <w:bCs w:val="1"/>
          <w:i w:val="1"/>
          <w:iCs w:val="1"/>
          <w:color w:val="auto"/>
        </w:rPr>
      </w:pPr>
    </w:p>
    <w:p>
      <w:pPr>
        <w:jc w:val="both"/>
        <w:ind w:left="740" w:hanging="368"/>
        <w:spacing w:after="0" w:line="279" w:lineRule="auto"/>
        <w:tabs>
          <w:tab w:leader="none" w:pos="735" w:val="left"/>
        </w:tabs>
        <w:numPr>
          <w:ilvl w:val="1"/>
          <w:numId w:val="73"/>
        </w:numPr>
        <w:rPr>
          <w:rFonts w:ascii="Arial" w:cs="Arial" w:eastAsia="Arial" w:hAnsi="Arial"/>
          <w:sz w:val="17"/>
          <w:szCs w:val="17"/>
          <w:color w:val="auto"/>
        </w:rPr>
      </w:pPr>
      <w:r>
        <w:rPr>
          <w:rFonts w:ascii="Arial" w:cs="Arial" w:eastAsia="Arial" w:hAnsi="Arial"/>
          <w:sz w:val="17"/>
          <w:szCs w:val="17"/>
          <w:i w:val="1"/>
          <w:iCs w:val="1"/>
          <w:color w:val="auto"/>
        </w:rPr>
        <w:t xml:space="preserve">Amended and Restated Caesars Forum Convention Center Put-Call Agreement. </w:t>
      </w:r>
      <w:r>
        <w:rPr>
          <w:rFonts w:ascii="Arial" w:cs="Arial" w:eastAsia="Arial" w:hAnsi="Arial"/>
          <w:sz w:val="17"/>
          <w:szCs w:val="17"/>
          <w:color w:val="auto"/>
        </w:rPr>
        <w:t>Upon the consummation of the Eldorado Transaction, we entered</w:t>
      </w:r>
      <w:r>
        <w:rPr>
          <w:rFonts w:ascii="Arial" w:cs="Arial" w:eastAsia="Arial" w:hAnsi="Arial"/>
          <w:sz w:val="17"/>
          <w:szCs w:val="17"/>
          <w:i w:val="1"/>
          <w:iCs w:val="1"/>
          <w:color w:val="auto"/>
        </w:rPr>
        <w:t xml:space="preserve"> </w:t>
      </w:r>
      <w:r>
        <w:rPr>
          <w:rFonts w:ascii="Arial" w:cs="Arial" w:eastAsia="Arial" w:hAnsi="Arial"/>
          <w:sz w:val="17"/>
          <w:szCs w:val="17"/>
          <w:color w:val="auto"/>
        </w:rPr>
        <w:t>into an A&amp;R Put-Call Right Agreement with Caesars amending and restating that certain put-call agreement related to the Caesars Forum Convention Center. In connection with the consummation of the Forum Convention Center Mortgage Loan on September 18, 2020, we further amended the agreement as described above in “—Amended and Restated Convention Center Put-Call Agreement”.</w:t>
      </w:r>
    </w:p>
    <w:p>
      <w:pPr>
        <w:spacing w:after="0" w:line="117" w:lineRule="exact"/>
        <w:rPr>
          <w:rFonts w:ascii="Arial" w:cs="Arial" w:eastAsia="Arial" w:hAnsi="Arial"/>
          <w:sz w:val="17"/>
          <w:szCs w:val="17"/>
          <w:color w:val="auto"/>
        </w:rPr>
      </w:pPr>
    </w:p>
    <w:p>
      <w:pPr>
        <w:jc w:val="both"/>
        <w:ind w:left="740" w:hanging="368"/>
        <w:spacing w:after="0" w:line="270" w:lineRule="auto"/>
        <w:tabs>
          <w:tab w:leader="none" w:pos="735" w:val="left"/>
        </w:tabs>
        <w:numPr>
          <w:ilvl w:val="1"/>
          <w:numId w:val="73"/>
        </w:numPr>
        <w:rPr>
          <w:rFonts w:ascii="Arial" w:cs="Arial" w:eastAsia="Arial" w:hAnsi="Arial"/>
          <w:sz w:val="17"/>
          <w:szCs w:val="17"/>
          <w:color w:val="auto"/>
        </w:rPr>
      </w:pPr>
      <w:r>
        <w:rPr>
          <w:rFonts w:ascii="Arial" w:cs="Arial" w:eastAsia="Arial" w:hAnsi="Arial"/>
          <w:sz w:val="17"/>
          <w:szCs w:val="17"/>
          <w:i w:val="1"/>
          <w:iCs w:val="1"/>
          <w:color w:val="auto"/>
        </w:rPr>
        <w:t>Las Vegas Strip Assets ROFR</w:t>
      </w:r>
      <w:r>
        <w:rPr>
          <w:rFonts w:ascii="Arial" w:cs="Arial" w:eastAsia="Arial" w:hAnsi="Arial"/>
          <w:sz w:val="17"/>
          <w:szCs w:val="17"/>
          <w:color w:val="auto"/>
        </w:rPr>
        <w:t>. Upon the consummation of the Eldorado Transaction, we entered into a right of first refusal agreement with</w:t>
      </w:r>
      <w:r>
        <w:rPr>
          <w:rFonts w:ascii="Arial" w:cs="Arial" w:eastAsia="Arial" w:hAnsi="Arial"/>
          <w:sz w:val="17"/>
          <w:szCs w:val="17"/>
          <w:i w:val="1"/>
          <w:iCs w:val="1"/>
          <w:color w:val="auto"/>
        </w:rPr>
        <w:t xml:space="preserve"> </w:t>
      </w:r>
      <w:r>
        <w:rPr>
          <w:rFonts w:ascii="Arial" w:cs="Arial" w:eastAsia="Arial" w:hAnsi="Arial"/>
          <w:sz w:val="17"/>
          <w:szCs w:val="17"/>
          <w:color w:val="auto"/>
        </w:rPr>
        <w:t>Caesars (the “Las Vegas Strip ROFR Agreement”) pursuant to which we have the first right, with respect to the first two Las Vegas Strip assets described below that Caesars proposes to sell, whether pursuant to a sale leaseback or a WholeCo sale, to a third party, to acquire any such asset (it being understood that we will have the opportunity to find an operating company should Caesars elect to pursue a WholeCo sale). The Las Vegas Strip assets subject to the Las Vegas Strip ROFR Agreement are the land and real estate assets associated (i) with respect to the first such asset subject to the Las Vegas Strip ROFR Agreement, the Flamingo Las Vegas, Paris Las Vegas, Planet Hollywood and Bally’s Las Vegas gaming facilities, and (ii) with respect to the second asset subject to the Las Vegas Strip ROFR Agreement, the foregoing assets plus The LINQ gaming facility. If we enter into a sale leaseback transaction with Caesars on any of these facilities, the leaseback may be implemented through the addition of such properties to the Las Vegas Master Lease Agreement.</w:t>
      </w:r>
    </w:p>
    <w:p>
      <w:pPr>
        <w:spacing w:after="0" w:line="126" w:lineRule="exact"/>
        <w:rPr>
          <w:rFonts w:ascii="Arial" w:cs="Arial" w:eastAsia="Arial" w:hAnsi="Arial"/>
          <w:sz w:val="17"/>
          <w:szCs w:val="17"/>
          <w:color w:val="auto"/>
        </w:rPr>
      </w:pPr>
    </w:p>
    <w:p>
      <w:pPr>
        <w:jc w:val="both"/>
        <w:ind w:left="740" w:hanging="368"/>
        <w:spacing w:after="0" w:line="311" w:lineRule="auto"/>
        <w:tabs>
          <w:tab w:leader="none" w:pos="735" w:val="left"/>
        </w:tabs>
        <w:numPr>
          <w:ilvl w:val="1"/>
          <w:numId w:val="73"/>
        </w:numPr>
        <w:rPr>
          <w:rFonts w:ascii="Arial" w:cs="Arial" w:eastAsia="Arial" w:hAnsi="Arial"/>
          <w:sz w:val="16"/>
          <w:szCs w:val="16"/>
          <w:color w:val="auto"/>
        </w:rPr>
      </w:pPr>
      <w:r>
        <w:rPr>
          <w:rFonts w:ascii="Arial" w:cs="Arial" w:eastAsia="Arial" w:hAnsi="Arial"/>
          <w:sz w:val="16"/>
          <w:szCs w:val="16"/>
          <w:i w:val="1"/>
          <w:iCs w:val="1"/>
          <w:color w:val="auto"/>
        </w:rPr>
        <w:t xml:space="preserve">Horseshoe Baltimore ROFR. </w:t>
      </w:r>
      <w:r>
        <w:rPr>
          <w:rFonts w:ascii="Arial" w:cs="Arial" w:eastAsia="Arial" w:hAnsi="Arial"/>
          <w:sz w:val="16"/>
          <w:szCs w:val="16"/>
          <w:color w:val="auto"/>
        </w:rPr>
        <w:t>Upon the consummation of the Eldorado Transaction, we entered into a right of first refusal agreement with Caesars</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which we have the first right to enter into a sale leaseback transaction with respect to the land and real estate assets associated with the Horseshoe Baltimore gaming facility (subject to any consent required from Caesars’ joint venture partners with respect to this asset).</w:t>
      </w:r>
    </w:p>
    <w:p>
      <w:pPr>
        <w:spacing w:after="0" w:line="94" w:lineRule="exact"/>
        <w:rPr>
          <w:rFonts w:ascii="Arial" w:cs="Arial" w:eastAsia="Arial" w:hAnsi="Arial"/>
          <w:sz w:val="16"/>
          <w:szCs w:val="16"/>
          <w:color w:val="auto"/>
        </w:rPr>
      </w:pPr>
    </w:p>
    <w:p>
      <w:pPr>
        <w:jc w:val="both"/>
        <w:ind w:left="740" w:hanging="408"/>
        <w:spacing w:after="0" w:line="286" w:lineRule="auto"/>
        <w:tabs>
          <w:tab w:leader="none" w:pos="735" w:val="left"/>
        </w:tabs>
        <w:numPr>
          <w:ilvl w:val="0"/>
          <w:numId w:val="73"/>
        </w:numPr>
        <w:rPr>
          <w:rFonts w:ascii="Arial" w:cs="Arial" w:eastAsia="Arial" w:hAnsi="Arial"/>
          <w:sz w:val="17"/>
          <w:szCs w:val="17"/>
          <w:color w:val="auto"/>
        </w:rPr>
      </w:pPr>
      <w:r>
        <w:rPr>
          <w:rFonts w:ascii="Arial" w:cs="Arial" w:eastAsia="Arial" w:hAnsi="Arial"/>
          <w:sz w:val="17"/>
          <w:szCs w:val="17"/>
          <w:i w:val="1"/>
          <w:iCs w:val="1"/>
          <w:color w:val="auto"/>
        </w:rPr>
        <w:t>CPLV CMBS Refinancing</w:t>
      </w:r>
      <w:r>
        <w:rPr>
          <w:rFonts w:ascii="Arial" w:cs="Arial" w:eastAsia="Arial" w:hAnsi="Arial"/>
          <w:sz w:val="17"/>
          <w:szCs w:val="17"/>
          <w:color w:val="auto"/>
        </w:rPr>
        <w:t>. We were obligated to cause the CPLV CMBS Debt to be repaid in full prior to the consummation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Eldorado/Caesars Merger. In November 2019, we repaid the CPLV CMBS Debt in full resulting in a prepayment penalty of $110.8 million, of which $55.4 million was reimbursed by Caesars upon the consummation of the Eldorado Transaction in accordance with the MTA.</w:t>
      </w:r>
    </w:p>
    <w:p>
      <w:pPr>
        <w:spacing w:after="0" w:line="111" w:lineRule="exact"/>
        <w:rPr>
          <w:rFonts w:ascii="Arial" w:cs="Arial" w:eastAsia="Arial" w:hAnsi="Arial"/>
          <w:sz w:val="17"/>
          <w:szCs w:val="17"/>
          <w:color w:val="auto"/>
        </w:rPr>
      </w:pPr>
    </w:p>
    <w:p>
      <w:pPr>
        <w:jc w:val="both"/>
        <w:ind w:left="740" w:hanging="408"/>
        <w:spacing w:after="0" w:line="263" w:lineRule="auto"/>
        <w:tabs>
          <w:tab w:leader="none" w:pos="735"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Eldorado Bridge Facilities</w:t>
      </w:r>
      <w:r>
        <w:rPr>
          <w:rFonts w:ascii="Arial" w:cs="Arial" w:eastAsia="Arial" w:hAnsi="Arial"/>
          <w:sz w:val="18"/>
          <w:szCs w:val="18"/>
          <w:color w:val="auto"/>
        </w:rPr>
        <w:t>. On June 24, 2019, in connection with the Eldorado Transaction, VICI PropCo entered into a $4.8 billion commitment</w:t>
      </w:r>
      <w:r>
        <w:rPr>
          <w:rFonts w:ascii="Arial" w:cs="Arial" w:eastAsia="Arial" w:hAnsi="Arial"/>
          <w:sz w:val="18"/>
          <w:szCs w:val="18"/>
          <w:i w:val="1"/>
          <w:iCs w:val="1"/>
          <w:color w:val="auto"/>
        </w:rPr>
        <w:t xml:space="preserve"> </w:t>
      </w:r>
      <w:r>
        <w:rPr>
          <w:rFonts w:ascii="Arial" w:cs="Arial" w:eastAsia="Arial" w:hAnsi="Arial"/>
          <w:sz w:val="18"/>
          <w:szCs w:val="18"/>
          <w:color w:val="auto"/>
        </w:rPr>
        <w:t>letter to provide for bridge financing for the purpose of providing a portion of the financing necessary to fund the Eldorado Transaction. The commitments under the related bridge facilities were fully terminated at our election in June 2020.</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Closing of Purchase of JACK Cleveland/Thistledown, Subsequent Amendments to the JACK Cleveland/Thistledown Lease Agreement and Termination of the Amended and Restated ROV Loan</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January 24, 2020, we completed the acquisition of the casino-entitled land and real estate and related assets of the JACK Cleveland Casino (“JACK Cleveland”), located in Cleveland, Ohio and the JACK Thistledown Racino (“JACK Thistledown”) located in North Randall, Ohio (the “JACK Cleveland/Thistledown Acquisition”) from JACK Entertainment, for approximately $843.3 million. Simultaneous with the closing of the JACK Cleveland/Thistledown Acquisition, we entered into a master triple-net lease agreement for JACK Cleveland and JACK Thistledown with a subsidiary of JACK Entertainment. The lease had an initial total annual rent of $65.9 million and an initial term of 15 years (increased by $1.8 million beginning in the second quarter of 2022 in connection with our funding of an $18.0 million capital project at the property), with four five-year tenant</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renewal options. The tenant’s obligations under the lease are guaranteed by Rock Ohio Ventures. Additionally, we made a $70.0 million term loan and $25.0 million revolving credit facility (inclusive of all loans subsequent to the initial extension of credit, the “ROV Loan”) to affiliates of Rock Ohio Ventures secured by, among other things, certain non-gaming real estate assets owned by such affiliates and guaranteed by Rock Ohio Ventures. We determined that the land and building components of the JACK Cleveland/Thistledown Lease Agreement meet the definition of a sales-type lease and, since we purchased and leased the assets back to the seller under a sale leaseback transaction, control is not considered to have transferred to us under GAAP. Accordingly, the JACK Cleveland/Thistledown Lease Agreement is accounted for as Investments in leases - financing receivables on our Balance Sheet, net of allowance for credit losses in accordance with ASC 310.</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4, 2021, we and JACK Entertainment entered into an amendment to the JACK Cleveland/Thistledown Lease Agreement (the “Second JACK Lease Agreement Amendment”), pursuant to which, among other things, the variable rent and the rent coverage floor provisions were removed and, accordingly, all of the rent in the JACK Cleveland/Thistledown Lease Agreement will escalate on an annual basis for the duration of its term. Concurrent with the Second JACK Lease Agreement Amendment, JACK Entertainment also repaid the ROV Loan in full and we terminated our commitment under the credit facility.</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 Real Estate Portfolio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our real estate portfolio consisted of the following:</w:t>
      </w:r>
    </w:p>
    <w:p>
      <w:pPr>
        <w:spacing w:after="0" w:line="117" w:lineRule="exact"/>
        <w:rPr>
          <w:sz w:val="20"/>
          <w:szCs w:val="20"/>
          <w:color w:val="auto"/>
        </w:rPr>
      </w:pPr>
    </w:p>
    <w:p>
      <w:pPr>
        <w:ind w:left="660" w:hanging="328"/>
        <w:spacing w:after="0" w:line="277"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Investments in leases - sales-type, representing our investment in 22 casino assets leased on a triple net basis to our tenants, Caesars, Penn National, Hard Rock, Century Casinos, and EBCI under eight separate lease agreements;</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Investments in leases - financing receivables, representing our investment in five casino assets leased on a triple net basis to our tenants, Caesars and JACK Entertainment, under two separate lease agreements;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Investments in loans, representing our investment in the Chelsea Piers Mortgage Loan, Forum Convention Center Mortgage Loan and Great Wolf Mezzanine Loan; and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Land, representing our investment in certain underdeveloped or undeveloped land adjacent to the Las Vegas strip and non-operating, vacant land parcels.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balances of our real estate portfolio as of December 31, 2021 and 2020: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7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Pr>
          <w:p>
            <w:pPr>
              <w:spacing w:after="0"/>
              <w:rPr>
                <w:sz w:val="16"/>
                <w:szCs w:val="16"/>
                <w:color w:val="auto"/>
              </w:rPr>
            </w:pPr>
          </w:p>
        </w:tc>
        <w:tc>
          <w:tcPr>
            <w:tcW w:w="202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31, 2021</w:t>
            </w:r>
          </w:p>
        </w:tc>
        <w:tc>
          <w:tcPr>
            <w:tcW w:w="260" w:type="dxa"/>
            <w:vAlign w:val="bottom"/>
          </w:tcPr>
          <w:p>
            <w:pPr>
              <w:spacing w:after="0"/>
              <w:rPr>
                <w:sz w:val="16"/>
                <w:szCs w:val="16"/>
                <w:color w:val="auto"/>
              </w:rPr>
            </w:pPr>
          </w:p>
        </w:tc>
        <w:tc>
          <w:tcPr>
            <w:tcW w:w="1920" w:type="dxa"/>
            <w:vAlign w:val="bottom"/>
          </w:tcPr>
          <w:p>
            <w:pPr>
              <w:jc w:val="right"/>
              <w:ind w:right="351"/>
              <w:spacing w:after="0"/>
              <w:rPr>
                <w:sz w:val="20"/>
                <w:szCs w:val="20"/>
                <w:color w:val="auto"/>
              </w:rPr>
            </w:pPr>
            <w:r>
              <w:rPr>
                <w:rFonts w:ascii="Arial" w:cs="Arial" w:eastAsia="Arial" w:hAnsi="Arial"/>
                <w:sz w:val="16"/>
                <w:szCs w:val="16"/>
                <w:b w:val="1"/>
                <w:bCs w:val="1"/>
                <w:color w:val="auto"/>
              </w:rPr>
              <w:t>December 31,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58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spacing w:after="0" w:line="223" w:lineRule="exact"/>
              <w:rPr>
                <w:sz w:val="20"/>
                <w:szCs w:val="20"/>
                <w:color w:val="auto"/>
              </w:rPr>
            </w:pPr>
            <w:r>
              <w:rPr>
                <w:rFonts w:ascii="Arial" w:cs="Arial" w:eastAsia="Arial" w:hAnsi="Arial"/>
                <w:sz w:val="18"/>
                <w:szCs w:val="18"/>
                <w:color w:val="auto"/>
              </w:rPr>
              <w:t xml:space="preserve">Minimum lease payments receivable under sales-type leases </w:t>
            </w:r>
            <w:r>
              <w:rPr>
                <w:rFonts w:ascii="Arial" w:cs="Arial" w:eastAsia="Arial" w:hAnsi="Arial"/>
                <w:sz w:val="23"/>
                <w:szCs w:val="23"/>
                <w:i w:val="1"/>
                <w:iCs w:val="1"/>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44,485,224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45,500,260</w:t>
            </w:r>
          </w:p>
        </w:tc>
      </w:tr>
      <w:tr>
        <w:trPr>
          <w:trHeight w:val="229"/>
        </w:trPr>
        <w:tc>
          <w:tcPr>
            <w:tcW w:w="20" w:type="dxa"/>
            <w:vAlign w:val="bottom"/>
            <w:tcBorders>
              <w:bottom w:val="single" w:sz="8" w:color="CCEEFF"/>
            </w:tcBorders>
          </w:tcPr>
          <w:p>
            <w:pPr>
              <w:spacing w:after="0"/>
              <w:rPr>
                <w:sz w:val="19"/>
                <w:szCs w:val="19"/>
                <w:color w:val="auto"/>
              </w:rPr>
            </w:pPr>
          </w:p>
        </w:tc>
        <w:tc>
          <w:tcPr>
            <w:tcW w:w="67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Estimated residual values of leased property (not guaranteed)</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3,334,549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3,348,174</w:t>
            </w:r>
          </w:p>
        </w:tc>
      </w:tr>
      <w:tr>
        <w:trPr>
          <w:trHeight w:val="223"/>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investment in sales-type leases</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47,819,773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48,848,434</w:t>
            </w:r>
          </w:p>
        </w:tc>
      </w:tr>
      <w:tr>
        <w:trPr>
          <w:trHeight w:val="229"/>
        </w:trPr>
        <w:tc>
          <w:tcPr>
            <w:tcW w:w="2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Unamortized initial direct costs</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23,363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23,764</w:t>
            </w:r>
          </w:p>
        </w:tc>
      </w:tr>
      <w:tr>
        <w:trPr>
          <w:trHeight w:val="230"/>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Unearned income</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(34,271,620)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(35,390,353)</w:t>
            </w:r>
          </w:p>
        </w:tc>
      </w:tr>
      <w:tr>
        <w:trPr>
          <w:trHeight w:val="230"/>
        </w:trPr>
        <w:tc>
          <w:tcPr>
            <w:tcW w:w="20" w:type="dxa"/>
            <w:vAlign w:val="bottom"/>
            <w:tcBorders>
              <w:bottom w:val="single" w:sz="8" w:color="CCEEFF"/>
            </w:tcBorders>
          </w:tcPr>
          <w:p>
            <w:pPr>
              <w:spacing w:after="0"/>
              <w:rPr>
                <w:sz w:val="19"/>
                <w:szCs w:val="19"/>
                <w:color w:val="auto"/>
              </w:rPr>
            </w:pPr>
          </w:p>
        </w:tc>
        <w:tc>
          <w:tcPr>
            <w:tcW w:w="67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Allowance for credit losses</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(434,852)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(454,201)</w:t>
            </w:r>
          </w:p>
        </w:tc>
      </w:tr>
      <w:tr>
        <w:trPr>
          <w:trHeight w:val="223"/>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Investments in leases - sales-type, net</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13,136,664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13,027,644</w:t>
            </w:r>
          </w:p>
        </w:tc>
      </w:tr>
      <w:tr>
        <w:trPr>
          <w:trHeight w:val="230"/>
        </w:trPr>
        <w:tc>
          <w:tcPr>
            <w:tcW w:w="20" w:type="dxa"/>
            <w:vAlign w:val="bottom"/>
            <w:tcBorders>
              <w:bottom w:val="single" w:sz="8" w:color="CCEEFF"/>
            </w:tcBorders>
          </w:tcPr>
          <w:p>
            <w:pPr>
              <w:spacing w:after="0"/>
              <w:rPr>
                <w:sz w:val="19"/>
                <w:szCs w:val="19"/>
                <w:color w:val="auto"/>
              </w:rPr>
            </w:pPr>
          </w:p>
        </w:tc>
        <w:tc>
          <w:tcPr>
            <w:tcW w:w="67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Investments in leases - financing receivables, net</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2,644,824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2,618,562</w:t>
            </w:r>
          </w:p>
        </w:tc>
      </w:tr>
      <w:tr>
        <w:trPr>
          <w:trHeight w:val="223"/>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investments in leases, net</w:t>
            </w: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15,781,488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15,646,206</w:t>
            </w:r>
          </w:p>
        </w:tc>
      </w:tr>
      <w:tr>
        <w:trPr>
          <w:trHeight w:val="230"/>
        </w:trPr>
        <w:tc>
          <w:tcPr>
            <w:tcW w:w="2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Investments in loans, net</w:t>
            </w: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498,002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536,721</w:t>
            </w:r>
          </w:p>
        </w:tc>
      </w:tr>
      <w:tr>
        <w:trPr>
          <w:trHeight w:val="229"/>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153,576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158,190</w:t>
            </w:r>
          </w:p>
        </w:tc>
      </w:tr>
      <w:tr>
        <w:trPr>
          <w:trHeight w:val="223"/>
        </w:trPr>
        <w:tc>
          <w:tcPr>
            <w:tcW w:w="20" w:type="dxa"/>
            <w:vAlign w:val="bottom"/>
          </w:tcPr>
          <w:p>
            <w:pPr>
              <w:spacing w:after="0"/>
              <w:rPr>
                <w:sz w:val="19"/>
                <w:szCs w:val="19"/>
                <w:color w:val="auto"/>
              </w:rPr>
            </w:pPr>
          </w:p>
        </w:tc>
        <w:tc>
          <w:tcPr>
            <w:tcW w:w="6760" w:type="dxa"/>
            <w:vAlign w:val="bottom"/>
            <w:gridSpan w:val="2"/>
          </w:tcPr>
          <w:p>
            <w:pPr>
              <w:ind w:left="200"/>
              <w:spacing w:after="0"/>
              <w:rPr>
                <w:sz w:val="20"/>
                <w:szCs w:val="20"/>
                <w:color w:val="auto"/>
              </w:rPr>
            </w:pPr>
            <w:r>
              <w:rPr>
                <w:rFonts w:ascii="Arial" w:cs="Arial" w:eastAsia="Arial" w:hAnsi="Arial"/>
                <w:sz w:val="18"/>
                <w:szCs w:val="18"/>
                <w:color w:val="auto"/>
              </w:rPr>
              <w:t>Total real estate portfolio</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16,433,066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16,341,117</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(1) Minimum lease payments do not include contingent rent, as discussed below, that may be received under the Lease Agreements.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Portfolio</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the components of our income from sales-type, direct financing and operating leases and lease financing receivables:</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Year Ended December 31,</w:t>
            </w: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510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460" w:type="dxa"/>
            <w:vAlign w:val="bottom"/>
          </w:tcPr>
          <w:p>
            <w:pPr>
              <w:spacing w:after="0"/>
              <w:rPr>
                <w:sz w:val="14"/>
                <w:szCs w:val="14"/>
                <w:color w:val="auto"/>
              </w:rPr>
            </w:pPr>
          </w:p>
        </w:tc>
        <w:tc>
          <w:tcPr>
            <w:tcW w:w="1480" w:type="dxa"/>
            <w:vAlign w:val="bottom"/>
          </w:tcPr>
          <w:p>
            <w:pPr>
              <w:jc w:val="right"/>
              <w:ind w:right="711"/>
              <w:spacing w:after="0" w:line="172" w:lineRule="exact"/>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jc w:val="right"/>
              <w:ind w:right="731"/>
              <w:spacing w:after="0" w:line="172"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jc w:val="right"/>
              <w:ind w:right="731"/>
              <w:spacing w:after="0" w:line="172" w:lineRule="exact"/>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5100" w:type="dxa"/>
            <w:vAlign w:val="bottom"/>
            <w:gridSpan w:val="3"/>
            <w:shd w:val="clear" w:color="auto" w:fill="CCEEFF"/>
          </w:tcPr>
          <w:p>
            <w:pPr>
              <w:ind w:left="20"/>
              <w:spacing w:after="0" w:line="156" w:lineRule="exact"/>
              <w:rPr>
                <w:sz w:val="20"/>
                <w:szCs w:val="20"/>
                <w:color w:val="auto"/>
              </w:rPr>
            </w:pPr>
            <w:r>
              <w:rPr>
                <w:rFonts w:ascii="Arial" w:cs="Arial" w:eastAsia="Arial" w:hAnsi="Arial"/>
                <w:sz w:val="18"/>
                <w:szCs w:val="18"/>
                <w:color w:val="auto"/>
              </w:rPr>
              <w:t>Income from sales-type and direct financing leases, excluding</w:t>
            </w:r>
          </w:p>
        </w:tc>
        <w:tc>
          <w:tcPr>
            <w:tcW w:w="4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1,161,655</w:t>
            </w:r>
          </w:p>
        </w:tc>
        <w:tc>
          <w:tcPr>
            <w:tcW w:w="12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273"/>
              <w:spacing w:after="0"/>
              <w:rPr>
                <w:sz w:val="20"/>
                <w:szCs w:val="20"/>
                <w:color w:val="auto"/>
              </w:rPr>
            </w:pPr>
            <w:r>
              <w:rPr>
                <w:rFonts w:ascii="Arial" w:cs="Arial" w:eastAsia="Arial" w:hAnsi="Arial"/>
                <w:sz w:val="18"/>
                <w:szCs w:val="18"/>
                <w:color w:val="auto"/>
                <w:w w:val="79"/>
              </w:rPr>
              <w:t>$</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1,007,193</w:t>
            </w:r>
          </w:p>
        </w:tc>
        <w:tc>
          <w:tcPr>
            <w:tcW w:w="12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822,205</w:t>
            </w:r>
          </w:p>
        </w:tc>
        <w:tc>
          <w:tcPr>
            <w:tcW w:w="0" w:type="dxa"/>
            <w:vAlign w:val="bottom"/>
          </w:tcPr>
          <w:p>
            <w:pPr>
              <w:spacing w:after="0"/>
              <w:rPr>
                <w:sz w:val="1"/>
                <w:szCs w:val="1"/>
                <w:color w:val="auto"/>
              </w:rPr>
            </w:pPr>
          </w:p>
        </w:tc>
      </w:tr>
      <w:tr>
        <w:trPr>
          <w:trHeight w:val="230"/>
        </w:trPr>
        <w:tc>
          <w:tcPr>
            <w:tcW w:w="5100" w:type="dxa"/>
            <w:vAlign w:val="bottom"/>
            <w:gridSpan w:val="3"/>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contingent rent </w:t>
            </w:r>
            <w:r>
              <w:rPr>
                <w:rFonts w:ascii="Arial" w:cs="Arial" w:eastAsia="Arial" w:hAnsi="Arial"/>
                <w:sz w:val="23"/>
                <w:szCs w:val="23"/>
                <w:i w:val="1"/>
                <w:iCs w:val="1"/>
                <w:color w:val="auto"/>
                <w:vertAlign w:val="superscript"/>
              </w:rPr>
              <w:t>(1)</w:t>
            </w:r>
          </w:p>
        </w:tc>
        <w:tc>
          <w:tcPr>
            <w:tcW w:w="460" w:type="dxa"/>
            <w:vAlign w:val="bottom"/>
            <w:vMerge w:val="continue"/>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 xml:space="preserve">Income from operating leases </w:t>
            </w:r>
            <w:r>
              <w:rPr>
                <w:rFonts w:ascii="Arial" w:cs="Arial" w:eastAsia="Arial" w:hAnsi="Arial"/>
                <w:sz w:val="23"/>
                <w:szCs w:val="23"/>
                <w:i w:val="1"/>
                <w:iCs w:val="1"/>
                <w:color w:val="auto"/>
                <w:vertAlign w:val="superscript"/>
              </w:rPr>
              <w:t>(2)</w:t>
            </w:r>
          </w:p>
        </w:tc>
        <w:tc>
          <w:tcPr>
            <w:tcW w:w="46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25,464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43,653</w:t>
            </w:r>
          </w:p>
        </w:tc>
        <w:tc>
          <w:tcPr>
            <w:tcW w:w="0" w:type="dxa"/>
            <w:vAlign w:val="bottom"/>
          </w:tcPr>
          <w:p>
            <w:pPr>
              <w:spacing w:after="0"/>
              <w:rPr>
                <w:sz w:val="1"/>
                <w:szCs w:val="1"/>
                <w:color w:val="auto"/>
              </w:rPr>
            </w:pPr>
          </w:p>
        </w:tc>
      </w:tr>
      <w:tr>
        <w:trPr>
          <w:trHeight w:val="229"/>
        </w:trPr>
        <w:tc>
          <w:tcPr>
            <w:tcW w:w="5100" w:type="dxa"/>
            <w:vAlign w:val="bottom"/>
            <w:gridSpan w:val="3"/>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Income from lease financing receivables </w:t>
            </w:r>
            <w:r>
              <w:rPr>
                <w:rFonts w:ascii="Arial" w:cs="Arial" w:eastAsia="Arial" w:hAnsi="Arial"/>
                <w:sz w:val="23"/>
                <w:szCs w:val="23"/>
                <w:i w:val="1"/>
                <w:iCs w:val="1"/>
                <w:color w:val="auto"/>
                <w:vertAlign w:val="superscript"/>
              </w:rPr>
              <w:t>(1) (3)</w:t>
            </w: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243,008</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137,344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gridSpan w:val="2"/>
          </w:tcPr>
          <w:p>
            <w:pPr>
              <w:ind w:left="220"/>
              <w:spacing w:after="0"/>
              <w:rPr>
                <w:sz w:val="20"/>
                <w:szCs w:val="20"/>
                <w:color w:val="auto"/>
              </w:rPr>
            </w:pPr>
            <w:r>
              <w:rPr>
                <w:rFonts w:ascii="Arial" w:cs="Arial" w:eastAsia="Arial" w:hAnsi="Arial"/>
                <w:sz w:val="18"/>
                <w:szCs w:val="18"/>
                <w:color w:val="auto"/>
              </w:rPr>
              <w:t>Total revenue, excluding contingent rent</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1,404,663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1,170,001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865,858</w:t>
            </w:r>
          </w:p>
        </w:tc>
        <w:tc>
          <w:tcPr>
            <w:tcW w:w="0" w:type="dxa"/>
            <w:vAlign w:val="bottom"/>
          </w:tcPr>
          <w:p>
            <w:pPr>
              <w:spacing w:after="0"/>
              <w:rPr>
                <w:sz w:val="1"/>
                <w:szCs w:val="1"/>
                <w:color w:val="auto"/>
              </w:rPr>
            </w:pPr>
          </w:p>
        </w:tc>
      </w:tr>
      <w:tr>
        <w:trPr>
          <w:trHeight w:val="229"/>
        </w:trPr>
        <w:tc>
          <w:tcPr>
            <w:tcW w:w="5100" w:type="dxa"/>
            <w:vAlign w:val="bottom"/>
            <w:gridSpan w:val="3"/>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Contingent rent </w:t>
            </w:r>
            <w:r>
              <w:rPr>
                <w:rFonts w:ascii="Arial" w:cs="Arial" w:eastAsia="Arial" w:hAnsi="Arial"/>
                <w:sz w:val="23"/>
                <w:szCs w:val="23"/>
                <w:i w:val="1"/>
                <w:iCs w:val="1"/>
                <w:color w:val="auto"/>
                <w:vertAlign w:val="superscript"/>
              </w:rPr>
              <w:t>(1)</w:t>
            </w: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gridSpan w:val="2"/>
          </w:tcPr>
          <w:p>
            <w:pPr>
              <w:ind w:left="220"/>
              <w:spacing w:after="0"/>
              <w:rPr>
                <w:sz w:val="20"/>
                <w:szCs w:val="20"/>
                <w:color w:val="auto"/>
              </w:rPr>
            </w:pPr>
            <w:r>
              <w:rPr>
                <w:rFonts w:ascii="Arial" w:cs="Arial" w:eastAsia="Arial" w:hAnsi="Arial"/>
                <w:sz w:val="18"/>
                <w:szCs w:val="18"/>
                <w:color w:val="auto"/>
              </w:rPr>
              <w:t>Total lease revenue</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1,410,980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1,170,316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865,858</w:t>
            </w:r>
          </w:p>
        </w:tc>
        <w:tc>
          <w:tcPr>
            <w:tcW w:w="0" w:type="dxa"/>
            <w:vAlign w:val="bottom"/>
          </w:tcPr>
          <w:p>
            <w:pPr>
              <w:spacing w:after="0"/>
              <w:rPr>
                <w:sz w:val="1"/>
                <w:szCs w:val="1"/>
                <w:color w:val="auto"/>
              </w:rPr>
            </w:pPr>
          </w:p>
        </w:tc>
      </w:tr>
      <w:tr>
        <w:trPr>
          <w:trHeight w:val="229"/>
        </w:trPr>
        <w:tc>
          <w:tcPr>
            <w:tcW w:w="5100" w:type="dxa"/>
            <w:vAlign w:val="bottom"/>
            <w:gridSpan w:val="3"/>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Non-cash adjustment </w:t>
            </w:r>
            <w:r>
              <w:rPr>
                <w:rFonts w:ascii="Arial" w:cs="Arial" w:eastAsia="Arial" w:hAnsi="Arial"/>
                <w:sz w:val="23"/>
                <w:szCs w:val="23"/>
                <w:i w:val="1"/>
                <w:iCs w:val="1"/>
                <w:color w:val="auto"/>
                <w:vertAlign w:val="superscript"/>
              </w:rPr>
              <w:t>(4)</w:t>
            </w: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(119,790)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(39,883)</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23"/>
        </w:trPr>
        <w:tc>
          <w:tcPr>
            <w:tcW w:w="5100" w:type="dxa"/>
            <w:vAlign w:val="bottom"/>
            <w:gridSpan w:val="3"/>
          </w:tcPr>
          <w:p>
            <w:pPr>
              <w:ind w:left="20"/>
              <w:spacing w:after="0"/>
              <w:rPr>
                <w:sz w:val="20"/>
                <w:szCs w:val="20"/>
                <w:color w:val="auto"/>
              </w:rPr>
            </w:pPr>
            <w:r>
              <w:rPr>
                <w:rFonts w:ascii="Arial" w:cs="Arial" w:eastAsia="Arial" w:hAnsi="Arial"/>
                <w:sz w:val="18"/>
                <w:szCs w:val="18"/>
                <w:color w:val="auto"/>
              </w:rPr>
              <w:t>Total contractual lease revenue</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1,291,190</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1,130,433</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866,097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jc w:val="both"/>
        <w:ind w:firstLine="8"/>
        <w:spacing w:after="0" w:line="260" w:lineRule="auto"/>
        <w:tabs>
          <w:tab w:leader="none" w:pos="207" w:val="left"/>
        </w:tabs>
        <w:numPr>
          <w:ilvl w:val="0"/>
          <w:numId w:val="75"/>
        </w:numPr>
        <w:rPr>
          <w:rFonts w:ascii="Arial" w:cs="Arial" w:eastAsia="Arial" w:hAnsi="Arial"/>
          <w:sz w:val="13"/>
          <w:szCs w:val="13"/>
          <w:i w:val="1"/>
          <w:iCs w:val="1"/>
          <w:color w:val="auto"/>
        </w:rPr>
      </w:pPr>
      <w:r>
        <w:rPr>
          <w:rFonts w:ascii="Arial" w:cs="Arial" w:eastAsia="Arial" w:hAnsi="Arial"/>
          <w:sz w:val="13"/>
          <w:szCs w:val="13"/>
          <w:i w:val="1"/>
          <w:iCs w:val="1"/>
          <w:color w:val="auto"/>
        </w:rPr>
        <w:t>At lease inception (or upon modification), we determine the minimum lease payments under ASC 842 (or ASC 840), which exclude amounts determined to be contingent rent. Contingent rent is generally amounts in excess of specified floors or the variable rent portion of our leases. The minimum lease payments are recognized on an effective interest basis at a constant rate of return over the life of the lease and the contingent rent portion of the lease payments are recognized as earned, both in accordance with ASC 842. As of December 31, 2021, we have recognized contingent rent on our Margaritaville Lease Agreement and Greektown Lease Agreement, in relation to the variable rent portion of the lease, and the Las Vegas Master Lease Agreement, in relation to amounts above the specified CPI floor. Refer to the Lease Provisions section below for information regarding contingent rent on each lease.</w:t>
      </w:r>
    </w:p>
    <w:p>
      <w:pPr>
        <w:jc w:val="both"/>
        <w:ind w:firstLine="8"/>
        <w:spacing w:after="0" w:line="241" w:lineRule="auto"/>
        <w:tabs>
          <w:tab w:leader="none" w:pos="214" w:val="left"/>
        </w:tabs>
        <w:numPr>
          <w:ilvl w:val="0"/>
          <w:numId w:val="75"/>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portion of land separately classified and accounted for under the operating lease model associated with our investment in Caesars Palace Las Vegas and certain operating land parcels contained in the Regional Master Lease Agreement. Upon the consummation of the Eldorado Transaction on July 20, 2020, the land component of Caesars Palace Las Vegas and certain operating land parcels were reassessed for lease classification and were determined to be a sales-type lease. Accordingly, subsequent to July 20, 2020, such income is recognized as Income from sales-type leases.</w:t>
      </w:r>
    </w:p>
    <w:p>
      <w:pPr>
        <w:spacing w:after="0" w:line="1" w:lineRule="exact"/>
        <w:rPr>
          <w:rFonts w:ascii="Arial" w:cs="Arial" w:eastAsia="Arial" w:hAnsi="Arial"/>
          <w:sz w:val="14"/>
          <w:szCs w:val="14"/>
          <w:i w:val="1"/>
          <w:iCs w:val="1"/>
          <w:color w:val="auto"/>
        </w:rPr>
      </w:pPr>
    </w:p>
    <w:p>
      <w:pPr>
        <w:jc w:val="both"/>
        <w:spacing w:after="0" w:line="241" w:lineRule="auto"/>
        <w:rPr>
          <w:rFonts w:ascii="Arial" w:cs="Arial" w:eastAsia="Arial" w:hAnsi="Arial"/>
          <w:sz w:val="14"/>
          <w:szCs w:val="14"/>
          <w:i w:val="1"/>
          <w:iCs w:val="1"/>
          <w:color w:val="auto"/>
        </w:rPr>
      </w:pPr>
      <w:r>
        <w:rPr>
          <w:rFonts w:ascii="Arial" w:cs="Arial" w:eastAsia="Arial" w:hAnsi="Arial"/>
          <w:sz w:val="14"/>
          <w:szCs w:val="14"/>
          <w:i w:val="1"/>
          <w:iCs w:val="1"/>
          <w:color w:val="auto"/>
        </w:rPr>
        <w:t>(3)Represents the Harrah’s Original Call Properties and the JACK Cleveland/Thistledown Lease Agreement, both of which were sale leaseback transactions. In accordance with ASC 842, since the lease agreements were determined to meet the definition of a sales-type lease and control of the asset is not considered to have been transferred to us, such lease agreements are accounted for as financings under ASC 310.</w:t>
      </w:r>
    </w:p>
    <w:p>
      <w:pPr>
        <w:spacing w:after="0" w:line="1" w:lineRule="exact"/>
        <w:rPr>
          <w:rFonts w:ascii="Arial" w:cs="Arial" w:eastAsia="Arial" w:hAnsi="Arial"/>
          <w:sz w:val="14"/>
          <w:szCs w:val="14"/>
          <w:i w:val="1"/>
          <w:iCs w:val="1"/>
          <w:color w:val="auto"/>
        </w:rPr>
      </w:pPr>
    </w:p>
    <w:p>
      <w:pPr>
        <w:ind w:right="20" w:firstLine="8"/>
        <w:spacing w:after="0" w:line="255" w:lineRule="auto"/>
        <w:tabs>
          <w:tab w:leader="none" w:pos="207" w:val="left"/>
        </w:tabs>
        <w:numPr>
          <w:ilvl w:val="0"/>
          <w:numId w:val="76"/>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the non-cash adjustment to the minimum lease payments from direct financing leases, sales-type leases and lease financing receivables in order to recognize income on an effective interest basis at a constant rate of return over the term of the leases.</w:t>
      </w:r>
    </w:p>
    <w:p>
      <w:pPr>
        <w:spacing w:after="0" w:line="13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At December 31, 2021, minimum lease payments owed to us for each of the five succeeding years under sales-type leases and our leases accounted for as financing receivables, are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5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8"/>
                <w:szCs w:val="18"/>
                <w:b w:val="1"/>
                <w:bCs w:val="1"/>
                <w:color w:val="auto"/>
                <w:w w:val="88"/>
              </w:rPr>
              <w:t xml:space="preserve">Minimum Lease Payments </w:t>
            </w:r>
            <w:r>
              <w:rPr>
                <w:rFonts w:ascii="Arial" w:cs="Arial" w:eastAsia="Arial" w:hAnsi="Arial"/>
                <w:sz w:val="23"/>
                <w:szCs w:val="23"/>
                <w:b w:val="1"/>
                <w:bCs w:val="1"/>
                <w:i w:val="1"/>
                <w:iCs w:val="1"/>
                <w:color w:val="auto"/>
                <w:w w:val="88"/>
                <w:vertAlign w:val="superscript"/>
              </w:rPr>
              <w:t>(1) (2)</w:t>
            </w:r>
          </w:p>
        </w:tc>
        <w:tc>
          <w:tcPr>
            <w:tcW w:w="600" w:type="dxa"/>
            <w:vAlign w:val="bottom"/>
            <w:tcBorders>
              <w:bottom w:val="single" w:sz="8" w:color="auto"/>
            </w:tcBorders>
          </w:tcPr>
          <w:p>
            <w:pPr>
              <w:spacing w:after="0"/>
              <w:rPr>
                <w:sz w:val="23"/>
                <w:szCs w:val="23"/>
                <w:color w:val="auto"/>
              </w:rPr>
            </w:pPr>
          </w:p>
        </w:tc>
        <w:tc>
          <w:tcPr>
            <w:tcW w:w="1900" w:type="dxa"/>
            <w:vAlign w:val="bottom"/>
            <w:tcBorders>
              <w:bottom w:val="single" w:sz="8" w:color="auto"/>
            </w:tcBorders>
          </w:tcPr>
          <w:p>
            <w:pPr>
              <w:spacing w:after="0"/>
              <w:rPr>
                <w:sz w:val="23"/>
                <w:szCs w:val="23"/>
                <w:color w:val="auto"/>
              </w:rPr>
            </w:pPr>
          </w:p>
        </w:tc>
      </w:tr>
      <w:tr>
        <w:trPr>
          <w:trHeight w:val="223"/>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600" w:type="dxa"/>
            <w:vAlign w:val="bottom"/>
            <w:tcBorders>
              <w:bottom w:val="single" w:sz="8" w:color="auto"/>
            </w:tcBorders>
            <w:gridSpan w:val="4"/>
          </w:tcPr>
          <w:p>
            <w:pPr>
              <w:jc w:val="right"/>
              <w:ind w:right="1610"/>
              <w:spacing w:after="0"/>
              <w:rPr>
                <w:sz w:val="20"/>
                <w:szCs w:val="20"/>
                <w:color w:val="auto"/>
              </w:rPr>
            </w:pPr>
            <w:r>
              <w:rPr>
                <w:rFonts w:ascii="Arial" w:cs="Arial" w:eastAsia="Arial" w:hAnsi="Arial"/>
                <w:sz w:val="18"/>
                <w:szCs w:val="18"/>
                <w:b w:val="1"/>
                <w:bCs w:val="1"/>
                <w:color w:val="auto"/>
              </w:rPr>
              <w:t>Investments in Leases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80" w:type="dxa"/>
            <w:vAlign w:val="bottom"/>
          </w:tcPr>
          <w:p>
            <w:pPr>
              <w:spacing w:after="0"/>
              <w:rPr>
                <w:sz w:val="18"/>
                <w:szCs w:val="18"/>
                <w:color w:val="auto"/>
              </w:rPr>
            </w:pPr>
          </w:p>
        </w:tc>
        <w:tc>
          <w:tcPr>
            <w:tcW w:w="2120" w:type="dxa"/>
            <w:vAlign w:val="bottom"/>
            <w:gridSpan w:val="2"/>
          </w:tcPr>
          <w:p>
            <w:pPr>
              <w:ind w:left="360"/>
              <w:spacing w:after="0"/>
              <w:rPr>
                <w:sz w:val="20"/>
                <w:szCs w:val="20"/>
                <w:color w:val="auto"/>
              </w:rPr>
            </w:pPr>
            <w:r>
              <w:rPr>
                <w:rFonts w:ascii="Arial" w:cs="Arial" w:eastAsia="Arial" w:hAnsi="Arial"/>
                <w:sz w:val="18"/>
                <w:szCs w:val="18"/>
                <w:b w:val="1"/>
                <w:bCs w:val="1"/>
                <w:color w:val="auto"/>
              </w:rPr>
              <w:t>Sales-Type</w:t>
            </w:r>
          </w:p>
        </w:tc>
        <w:tc>
          <w:tcPr>
            <w:tcW w:w="240" w:type="dxa"/>
            <w:vAlign w:val="bottom"/>
          </w:tcPr>
          <w:p>
            <w:pPr>
              <w:spacing w:after="0"/>
              <w:rPr>
                <w:sz w:val="18"/>
                <w:szCs w:val="18"/>
                <w:color w:val="auto"/>
              </w:rPr>
            </w:pPr>
          </w:p>
        </w:tc>
        <w:tc>
          <w:tcPr>
            <w:tcW w:w="2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Financing Receivables</w:t>
            </w:r>
          </w:p>
        </w:tc>
        <w:tc>
          <w:tcPr>
            <w:tcW w:w="600" w:type="dxa"/>
            <w:vAlign w:val="bottom"/>
          </w:tcPr>
          <w:p>
            <w:pPr>
              <w:spacing w:after="0"/>
              <w:rPr>
                <w:sz w:val="18"/>
                <w:szCs w:val="18"/>
                <w:color w:val="auto"/>
              </w:rPr>
            </w:pPr>
          </w:p>
        </w:tc>
        <w:tc>
          <w:tcPr>
            <w:tcW w:w="1900" w:type="dxa"/>
            <w:vAlign w:val="bottom"/>
          </w:tcPr>
          <w:p>
            <w:pPr>
              <w:jc w:val="right"/>
              <w:ind w:right="991"/>
              <w:spacing w:after="0"/>
              <w:rPr>
                <w:sz w:val="20"/>
                <w:szCs w:val="20"/>
                <w:color w:val="auto"/>
              </w:rPr>
            </w:pPr>
            <w:r>
              <w:rPr>
                <w:rFonts w:ascii="Arial" w:cs="Arial" w:eastAsia="Arial" w:hAnsi="Arial"/>
                <w:sz w:val="16"/>
                <w:szCs w:val="16"/>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223"/>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6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1,075,509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227,627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1,303,136</w:t>
            </w:r>
          </w:p>
        </w:tc>
      </w:tr>
      <w:tr>
        <w:trPr>
          <w:trHeight w:val="230"/>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2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1,094,189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232,320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1,326,509</w:t>
            </w:r>
          </w:p>
        </w:tc>
      </w:tr>
      <w:tr>
        <w:trPr>
          <w:trHeight w:val="230"/>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6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1,111,961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236,452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1,348,413</w:t>
            </w: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2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1,126,098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239,835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1,365,933</w:t>
            </w:r>
          </w:p>
        </w:tc>
      </w:tr>
      <w:tr>
        <w:trPr>
          <w:trHeight w:val="230"/>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6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1,140,571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243,281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1,383,852</w:t>
            </w:r>
          </w:p>
        </w:tc>
      </w:tr>
      <w:tr>
        <w:trPr>
          <w:trHeight w:val="230"/>
        </w:trPr>
        <w:tc>
          <w:tcPr>
            <w:tcW w:w="20" w:type="dxa"/>
            <w:vAlign w:val="bottom"/>
            <w:tcBorders>
              <w:bottom w:val="single" w:sz="8" w:color="CCEEFF"/>
            </w:tcBorders>
          </w:tcPr>
          <w:p>
            <w:pPr>
              <w:spacing w:after="0"/>
              <w:rPr>
                <w:sz w:val="19"/>
                <w:szCs w:val="19"/>
                <w:color w:val="auto"/>
              </w:rPr>
            </w:pPr>
          </w:p>
        </w:tc>
        <w:tc>
          <w:tcPr>
            <w:tcW w:w="3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38,936,896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8,556,214</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47,493,110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44,485,224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9,735,729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54,220,953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b w:val="1"/>
                <w:bCs w:val="1"/>
                <w:color w:val="auto"/>
              </w:rPr>
              <w:t xml:space="preserve">Weighted Average Lease Term </w:t>
            </w:r>
            <w:r>
              <w:rPr>
                <w:rFonts w:ascii="Arial" w:cs="Arial" w:eastAsia="Arial" w:hAnsi="Arial"/>
                <w:sz w:val="23"/>
                <w:szCs w:val="23"/>
                <w:b w:val="1"/>
                <w:bCs w:val="1"/>
                <w:i w:val="1"/>
                <w:iCs w:val="1"/>
                <w:color w:val="auto"/>
                <w:vertAlign w:val="superscript"/>
              </w:rPr>
              <w:t>(2)</w:t>
            </w:r>
          </w:p>
        </w:tc>
        <w:tc>
          <w:tcPr>
            <w:tcW w:w="48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33.5</w:t>
            </w:r>
          </w:p>
        </w:tc>
      </w:tr>
      <w:tr>
        <w:trPr>
          <w:trHeight w:val="304"/>
        </w:trPr>
        <w:tc>
          <w:tcPr>
            <w:tcW w:w="3560" w:type="dxa"/>
            <w:vAlign w:val="bottom"/>
            <w:gridSpan w:val="3"/>
          </w:tcPr>
          <w:p>
            <w:pPr>
              <w:spacing w:after="0"/>
              <w:rPr>
                <w:sz w:val="20"/>
                <w:szCs w:val="20"/>
                <w:color w:val="auto"/>
              </w:rPr>
            </w:pPr>
            <w:r>
              <w:rPr>
                <w:rFonts w:ascii="Arial" w:cs="Arial" w:eastAsia="Arial" w:hAnsi="Arial"/>
                <w:sz w:val="18"/>
                <w:szCs w:val="18"/>
                <w:color w:val="auto"/>
              </w:rPr>
              <w:t>____________________</w:t>
            </w:r>
          </w:p>
        </w:tc>
        <w:tc>
          <w:tcPr>
            <w:tcW w:w="4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ind w:left="220" w:hanging="212"/>
        <w:spacing w:after="0"/>
        <w:tabs>
          <w:tab w:leader="none" w:pos="220" w:val="left"/>
        </w:tabs>
        <w:numPr>
          <w:ilvl w:val="0"/>
          <w:numId w:val="77"/>
        </w:numPr>
        <w:rPr>
          <w:rFonts w:ascii="Arial" w:cs="Arial" w:eastAsia="Arial" w:hAnsi="Arial"/>
          <w:sz w:val="14"/>
          <w:szCs w:val="14"/>
          <w:i w:val="1"/>
          <w:iCs w:val="1"/>
          <w:color w:val="auto"/>
        </w:rPr>
      </w:pPr>
      <w:r>
        <w:rPr>
          <w:rFonts w:ascii="Arial" w:cs="Arial" w:eastAsia="Arial" w:hAnsi="Arial"/>
          <w:sz w:val="14"/>
          <w:szCs w:val="14"/>
          <w:i w:val="1"/>
          <w:iCs w:val="1"/>
          <w:color w:val="auto"/>
        </w:rPr>
        <w:t>Minimum lease payments do not include contingent rent, as discussed below, that may be received under the Lease Agreements.</w:t>
      </w:r>
    </w:p>
    <w:p>
      <w:pPr>
        <w:spacing w:after="0" w:line="1" w:lineRule="exact"/>
        <w:rPr>
          <w:rFonts w:ascii="Arial" w:cs="Arial" w:eastAsia="Arial" w:hAnsi="Arial"/>
          <w:sz w:val="14"/>
          <w:szCs w:val="14"/>
          <w:i w:val="1"/>
          <w:iCs w:val="1"/>
          <w:color w:val="auto"/>
        </w:rPr>
      </w:pPr>
    </w:p>
    <w:p>
      <w:pPr>
        <w:ind w:left="220" w:hanging="212"/>
        <w:spacing w:after="0"/>
        <w:tabs>
          <w:tab w:leader="none" w:pos="220" w:val="left"/>
        </w:tabs>
        <w:numPr>
          <w:ilvl w:val="0"/>
          <w:numId w:val="77"/>
        </w:numPr>
        <w:rPr>
          <w:rFonts w:ascii="Arial" w:cs="Arial" w:eastAsia="Arial" w:hAnsi="Arial"/>
          <w:sz w:val="13"/>
          <w:szCs w:val="13"/>
          <w:i w:val="1"/>
          <w:iCs w:val="1"/>
          <w:color w:val="auto"/>
        </w:rPr>
      </w:pPr>
      <w:r>
        <w:rPr>
          <w:rFonts w:ascii="Arial" w:cs="Arial" w:eastAsia="Arial" w:hAnsi="Arial"/>
          <w:sz w:val="13"/>
          <w:szCs w:val="13"/>
          <w:i w:val="1"/>
          <w:iCs w:val="1"/>
          <w:color w:val="auto"/>
        </w:rPr>
        <w:t>The minimum lease payments and weighted average remaining lease term assumes the exercise of all tenant renewal options, consistent with our conclusions under ASC 842 and ASC 310.</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Provisions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Caesars Lease Agreements - 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material lease provisions of our Caesars Lease Agreements: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Regional Master Lease Agreement and Joliet Lease</w:t>
            </w:r>
          </w:p>
        </w:tc>
        <w:tc>
          <w:tcPr>
            <w:tcW w:w="3720" w:type="dxa"/>
            <w:vAlign w:val="bottom"/>
            <w:gridSpan w:val="2"/>
            <w:vMerge w:val="restart"/>
          </w:tcPr>
          <w:p>
            <w:pPr>
              <w:jc w:val="center"/>
              <w:ind w:right="20"/>
              <w:spacing w:after="0"/>
              <w:rPr>
                <w:sz w:val="20"/>
                <w:szCs w:val="20"/>
                <w:color w:val="auto"/>
              </w:rPr>
            </w:pPr>
            <w:r>
              <w:rPr>
                <w:rFonts w:ascii="Arial" w:cs="Arial" w:eastAsia="Arial" w:hAnsi="Arial"/>
                <w:sz w:val="16"/>
                <w:szCs w:val="16"/>
                <w:b w:val="1"/>
                <w:bCs w:val="1"/>
                <w:color w:val="auto"/>
                <w:w w:val="90"/>
              </w:rPr>
              <w:t>Las Vegas Master Lease Agreement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u w:val="single" w:color="auto"/>
                <w:color w:val="auto"/>
                <w:w w:val="88"/>
              </w:rPr>
              <w:t>(</w:t>
            </w:r>
            <w:r>
              <w:rPr>
                <w:rFonts w:ascii="Arial" w:cs="Arial" w:eastAsia="Arial" w:hAnsi="Arial"/>
                <w:sz w:val="14"/>
                <w:szCs w:val="14"/>
                <w:b w:val="1"/>
                <w:bCs w:val="1"/>
                <w:i w:val="1"/>
                <w:iCs w:val="1"/>
                <w:color w:val="auto"/>
                <w:w w:val="88"/>
              </w:rPr>
              <w:t>$ in thousands)</w:t>
            </w:r>
          </w:p>
        </w:tc>
        <w:tc>
          <w:tcPr>
            <w:tcW w:w="2700" w:type="dxa"/>
            <w:vAlign w:val="bottom"/>
            <w:gridSpan w:val="2"/>
          </w:tcPr>
          <w:p>
            <w:pPr>
              <w:spacing w:after="0"/>
              <w:rPr>
                <w:sz w:val="15"/>
                <w:szCs w:val="15"/>
                <w:color w:val="auto"/>
              </w:rPr>
            </w:pPr>
          </w:p>
        </w:tc>
        <w:tc>
          <w:tcPr>
            <w:tcW w:w="3820" w:type="dxa"/>
            <w:vAlign w:val="bottom"/>
            <w:gridSpan w:val="3"/>
          </w:tcPr>
          <w:p>
            <w:pPr>
              <w:jc w:val="center"/>
              <w:ind w:right="140"/>
              <w:spacing w:after="0" w:line="175" w:lineRule="exact"/>
              <w:rPr>
                <w:sz w:val="20"/>
                <w:szCs w:val="20"/>
                <w:color w:val="auto"/>
              </w:rPr>
            </w:pPr>
            <w:r>
              <w:rPr>
                <w:rFonts w:ascii="Arial" w:cs="Arial" w:eastAsia="Arial" w:hAnsi="Arial"/>
                <w:sz w:val="16"/>
                <w:szCs w:val="16"/>
                <w:b w:val="1"/>
                <w:bCs w:val="1"/>
                <w:color w:val="auto"/>
                <w:w w:val="90"/>
              </w:rPr>
              <w:t>Agreement</w:t>
            </w:r>
          </w:p>
        </w:tc>
        <w:tc>
          <w:tcPr>
            <w:tcW w:w="3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8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 xml:space="preserve">Lease Provision </w:t>
            </w:r>
            <w:r>
              <w:rPr>
                <w:rFonts w:ascii="Arial" w:cs="Arial" w:eastAsia="Arial" w:hAnsi="Arial"/>
                <w:sz w:val="21"/>
                <w:szCs w:val="21"/>
                <w:b w:val="1"/>
                <w:bCs w:val="1"/>
                <w:i w:val="1"/>
                <w:iCs w:val="1"/>
                <w:color w:val="auto"/>
                <w:vertAlign w:val="superscript"/>
              </w:rPr>
              <w:t>(1)</w:t>
            </w:r>
          </w:p>
        </w:tc>
        <w:tc>
          <w:tcPr>
            <w:tcW w:w="2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gridSpan w:val="3"/>
            <w:vMerge w:val="continue"/>
          </w:tcPr>
          <w:p>
            <w:pPr>
              <w:spacing w:after="0"/>
              <w:rPr>
                <w:sz w:val="18"/>
                <w:szCs w:val="18"/>
                <w:color w:val="auto"/>
              </w:rPr>
            </w:pPr>
          </w:p>
        </w:tc>
        <w:tc>
          <w:tcPr>
            <w:tcW w:w="370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89"/>
              </w:rPr>
              <w:t>As Amended</w:t>
            </w:r>
          </w:p>
        </w:tc>
        <w:tc>
          <w:tcPr>
            <w:tcW w:w="120" w:type="dxa"/>
            <w:vAlign w:val="bottom"/>
          </w:tcPr>
          <w:p>
            <w:pPr>
              <w:spacing w:after="0"/>
              <w:rPr>
                <w:sz w:val="18"/>
                <w:szCs w:val="18"/>
                <w:color w:val="auto"/>
              </w:rPr>
            </w:pPr>
          </w:p>
        </w:tc>
        <w:tc>
          <w:tcPr>
            <w:tcW w:w="372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91"/>
              </w:rPr>
              <w:t>As Amended</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3560" w:type="dxa"/>
            <w:vAlign w:val="bottom"/>
            <w:tcBorders>
              <w:top w:val="single" w:sz="8" w:color="auto"/>
            </w:tcBorders>
            <w:gridSpan w:val="2"/>
            <w:shd w:val="clear" w:color="auto" w:fill="CCEEFF"/>
          </w:tcPr>
          <w:p>
            <w:pPr>
              <w:spacing w:after="0" w:line="223" w:lineRule="exact"/>
              <w:rPr>
                <w:sz w:val="20"/>
                <w:szCs w:val="20"/>
                <w:color w:val="auto"/>
              </w:rPr>
            </w:pPr>
            <w:r>
              <w:rPr>
                <w:rFonts w:ascii="Arial" w:cs="Arial" w:eastAsia="Arial" w:hAnsi="Arial"/>
                <w:sz w:val="18"/>
                <w:szCs w:val="18"/>
                <w:color w:val="auto"/>
              </w:rPr>
              <w:t xml:space="preserve">Initial Term </w:t>
            </w:r>
            <w:r>
              <w:rPr>
                <w:rFonts w:ascii="Arial" w:cs="Arial" w:eastAsia="Arial" w:hAnsi="Arial"/>
                <w:sz w:val="23"/>
                <w:szCs w:val="23"/>
                <w:i w:val="1"/>
                <w:iCs w:val="1"/>
                <w:color w:val="auto"/>
                <w:vertAlign w:val="superscript"/>
              </w:rPr>
              <w:t>(2)</w:t>
            </w:r>
          </w:p>
        </w:tc>
        <w:tc>
          <w:tcPr>
            <w:tcW w:w="120" w:type="dxa"/>
            <w:vAlign w:val="bottom"/>
            <w:tcBorders>
              <w:top w:val="single" w:sz="8" w:color="CCEEFF"/>
              <w:right w:val="single" w:sz="8" w:color="CCEEFF"/>
            </w:tcBorders>
            <w:shd w:val="clear" w:color="auto" w:fill="CCEEFF"/>
          </w:tcPr>
          <w:p>
            <w:pPr>
              <w:spacing w:after="0"/>
              <w:rPr>
                <w:sz w:val="19"/>
                <w:szCs w:val="19"/>
                <w:color w:val="auto"/>
              </w:rPr>
            </w:pPr>
          </w:p>
        </w:tc>
        <w:tc>
          <w:tcPr>
            <w:tcW w:w="37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18 years</w:t>
            </w:r>
          </w:p>
        </w:tc>
        <w:tc>
          <w:tcPr>
            <w:tcW w:w="120" w:type="dxa"/>
            <w:vAlign w:val="bottom"/>
            <w:tcBorders>
              <w:top w:val="single" w:sz="8" w:color="CCEEFF"/>
              <w:right w:val="single" w:sz="8" w:color="CCEEFF"/>
            </w:tcBorders>
            <w:shd w:val="clear" w:color="auto" w:fill="CCEEFF"/>
          </w:tcPr>
          <w:p>
            <w:pPr>
              <w:spacing w:after="0"/>
              <w:rPr>
                <w:sz w:val="19"/>
                <w:szCs w:val="19"/>
                <w:color w:val="auto"/>
              </w:rPr>
            </w:pPr>
          </w:p>
        </w:tc>
        <w:tc>
          <w:tcPr>
            <w:tcW w:w="37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18 years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80" w:type="dxa"/>
            <w:vAlign w:val="bottom"/>
            <w:gridSpan w:val="3"/>
          </w:tcPr>
          <w:p>
            <w:pPr>
              <w:spacing w:after="0" w:line="230" w:lineRule="exact"/>
              <w:rPr>
                <w:sz w:val="20"/>
                <w:szCs w:val="20"/>
                <w:color w:val="auto"/>
              </w:rPr>
            </w:pPr>
            <w:r>
              <w:rPr>
                <w:rFonts w:ascii="Arial" w:cs="Arial" w:eastAsia="Arial" w:hAnsi="Arial"/>
                <w:sz w:val="18"/>
                <w:szCs w:val="18"/>
                <w:color w:val="auto"/>
              </w:rPr>
              <w:t xml:space="preserve">Initial Term maturity </w:t>
            </w:r>
            <w:r>
              <w:rPr>
                <w:rFonts w:ascii="Arial" w:cs="Arial" w:eastAsia="Arial" w:hAnsi="Arial"/>
                <w:sz w:val="23"/>
                <w:szCs w:val="23"/>
                <w:i w:val="1"/>
                <w:iCs w:val="1"/>
                <w:color w:val="auto"/>
                <w:vertAlign w:val="superscript"/>
              </w:rPr>
              <w:t>(2)</w:t>
            </w:r>
          </w:p>
        </w:tc>
        <w:tc>
          <w:tcPr>
            <w:tcW w:w="2400" w:type="dxa"/>
            <w:vAlign w:val="bottom"/>
          </w:tcPr>
          <w:p>
            <w:pPr>
              <w:spacing w:after="0"/>
              <w:rPr>
                <w:sz w:val="20"/>
                <w:szCs w:val="20"/>
                <w:color w:val="auto"/>
              </w:rPr>
            </w:pPr>
            <w:r>
              <w:rPr>
                <w:rFonts w:ascii="Arial" w:cs="Arial" w:eastAsia="Arial" w:hAnsi="Arial"/>
                <w:sz w:val="18"/>
                <w:szCs w:val="18"/>
                <w:color w:val="auto"/>
              </w:rPr>
              <w:t>7/31/2035</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7/31/2035</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Renewal Terms</w:t>
            </w:r>
          </w:p>
        </w:tc>
        <w:tc>
          <w:tcPr>
            <w:tcW w:w="38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Four, five-year terms</w:t>
            </w: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 five-year terms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80" w:type="dxa"/>
            <w:vAlign w:val="bottom"/>
            <w:gridSpan w:val="3"/>
          </w:tcPr>
          <w:p>
            <w:pPr>
              <w:spacing w:after="0" w:line="230" w:lineRule="exact"/>
              <w:rPr>
                <w:sz w:val="20"/>
                <w:szCs w:val="20"/>
                <w:color w:val="auto"/>
              </w:rPr>
            </w:pPr>
            <w:r>
              <w:rPr>
                <w:rFonts w:ascii="Arial" w:cs="Arial" w:eastAsia="Arial" w:hAnsi="Arial"/>
                <w:sz w:val="18"/>
                <w:szCs w:val="18"/>
                <w:color w:val="auto"/>
              </w:rPr>
              <w:t xml:space="preserve">Current annual rent </w:t>
            </w:r>
            <w:r>
              <w:rPr>
                <w:rFonts w:ascii="Arial" w:cs="Arial" w:eastAsia="Arial" w:hAnsi="Arial"/>
                <w:sz w:val="23"/>
                <w:szCs w:val="23"/>
                <w:i w:val="1"/>
                <w:iCs w:val="1"/>
                <w:color w:val="auto"/>
                <w:vertAlign w:val="superscript"/>
              </w:rPr>
              <w:t>(3)</w:t>
            </w:r>
          </w:p>
        </w:tc>
        <w:tc>
          <w:tcPr>
            <w:tcW w:w="2400" w:type="dxa"/>
            <w:vAlign w:val="bottom"/>
          </w:tcPr>
          <w:p>
            <w:pPr>
              <w:spacing w:after="0"/>
              <w:rPr>
                <w:sz w:val="20"/>
                <w:szCs w:val="20"/>
                <w:color w:val="auto"/>
              </w:rPr>
            </w:pPr>
            <w:r>
              <w:rPr>
                <w:rFonts w:ascii="Arial" w:cs="Arial" w:eastAsia="Arial" w:hAnsi="Arial"/>
                <w:sz w:val="18"/>
                <w:szCs w:val="18"/>
                <w:color w:val="auto"/>
              </w:rPr>
              <w:t>$649,572</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$422,224</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680" w:type="dxa"/>
            <w:vAlign w:val="bottom"/>
            <w:tcBorders>
              <w:right w:val="single" w:sz="8" w:color="CCEEFF"/>
            </w:tcBorders>
            <w:gridSpan w:val="3"/>
            <w:vMerge w:val="restart"/>
            <w:shd w:val="clear" w:color="auto" w:fill="CCEEFF"/>
          </w:tcPr>
          <w:p>
            <w:pPr>
              <w:spacing w:after="0"/>
              <w:rPr>
                <w:sz w:val="20"/>
                <w:szCs w:val="20"/>
                <w:color w:val="auto"/>
              </w:rPr>
            </w:pPr>
            <w:r>
              <w:rPr>
                <w:rFonts w:ascii="Arial" w:cs="Arial" w:eastAsia="Arial" w:hAnsi="Arial"/>
                <w:sz w:val="18"/>
                <w:szCs w:val="18"/>
                <w:color w:val="auto"/>
              </w:rPr>
              <w:t xml:space="preserve">Escalator </w:t>
            </w:r>
            <w:r>
              <w:rPr>
                <w:rFonts w:ascii="Arial" w:cs="Arial" w:eastAsia="Arial" w:hAnsi="Arial"/>
                <w:sz w:val="23"/>
                <w:szCs w:val="23"/>
                <w:i w:val="1"/>
                <w:iCs w:val="1"/>
                <w:color w:val="auto"/>
                <w:vertAlign w:val="superscript"/>
              </w:rPr>
              <w:t>(4)</w:t>
            </w:r>
          </w:p>
        </w:tc>
        <w:tc>
          <w:tcPr>
            <w:tcW w:w="3820" w:type="dxa"/>
            <w:vAlign w:val="bottom"/>
            <w:tcBorders>
              <w:right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rPr>
              <w:t>Lease years 2-5 - 1.5%</w:t>
            </w:r>
          </w:p>
        </w:tc>
        <w:tc>
          <w:tcPr>
            <w:tcW w:w="37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CPI subject to 2% floor</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680" w:type="dxa"/>
            <w:vAlign w:val="bottom"/>
            <w:tcBorders>
              <w:right w:val="single" w:sz="8" w:color="CCEEFF"/>
            </w:tcBorders>
            <w:gridSpan w:val="3"/>
            <w:vMerge w:val="continue"/>
            <w:shd w:val="clear" w:color="auto" w:fill="CCEEFF"/>
          </w:tcPr>
          <w:p>
            <w:pPr>
              <w:spacing w:after="0"/>
              <w:rPr>
                <w:sz w:val="15"/>
                <w:szCs w:val="15"/>
                <w:color w:val="auto"/>
              </w:rPr>
            </w:pPr>
          </w:p>
        </w:tc>
        <w:tc>
          <w:tcPr>
            <w:tcW w:w="3820" w:type="dxa"/>
            <w:vAlign w:val="bottom"/>
            <w:tcBorders>
              <w:right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rPr>
              <w:t>Lease years 6-end of term - CPI subject to 2%</w:t>
            </w:r>
          </w:p>
        </w:tc>
        <w:tc>
          <w:tcPr>
            <w:tcW w:w="372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38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floor</w:t>
            </w:r>
          </w:p>
        </w:tc>
        <w:tc>
          <w:tcPr>
            <w:tcW w:w="2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80" w:type="dxa"/>
            <w:vAlign w:val="bottom"/>
            <w:gridSpan w:val="3"/>
            <w:vMerge w:val="restart"/>
          </w:tcPr>
          <w:p>
            <w:pPr>
              <w:spacing w:after="0"/>
              <w:rPr>
                <w:sz w:val="20"/>
                <w:szCs w:val="20"/>
                <w:color w:val="auto"/>
              </w:rPr>
            </w:pPr>
            <w:r>
              <w:rPr>
                <w:rFonts w:ascii="Arial" w:cs="Arial" w:eastAsia="Arial" w:hAnsi="Arial"/>
                <w:sz w:val="18"/>
                <w:szCs w:val="18"/>
                <w:color w:val="auto"/>
              </w:rPr>
              <w:t>Variable Rent adjustment</w:t>
            </w:r>
          </w:p>
        </w:tc>
        <w:tc>
          <w:tcPr>
            <w:tcW w:w="382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Year 8</w:t>
            </w:r>
            <w:r>
              <w:rPr>
                <w:rFonts w:ascii="Arial" w:cs="Arial" w:eastAsia="Arial" w:hAnsi="Arial"/>
                <w:sz w:val="18"/>
                <w:szCs w:val="18"/>
                <w:color w:val="auto"/>
              </w:rPr>
              <w:t>: 70% base rent / 30% variable rent</w:t>
            </w:r>
          </w:p>
        </w:tc>
        <w:tc>
          <w:tcPr>
            <w:tcW w:w="372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w w:val="96"/>
              </w:rPr>
              <w:t>Years 8, 11 &amp; 16</w:t>
            </w:r>
            <w:r>
              <w:rPr>
                <w:rFonts w:ascii="Arial" w:cs="Arial" w:eastAsia="Arial" w:hAnsi="Arial"/>
                <w:sz w:val="18"/>
                <w:szCs w:val="18"/>
                <w:color w:val="auto"/>
                <w:w w:val="96"/>
              </w:rPr>
              <w:t>: 80% base rent / 20% variable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80" w:type="dxa"/>
            <w:vAlign w:val="bottom"/>
            <w:gridSpan w:val="3"/>
            <w:vMerge w:val="continue"/>
          </w:tcPr>
          <w:p>
            <w:pPr>
              <w:spacing w:after="0"/>
              <w:rPr>
                <w:sz w:val="11"/>
                <w:szCs w:val="11"/>
                <w:color w:val="auto"/>
              </w:rPr>
            </w:pPr>
          </w:p>
        </w:tc>
        <w:tc>
          <w:tcPr>
            <w:tcW w:w="382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4"/>
              </w:rPr>
              <w:t>Years 11 &amp; 16</w:t>
            </w:r>
            <w:r>
              <w:rPr>
                <w:rFonts w:ascii="Arial" w:cs="Arial" w:eastAsia="Arial" w:hAnsi="Arial"/>
                <w:sz w:val="18"/>
                <w:szCs w:val="18"/>
                <w:color w:val="auto"/>
                <w:w w:val="94"/>
              </w:rPr>
              <w:t>: 80% base rent / 20% variable rent</w:t>
            </w:r>
          </w:p>
        </w:tc>
        <w:tc>
          <w:tcPr>
            <w:tcW w:w="3720" w:type="dxa"/>
            <w:vAlign w:val="bottom"/>
            <w:gridSpan w:val="2"/>
            <w:vMerge w:val="restart"/>
          </w:tcPr>
          <w:p>
            <w:pPr>
              <w:spacing w:after="0"/>
              <w:rPr>
                <w:sz w:val="20"/>
                <w:szCs w:val="20"/>
                <w:color w:val="auto"/>
              </w:rPr>
            </w:pPr>
            <w:r>
              <w:rPr>
                <w:rFonts w:ascii="Arial" w:cs="Arial" w:eastAsia="Arial" w:hAnsi="Arial"/>
                <w:sz w:val="18"/>
                <w:szCs w:val="18"/>
                <w:color w:val="auto"/>
              </w:rPr>
              <w:t>rent</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20" w:type="dxa"/>
            <w:vAlign w:val="bottom"/>
            <w:gridSpan w:val="3"/>
            <w:vMerge w:val="continue"/>
          </w:tcPr>
          <w:p>
            <w:pPr>
              <w:spacing w:after="0"/>
              <w:rPr>
                <w:sz w:val="8"/>
                <w:szCs w:val="8"/>
                <w:color w:val="auto"/>
              </w:rPr>
            </w:pPr>
          </w:p>
        </w:tc>
        <w:tc>
          <w:tcPr>
            <w:tcW w:w="37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5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3820" w:type="dxa"/>
            <w:vAlign w:val="bottom"/>
            <w:tcBorders>
              <w:right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4% of revenue increase/decrease:</w:t>
            </w:r>
          </w:p>
        </w:tc>
        <w:tc>
          <w:tcPr>
            <w:tcW w:w="37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4% of revenue increase/decrease:</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1420" w:type="dxa"/>
            <w:vAlign w:val="bottom"/>
            <w:tcBorders>
              <w:right w:val="single" w:sz="8" w:color="CCEEFF"/>
            </w:tcBorders>
            <w:gridSpan w:val="2"/>
            <w:shd w:val="clear" w:color="auto" w:fill="CCEEFF"/>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3680" w:type="dxa"/>
            <w:vAlign w:val="bottom"/>
            <w:tcBorders>
              <w:right w:val="single" w:sz="8" w:color="CCEEFF"/>
            </w:tcBorders>
            <w:gridSpan w:val="3"/>
            <w:vMerge w:val="restart"/>
            <w:shd w:val="clear" w:color="auto" w:fill="CCEEFF"/>
          </w:tcPr>
          <w:p>
            <w:pPr>
              <w:spacing w:after="0"/>
              <w:rPr>
                <w:sz w:val="20"/>
                <w:szCs w:val="20"/>
                <w:color w:val="auto"/>
              </w:rPr>
            </w:pPr>
            <w:r>
              <w:rPr>
                <w:rFonts w:ascii="Arial" w:cs="Arial" w:eastAsia="Arial" w:hAnsi="Arial"/>
                <w:sz w:val="18"/>
                <w:szCs w:val="18"/>
                <w:color w:val="auto"/>
              </w:rPr>
              <w:t xml:space="preserve">Variable Rent adjustment calculation </w:t>
            </w:r>
            <w:r>
              <w:rPr>
                <w:rFonts w:ascii="Arial" w:cs="Arial" w:eastAsia="Arial" w:hAnsi="Arial"/>
                <w:sz w:val="23"/>
                <w:szCs w:val="23"/>
                <w:i w:val="1"/>
                <w:iCs w:val="1"/>
                <w:color w:val="auto"/>
                <w:vertAlign w:val="superscript"/>
              </w:rPr>
              <w:t>(5)</w:t>
            </w:r>
          </w:p>
        </w:tc>
        <w:tc>
          <w:tcPr>
            <w:tcW w:w="3820" w:type="dxa"/>
            <w:vAlign w:val="bottom"/>
            <w:tcBorders>
              <w:right w:val="single" w:sz="8" w:color="CCEEFF"/>
            </w:tcBorders>
            <w:gridSpan w:val="3"/>
            <w:shd w:val="clear" w:color="auto" w:fill="CCEEFF"/>
          </w:tcPr>
          <w:p>
            <w:pPr>
              <w:spacing w:after="0" w:line="142" w:lineRule="exact"/>
              <w:rPr>
                <w:sz w:val="20"/>
                <w:szCs w:val="20"/>
                <w:color w:val="auto"/>
              </w:rPr>
            </w:pPr>
            <w:r>
              <w:rPr>
                <w:rFonts w:ascii="Arial" w:cs="Arial" w:eastAsia="Arial" w:hAnsi="Arial"/>
                <w:sz w:val="16"/>
                <w:szCs w:val="16"/>
                <w:b w:val="1"/>
                <w:bCs w:val="1"/>
                <w:color w:val="auto"/>
              </w:rPr>
              <w:t>Year 8</w:t>
            </w:r>
            <w:r>
              <w:rPr>
                <w:rFonts w:ascii="Arial" w:cs="Arial" w:eastAsia="Arial" w:hAnsi="Arial"/>
                <w:sz w:val="16"/>
                <w:szCs w:val="16"/>
                <w:color w:val="auto"/>
              </w:rPr>
              <w:t>: Avg. of years 5-7 less avg. of years 0-2</w:t>
            </w:r>
          </w:p>
        </w:tc>
        <w:tc>
          <w:tcPr>
            <w:tcW w:w="3720" w:type="dxa"/>
            <w:vAlign w:val="bottom"/>
            <w:gridSpan w:val="2"/>
            <w:shd w:val="clear" w:color="auto" w:fill="CCEEFF"/>
          </w:tcPr>
          <w:p>
            <w:pPr>
              <w:spacing w:after="0" w:line="142" w:lineRule="exact"/>
              <w:rPr>
                <w:sz w:val="20"/>
                <w:szCs w:val="20"/>
                <w:color w:val="auto"/>
              </w:rPr>
            </w:pPr>
            <w:r>
              <w:rPr>
                <w:rFonts w:ascii="Arial" w:cs="Arial" w:eastAsia="Arial" w:hAnsi="Arial"/>
                <w:sz w:val="16"/>
                <w:szCs w:val="16"/>
                <w:b w:val="1"/>
                <w:bCs w:val="1"/>
                <w:color w:val="auto"/>
              </w:rPr>
              <w:t>Year 8</w:t>
            </w:r>
            <w:r>
              <w:rPr>
                <w:rFonts w:ascii="Arial" w:cs="Arial" w:eastAsia="Arial" w:hAnsi="Arial"/>
                <w:sz w:val="16"/>
                <w:szCs w:val="16"/>
                <w:color w:val="auto"/>
              </w:rPr>
              <w:t>: Avg. of years 5-7 less avg. of years 0-2</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680" w:type="dxa"/>
            <w:vAlign w:val="bottom"/>
            <w:tcBorders>
              <w:right w:val="single" w:sz="8" w:color="CCEEFF"/>
            </w:tcBorders>
            <w:gridSpan w:val="3"/>
            <w:vMerge w:val="continue"/>
            <w:shd w:val="clear" w:color="auto" w:fill="CCEEFF"/>
          </w:tcPr>
          <w:p>
            <w:pPr>
              <w:spacing w:after="0"/>
              <w:rPr>
                <w:sz w:val="15"/>
                <w:szCs w:val="15"/>
                <w:color w:val="auto"/>
              </w:rPr>
            </w:pPr>
          </w:p>
        </w:tc>
        <w:tc>
          <w:tcPr>
            <w:tcW w:w="3820" w:type="dxa"/>
            <w:vAlign w:val="bottom"/>
            <w:tcBorders>
              <w:right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5"/>
              </w:rPr>
              <w:t>Year 11</w:t>
            </w:r>
            <w:r>
              <w:rPr>
                <w:rFonts w:ascii="Arial" w:cs="Arial" w:eastAsia="Arial" w:hAnsi="Arial"/>
                <w:sz w:val="18"/>
                <w:szCs w:val="18"/>
                <w:color w:val="auto"/>
                <w:w w:val="95"/>
              </w:rPr>
              <w:t>: Avg. of years 8-10 less avg. of years 5-7</w:t>
            </w:r>
          </w:p>
        </w:tc>
        <w:tc>
          <w:tcPr>
            <w:tcW w:w="37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3"/>
              </w:rPr>
              <w:t>Year 11</w:t>
            </w:r>
            <w:r>
              <w:rPr>
                <w:rFonts w:ascii="Arial" w:cs="Arial" w:eastAsia="Arial" w:hAnsi="Arial"/>
                <w:sz w:val="18"/>
                <w:szCs w:val="18"/>
                <w:color w:val="auto"/>
                <w:w w:val="93"/>
              </w:rPr>
              <w:t>: Avg. of years 8-10 less avg. of years 5-7</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5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3820" w:type="dxa"/>
            <w:vAlign w:val="bottom"/>
            <w:tcBorders>
              <w:right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5"/>
              </w:rPr>
              <w:t>Year 16</w:t>
            </w:r>
            <w:r>
              <w:rPr>
                <w:rFonts w:ascii="Arial" w:cs="Arial" w:eastAsia="Arial" w:hAnsi="Arial"/>
                <w:sz w:val="18"/>
                <w:szCs w:val="18"/>
                <w:color w:val="auto"/>
                <w:w w:val="95"/>
              </w:rPr>
              <w:t>: Avg. of years 13-15 less avg. of years 8-</w:t>
            </w:r>
          </w:p>
        </w:tc>
        <w:tc>
          <w:tcPr>
            <w:tcW w:w="37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3"/>
              </w:rPr>
              <w:t>Year 16</w:t>
            </w:r>
            <w:r>
              <w:rPr>
                <w:rFonts w:ascii="Arial" w:cs="Arial" w:eastAsia="Arial" w:hAnsi="Arial"/>
                <w:sz w:val="18"/>
                <w:szCs w:val="18"/>
                <w:color w:val="auto"/>
                <w:w w:val="93"/>
              </w:rPr>
              <w:t>: Avg. of years 13-15 less avg. of years 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13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3580" w:type="dxa"/>
            <w:vAlign w:val="bottom"/>
            <w:gridSpan w:val="3"/>
          </w:tcPr>
          <w:p>
            <w:pPr>
              <w:spacing w:after="0"/>
              <w:rPr>
                <w:sz w:val="20"/>
                <w:szCs w:val="20"/>
                <w:color w:val="auto"/>
              </w:rPr>
            </w:pPr>
            <w:r>
              <w:rPr>
                <w:rFonts w:ascii="Arial" w:cs="Arial" w:eastAsia="Arial" w:hAnsi="Arial"/>
                <w:sz w:val="18"/>
                <w:szCs w:val="18"/>
                <w:color w:val="auto"/>
              </w:rPr>
              <w:t>____________________</w:t>
            </w: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78"/>
        </w:numPr>
        <w:rPr>
          <w:rFonts w:ascii="Arial" w:cs="Arial" w:eastAsia="Arial" w:hAnsi="Arial"/>
          <w:sz w:val="14"/>
          <w:szCs w:val="14"/>
          <w:i w:val="1"/>
          <w:iCs w:val="1"/>
          <w:color w:val="auto"/>
        </w:rPr>
      </w:pPr>
      <w:r>
        <w:rPr>
          <w:rFonts w:ascii="Arial" w:cs="Arial" w:eastAsia="Arial" w:hAnsi="Arial"/>
          <w:sz w:val="14"/>
          <w:szCs w:val="14"/>
          <w:i w:val="1"/>
          <w:iCs w:val="1"/>
          <w:color w:val="auto"/>
        </w:rPr>
        <w:t>All capitalized terms used without definition herein have the meanings detailed in the applicable Caesars Lease Agreements.</w:t>
      </w:r>
    </w:p>
    <w:p>
      <w:pPr>
        <w:spacing w:after="0" w:line="1" w:lineRule="exact"/>
        <w:rPr>
          <w:rFonts w:ascii="Arial" w:cs="Arial" w:eastAsia="Arial" w:hAnsi="Arial"/>
          <w:sz w:val="14"/>
          <w:szCs w:val="14"/>
          <w:i w:val="1"/>
          <w:iCs w:val="1"/>
          <w:color w:val="auto"/>
        </w:rPr>
      </w:pPr>
    </w:p>
    <w:p>
      <w:pPr>
        <w:ind w:left="220" w:hanging="212"/>
        <w:spacing w:after="0"/>
        <w:tabs>
          <w:tab w:leader="none" w:pos="220" w:val="left"/>
        </w:tabs>
        <w:numPr>
          <w:ilvl w:val="0"/>
          <w:numId w:val="78"/>
        </w:numPr>
        <w:rPr>
          <w:rFonts w:ascii="Arial" w:cs="Arial" w:eastAsia="Arial" w:hAnsi="Arial"/>
          <w:sz w:val="14"/>
          <w:szCs w:val="14"/>
          <w:i w:val="1"/>
          <w:iCs w:val="1"/>
          <w:color w:val="auto"/>
        </w:rPr>
      </w:pPr>
      <w:r>
        <w:rPr>
          <w:rFonts w:ascii="Arial" w:cs="Arial" w:eastAsia="Arial" w:hAnsi="Arial"/>
          <w:sz w:val="14"/>
          <w:szCs w:val="14"/>
          <w:i w:val="1"/>
          <w:iCs w:val="1"/>
          <w:color w:val="auto"/>
        </w:rPr>
        <w:t>Upon the consummation of the Eldorado Transaction, the Caesars Lease Agreements were extended such that each lease has a full 15-year initial term.</w:t>
      </w:r>
    </w:p>
    <w:p>
      <w:pPr>
        <w:spacing w:after="0" w:line="1" w:lineRule="exact"/>
        <w:rPr>
          <w:rFonts w:ascii="Arial" w:cs="Arial" w:eastAsia="Arial" w:hAnsi="Arial"/>
          <w:sz w:val="14"/>
          <w:szCs w:val="14"/>
          <w:i w:val="1"/>
          <w:iCs w:val="1"/>
          <w:color w:val="auto"/>
        </w:rPr>
      </w:pPr>
    </w:p>
    <w:p>
      <w:pPr>
        <w:jc w:val="both"/>
        <w:ind w:firstLine="8"/>
        <w:spacing w:after="0" w:line="221" w:lineRule="auto"/>
        <w:tabs>
          <w:tab w:leader="none" w:pos="209" w:val="left"/>
        </w:tabs>
        <w:numPr>
          <w:ilvl w:val="0"/>
          <w:numId w:val="78"/>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The amounts represent the current annual base rent payable for the current lease year, which is the period from November 1, 2021 through October 31, 2022. Annual rental payments under the Regional Master Lease Agreement were reduced by $32.5 million, which represents the annual rent for the EBCI Lease Agreement related to the Caesars Southern Indiana property, the operations of which were acquired by EBCI from Caesars on September 3, 2021, as further described in </w:t>
      </w:r>
      <w:hyperlink w:anchor="page55">
        <w:r>
          <w:rPr>
            <w:rFonts w:ascii="Arial" w:cs="Arial" w:eastAsia="Arial" w:hAnsi="Arial"/>
            <w:sz w:val="14"/>
            <w:szCs w:val="14"/>
            <w:i w:val="1"/>
            <w:iCs w:val="1"/>
            <w:color w:val="auto"/>
          </w:rPr>
          <w:t xml:space="preserve">Note 3 - Property Transactions. </w:t>
        </w:r>
      </w:hyperlink>
      <w:r>
        <w:rPr>
          <w:rFonts w:ascii="Arial" w:cs="Arial" w:eastAsia="Arial" w:hAnsi="Arial"/>
          <w:sz w:val="14"/>
          <w:szCs w:val="14"/>
          <w:i w:val="1"/>
          <w:iCs w:val="1"/>
          <w:color w:val="auto"/>
        </w:rPr>
        <w:t>Refer to the EBCI Lease Agreement summary below for details of the EBCI Lease Agreement.</w:t>
      </w:r>
    </w:p>
    <w:p>
      <w:pPr>
        <w:spacing w:after="0" w:line="1" w:lineRule="exact"/>
        <w:rPr>
          <w:rFonts w:ascii="Arial" w:cs="Arial" w:eastAsia="Arial" w:hAnsi="Arial"/>
          <w:sz w:val="14"/>
          <w:szCs w:val="14"/>
          <w:i w:val="1"/>
          <w:iCs w:val="1"/>
          <w:color w:val="auto"/>
        </w:rPr>
      </w:pPr>
    </w:p>
    <w:p>
      <w:pPr>
        <w:jc w:val="both"/>
        <w:ind w:firstLine="8"/>
        <w:spacing w:after="0" w:line="260" w:lineRule="auto"/>
        <w:tabs>
          <w:tab w:leader="none" w:pos="214" w:val="left"/>
        </w:tabs>
        <w:numPr>
          <w:ilvl w:val="0"/>
          <w:numId w:val="78"/>
        </w:numPr>
        <w:rPr>
          <w:rFonts w:ascii="Arial" w:cs="Arial" w:eastAsia="Arial" w:hAnsi="Arial"/>
          <w:sz w:val="13"/>
          <w:szCs w:val="13"/>
          <w:i w:val="1"/>
          <w:iCs w:val="1"/>
          <w:color w:val="auto"/>
        </w:rPr>
      </w:pPr>
      <w:r>
        <w:rPr>
          <w:rFonts w:ascii="Arial" w:cs="Arial" w:eastAsia="Arial" w:hAnsi="Arial"/>
          <w:sz w:val="13"/>
          <w:szCs w:val="13"/>
          <w:i w:val="1"/>
          <w:iCs w:val="1"/>
          <w:color w:val="auto"/>
        </w:rPr>
        <w:t>Any amounts representing rents in excess of the CPI floors specified above are considered contingent rent in accordance with GAAP. In relation to the Las Vegas Master Lease Agreement during the year ended December 31, 2021, we recognized approximately $2.0 million in contingent rent. No such rent has been recognized for the years ended December 31, 2020 and 2019. In relation to the Regional Master Lease Agreement and Joliet Lease Agreement, no such rent has been recognized for the years ended December 31, 2021, 2020 and 2019.</w:t>
      </w:r>
    </w:p>
    <w:p>
      <w:pPr>
        <w:ind w:left="220" w:hanging="212"/>
        <w:spacing w:after="0"/>
        <w:tabs>
          <w:tab w:leader="none" w:pos="220" w:val="left"/>
        </w:tabs>
        <w:numPr>
          <w:ilvl w:val="0"/>
          <w:numId w:val="78"/>
        </w:numPr>
        <w:rPr>
          <w:rFonts w:ascii="Arial" w:cs="Arial" w:eastAsia="Arial" w:hAnsi="Arial"/>
          <w:sz w:val="14"/>
          <w:szCs w:val="14"/>
          <w:i w:val="1"/>
          <w:iCs w:val="1"/>
          <w:color w:val="auto"/>
        </w:rPr>
      </w:pPr>
      <w:r>
        <w:rPr>
          <w:rFonts w:ascii="Arial" w:cs="Arial" w:eastAsia="Arial" w:hAnsi="Arial"/>
          <w:sz w:val="14"/>
          <w:szCs w:val="14"/>
          <w:i w:val="1"/>
          <w:iCs w:val="1"/>
          <w:color w:val="auto"/>
        </w:rPr>
        <w:t>Variable Rent is not subject to the Escalator.</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Penn National Lease Agreements - 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material provisions of the Penn National Lease Agreements: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u w:val="single" w:color="auto"/>
                <w:color w:val="auto"/>
                <w:w w:val="88"/>
              </w:rPr>
              <w:t>(</w:t>
            </w:r>
            <w:r>
              <w:rPr>
                <w:rFonts w:ascii="Arial" w:cs="Arial" w:eastAsia="Arial" w:hAnsi="Arial"/>
                <w:sz w:val="14"/>
                <w:szCs w:val="14"/>
                <w:b w:val="1"/>
                <w:bCs w:val="1"/>
                <w:i w:val="1"/>
                <w:iCs w:val="1"/>
                <w:color w:val="auto"/>
                <w:w w:val="88"/>
              </w:rPr>
              <w:t>$ in thousands)</w:t>
            </w:r>
          </w:p>
        </w:tc>
        <w:tc>
          <w:tcPr>
            <w:tcW w:w="2680" w:type="dxa"/>
            <w:vAlign w:val="bottom"/>
            <w:gridSpan w:val="2"/>
          </w:tcPr>
          <w:p>
            <w:pPr>
              <w:spacing w:after="0"/>
              <w:rPr>
                <w:sz w:val="14"/>
                <w:szCs w:val="14"/>
                <w:color w:val="auto"/>
              </w:rPr>
            </w:pPr>
          </w:p>
        </w:tc>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60" w:type="dxa"/>
            <w:vAlign w:val="bottom"/>
            <w:gridSpan w:val="3"/>
          </w:tcPr>
          <w:p>
            <w:pPr>
              <w:spacing w:after="0"/>
              <w:rPr>
                <w:sz w:val="20"/>
                <w:szCs w:val="20"/>
                <w:color w:val="auto"/>
              </w:rPr>
            </w:pPr>
            <w:r>
              <w:rPr>
                <w:rFonts w:ascii="Arial" w:cs="Arial" w:eastAsia="Arial" w:hAnsi="Arial"/>
                <w:sz w:val="16"/>
                <w:szCs w:val="16"/>
                <w:b w:val="1"/>
                <w:bCs w:val="1"/>
                <w:color w:val="auto"/>
              </w:rPr>
              <w:t>Lease Provision</w:t>
            </w:r>
          </w:p>
        </w:tc>
        <w:tc>
          <w:tcPr>
            <w:tcW w:w="3820" w:type="dxa"/>
            <w:vAlign w:val="bottom"/>
            <w:gridSpan w:val="2"/>
          </w:tcPr>
          <w:p>
            <w:pPr>
              <w:ind w:left="740"/>
              <w:spacing w:after="0"/>
              <w:rPr>
                <w:sz w:val="20"/>
                <w:szCs w:val="20"/>
                <w:color w:val="auto"/>
              </w:rPr>
            </w:pPr>
            <w:r>
              <w:rPr>
                <w:rFonts w:ascii="Arial" w:cs="Arial" w:eastAsia="Arial" w:hAnsi="Arial"/>
                <w:sz w:val="16"/>
                <w:szCs w:val="16"/>
                <w:b w:val="1"/>
                <w:bCs w:val="1"/>
                <w:color w:val="auto"/>
              </w:rPr>
              <w:t>Margaritaville Lease Agreement</w:t>
            </w:r>
          </w:p>
        </w:tc>
        <w:tc>
          <w:tcPr>
            <w:tcW w:w="3740" w:type="dxa"/>
            <w:vAlign w:val="bottom"/>
          </w:tcPr>
          <w:p>
            <w:pPr>
              <w:ind w:left="860"/>
              <w:spacing w:after="0"/>
              <w:rPr>
                <w:sz w:val="20"/>
                <w:szCs w:val="20"/>
                <w:color w:val="auto"/>
              </w:rPr>
            </w:pPr>
            <w:r>
              <w:rPr>
                <w:rFonts w:ascii="Arial" w:cs="Arial" w:eastAsia="Arial" w:hAnsi="Arial"/>
                <w:sz w:val="16"/>
                <w:szCs w:val="16"/>
                <w:b w:val="1"/>
                <w:bCs w:val="1"/>
                <w:color w:val="auto"/>
              </w:rPr>
              <w:t>Greektown Lease Agreement</w:t>
            </w:r>
          </w:p>
        </w:tc>
        <w:tc>
          <w:tcPr>
            <w:tcW w:w="0" w:type="dxa"/>
            <w:vAlign w:val="bottom"/>
          </w:tcPr>
          <w:p>
            <w:pPr>
              <w:spacing w:after="0"/>
              <w:rPr>
                <w:sz w:val="1"/>
                <w:szCs w:val="1"/>
                <w:color w:val="auto"/>
              </w:rPr>
            </w:pPr>
          </w:p>
        </w:tc>
      </w:tr>
      <w:tr>
        <w:trPr>
          <w:trHeight w:val="226"/>
        </w:trPr>
        <w:tc>
          <w:tcPr>
            <w:tcW w:w="20" w:type="dxa"/>
            <w:vAlign w:val="bottom"/>
            <w:tcBorders>
              <w:top w:val="single" w:sz="8" w:color="auto"/>
            </w:tcBorders>
            <w:shd w:val="clear" w:color="auto" w:fill="CCEEFF"/>
          </w:tcPr>
          <w:p>
            <w:pPr>
              <w:spacing w:after="0"/>
              <w:rPr>
                <w:sz w:val="19"/>
                <w:szCs w:val="19"/>
                <w:color w:val="auto"/>
              </w:rPr>
            </w:pPr>
          </w:p>
        </w:tc>
        <w:tc>
          <w:tcPr>
            <w:tcW w:w="35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Initial term</w:t>
            </w:r>
          </w:p>
        </w:tc>
        <w:tc>
          <w:tcPr>
            <w:tcW w:w="100" w:type="dxa"/>
            <w:vAlign w:val="bottom"/>
            <w:tcBorders>
              <w:top w:val="single" w:sz="8" w:color="CCEEFF"/>
            </w:tcBorders>
            <w:shd w:val="clear" w:color="auto" w:fill="CCEEFF"/>
          </w:tcPr>
          <w:p>
            <w:pPr>
              <w:spacing w:after="0"/>
              <w:rPr>
                <w:sz w:val="19"/>
                <w:szCs w:val="19"/>
                <w:color w:val="auto"/>
              </w:rPr>
            </w:pPr>
          </w:p>
        </w:tc>
        <w:tc>
          <w:tcPr>
            <w:tcW w:w="3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15 years</w:t>
            </w:r>
          </w:p>
        </w:tc>
        <w:tc>
          <w:tcPr>
            <w:tcW w:w="100" w:type="dxa"/>
            <w:vAlign w:val="bottom"/>
            <w:tcBorders>
              <w:top w:val="single" w:sz="8" w:color="CCEEFF"/>
            </w:tcBorders>
            <w:shd w:val="clear" w:color="auto" w:fill="CCEEFF"/>
          </w:tcPr>
          <w:p>
            <w:pPr>
              <w:spacing w:after="0"/>
              <w:rPr>
                <w:sz w:val="19"/>
                <w:szCs w:val="19"/>
                <w:color w:val="auto"/>
              </w:rPr>
            </w:pPr>
          </w:p>
        </w:tc>
        <w:tc>
          <w:tcPr>
            <w:tcW w:w="3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15 years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rPr>
              <w:t>Initial term maturity</w:t>
            </w:r>
          </w:p>
        </w:tc>
        <w:tc>
          <w:tcPr>
            <w:tcW w:w="3720" w:type="dxa"/>
            <w:vAlign w:val="bottom"/>
          </w:tcPr>
          <w:p>
            <w:pPr>
              <w:ind w:left="20"/>
              <w:spacing w:after="0"/>
              <w:rPr>
                <w:sz w:val="20"/>
                <w:szCs w:val="20"/>
                <w:color w:val="auto"/>
              </w:rPr>
            </w:pPr>
            <w:r>
              <w:rPr>
                <w:rFonts w:ascii="Arial" w:cs="Arial" w:eastAsia="Arial" w:hAnsi="Arial"/>
                <w:sz w:val="18"/>
                <w:szCs w:val="18"/>
                <w:color w:val="auto"/>
              </w:rPr>
              <w:t>1/31/2034</w:t>
            </w:r>
          </w:p>
        </w:tc>
        <w:tc>
          <w:tcPr>
            <w:tcW w:w="100" w:type="dxa"/>
            <w:vAlign w:val="bottom"/>
          </w:tcPr>
          <w:p>
            <w:pPr>
              <w:spacing w:after="0"/>
              <w:rPr>
                <w:sz w:val="19"/>
                <w:szCs w:val="19"/>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5/23/2034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Renewal terms</w:t>
            </w:r>
          </w:p>
        </w:tc>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Four, five-year terms</w:t>
            </w:r>
          </w:p>
        </w:tc>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Four, five-year terms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gridSpan w:val="3"/>
          </w:tcPr>
          <w:p>
            <w:pPr>
              <w:spacing w:after="0" w:line="230" w:lineRule="exact"/>
              <w:rPr>
                <w:sz w:val="20"/>
                <w:szCs w:val="20"/>
                <w:color w:val="auto"/>
              </w:rPr>
            </w:pPr>
            <w:r>
              <w:rPr>
                <w:rFonts w:ascii="Arial" w:cs="Arial" w:eastAsia="Arial" w:hAnsi="Arial"/>
                <w:sz w:val="18"/>
                <w:szCs w:val="18"/>
                <w:color w:val="auto"/>
              </w:rPr>
              <w:t xml:space="preserve">Current annual rent </w:t>
            </w:r>
            <w:r>
              <w:rPr>
                <w:rFonts w:ascii="Arial" w:cs="Arial" w:eastAsia="Arial" w:hAnsi="Arial"/>
                <w:sz w:val="23"/>
                <w:szCs w:val="23"/>
                <w:i w:val="1"/>
                <w:iCs w:val="1"/>
                <w:color w:val="auto"/>
                <w:vertAlign w:val="superscript"/>
              </w:rPr>
              <w:t>(1)</w:t>
            </w:r>
          </w:p>
        </w:tc>
        <w:tc>
          <w:tcPr>
            <w:tcW w:w="3720" w:type="dxa"/>
            <w:vAlign w:val="bottom"/>
          </w:tcPr>
          <w:p>
            <w:pPr>
              <w:ind w:left="20"/>
              <w:spacing w:after="0"/>
              <w:rPr>
                <w:sz w:val="20"/>
                <w:szCs w:val="20"/>
                <w:color w:val="auto"/>
              </w:rPr>
            </w:pPr>
            <w:r>
              <w:rPr>
                <w:rFonts w:ascii="Arial" w:cs="Arial" w:eastAsia="Arial" w:hAnsi="Arial"/>
                <w:sz w:val="18"/>
                <w:szCs w:val="18"/>
                <w:color w:val="auto"/>
              </w:rPr>
              <w:t>$23,813</w:t>
            </w:r>
          </w:p>
        </w:tc>
        <w:tc>
          <w:tcPr>
            <w:tcW w:w="100" w:type="dxa"/>
            <w:vAlign w:val="bottom"/>
          </w:tcPr>
          <w:p>
            <w:pPr>
              <w:spacing w:after="0"/>
              <w:rPr>
                <w:sz w:val="19"/>
                <w:szCs w:val="19"/>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$51,321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60" w:type="dxa"/>
            <w:vAlign w:val="bottom"/>
            <w:gridSpan w:val="3"/>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Escalation commencement </w:t>
            </w:r>
            <w:r>
              <w:rPr>
                <w:rFonts w:ascii="Arial" w:cs="Arial" w:eastAsia="Arial" w:hAnsi="Arial"/>
                <w:sz w:val="23"/>
                <w:szCs w:val="23"/>
                <w:i w:val="1"/>
                <w:iCs w:val="1"/>
                <w:color w:val="auto"/>
                <w:vertAlign w:val="superscript"/>
              </w:rPr>
              <w:t>(2)</w:t>
            </w:r>
          </w:p>
        </w:tc>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 year two</w:t>
            </w:r>
          </w:p>
        </w:tc>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year four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60" w:type="dxa"/>
            <w:vAlign w:val="bottom"/>
            <w:gridSpan w:val="3"/>
            <w:vMerge w:val="restart"/>
          </w:tcPr>
          <w:p>
            <w:pPr>
              <w:ind w:left="120"/>
              <w:spacing w:after="0"/>
              <w:rPr>
                <w:sz w:val="20"/>
                <w:szCs w:val="20"/>
                <w:color w:val="auto"/>
              </w:rPr>
            </w:pPr>
            <w:r>
              <w:rPr>
                <w:rFonts w:ascii="Arial" w:cs="Arial" w:eastAsia="Arial" w:hAnsi="Arial"/>
                <w:sz w:val="18"/>
                <w:szCs w:val="18"/>
                <w:color w:val="auto"/>
              </w:rPr>
              <w:t>Escalation</w:t>
            </w:r>
          </w:p>
        </w:tc>
        <w:tc>
          <w:tcPr>
            <w:tcW w:w="38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2% of building base rent, subject to the net</w:t>
            </w:r>
          </w:p>
        </w:tc>
        <w:tc>
          <w:tcPr>
            <w:tcW w:w="3740" w:type="dxa"/>
            <w:vAlign w:val="bottom"/>
          </w:tcPr>
          <w:p>
            <w:pPr>
              <w:ind w:left="20"/>
              <w:spacing w:after="0" w:line="176" w:lineRule="exact"/>
              <w:rPr>
                <w:sz w:val="20"/>
                <w:szCs w:val="20"/>
                <w:color w:val="auto"/>
              </w:rPr>
            </w:pPr>
            <w:r>
              <w:rPr>
                <w:rFonts w:ascii="Arial" w:cs="Arial" w:eastAsia="Arial" w:hAnsi="Arial"/>
                <w:sz w:val="18"/>
                <w:szCs w:val="18"/>
                <w:color w:val="auto"/>
                <w:w w:val="90"/>
              </w:rPr>
              <w:t>2% of building base rent, subject to the net revenue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gridSpan w:val="3"/>
            <w:vMerge w:val="continue"/>
          </w:tcPr>
          <w:p>
            <w:pPr>
              <w:spacing w:after="0"/>
              <w:rPr>
                <w:sz w:val="11"/>
                <w:szCs w:val="11"/>
                <w:color w:val="auto"/>
              </w:rPr>
            </w:pPr>
          </w:p>
        </w:tc>
        <w:tc>
          <w:tcPr>
            <w:tcW w:w="3820" w:type="dxa"/>
            <w:vAlign w:val="bottom"/>
            <w:gridSpan w:val="2"/>
            <w:vMerge w:val="restart"/>
          </w:tcPr>
          <w:p>
            <w:pPr>
              <w:ind w:left="20"/>
              <w:spacing w:after="0"/>
              <w:rPr>
                <w:sz w:val="20"/>
                <w:szCs w:val="20"/>
                <w:color w:val="auto"/>
              </w:rPr>
            </w:pPr>
            <w:r>
              <w:rPr>
                <w:rFonts w:ascii="Arial" w:cs="Arial" w:eastAsia="Arial" w:hAnsi="Arial"/>
                <w:sz w:val="18"/>
                <w:szCs w:val="18"/>
                <w:color w:val="auto"/>
              </w:rPr>
              <w:t>revenue to rent ratio floor</w:t>
            </w:r>
          </w:p>
        </w:tc>
        <w:tc>
          <w:tcPr>
            <w:tcW w:w="3740" w:type="dxa"/>
            <w:vAlign w:val="bottom"/>
            <w:vMerge w:val="restart"/>
          </w:tcPr>
          <w:p>
            <w:pPr>
              <w:ind w:left="20"/>
              <w:spacing w:after="0"/>
              <w:rPr>
                <w:sz w:val="20"/>
                <w:szCs w:val="20"/>
                <w:color w:val="auto"/>
              </w:rPr>
            </w:pPr>
            <w:r>
              <w:rPr>
                <w:rFonts w:ascii="Arial" w:cs="Arial" w:eastAsia="Arial" w:hAnsi="Arial"/>
                <w:sz w:val="18"/>
                <w:szCs w:val="18"/>
                <w:color w:val="auto"/>
              </w:rPr>
              <w:t>to rent ratio floor</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2"/>
            <w:vMerge w:val="continue"/>
          </w:tcPr>
          <w:p>
            <w:pPr>
              <w:spacing w:after="0"/>
              <w:rPr>
                <w:sz w:val="8"/>
                <w:szCs w:val="8"/>
                <w:color w:val="auto"/>
              </w:rPr>
            </w:pPr>
          </w:p>
        </w:tc>
        <w:tc>
          <w:tcPr>
            <w:tcW w:w="3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3660" w:type="dxa"/>
            <w:vAlign w:val="bottom"/>
            <w:gridSpan w:val="3"/>
            <w:shd w:val="clear" w:color="auto" w:fill="CCEEFF"/>
          </w:tcPr>
          <w:p>
            <w:pPr>
              <w:ind w:left="120"/>
              <w:spacing w:after="0" w:line="256" w:lineRule="exact"/>
              <w:rPr>
                <w:sz w:val="20"/>
                <w:szCs w:val="20"/>
                <w:color w:val="auto"/>
              </w:rPr>
            </w:pPr>
            <w:r>
              <w:rPr>
                <w:rFonts w:ascii="Arial" w:cs="Arial" w:eastAsia="Arial" w:hAnsi="Arial"/>
                <w:sz w:val="18"/>
                <w:szCs w:val="18"/>
                <w:color w:val="auto"/>
              </w:rPr>
              <w:t xml:space="preserve">Performance to rent ratio floor </w:t>
            </w:r>
            <w:r>
              <w:rPr>
                <w:rFonts w:ascii="Arial" w:cs="Arial" w:eastAsia="Arial" w:hAnsi="Arial"/>
                <w:sz w:val="23"/>
                <w:szCs w:val="23"/>
                <w:i w:val="1"/>
                <w:iCs w:val="1"/>
                <w:color w:val="auto"/>
                <w:vertAlign w:val="superscript"/>
              </w:rPr>
              <w:t>(2)</w:t>
            </w:r>
          </w:p>
        </w:tc>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6.1x net revenue commencing lease year two</w:t>
            </w:r>
          </w:p>
        </w:tc>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Net revenue ratio to be mutually agreed upon prior</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740" w:type="dxa"/>
            <w:vAlign w:val="bottom"/>
            <w:shd w:val="clear" w:color="auto" w:fill="CCEEFF"/>
          </w:tcPr>
          <w:p>
            <w:pPr>
              <w:ind w:left="20"/>
              <w:spacing w:after="0" w:line="149" w:lineRule="exact"/>
              <w:rPr>
                <w:sz w:val="20"/>
                <w:szCs w:val="20"/>
                <w:color w:val="auto"/>
              </w:rPr>
            </w:pPr>
            <w:r>
              <w:rPr>
                <w:rFonts w:ascii="Arial" w:cs="Arial" w:eastAsia="Arial" w:hAnsi="Arial"/>
                <w:sz w:val="17"/>
                <w:szCs w:val="17"/>
                <w:color w:val="auto"/>
              </w:rPr>
              <w:t>to the commencement of lease year four</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79" w:right="339" w:bottom="1440" w:gutter="0" w:footer="0" w:header="0"/>
        </w:sectPr>
      </w:pPr>
    </w:p>
    <w:p>
      <w:pPr>
        <w:ind w:left="20"/>
        <w:spacing w:after="0"/>
        <w:rPr>
          <w:sz w:val="20"/>
          <w:szCs w:val="20"/>
          <w:color w:val="auto"/>
        </w:rPr>
      </w:pPr>
      <w:r>
        <w:rPr>
          <w:rFonts w:ascii="Arial" w:cs="Arial" w:eastAsia="Arial" w:hAnsi="Arial"/>
          <w:sz w:val="18"/>
          <w:szCs w:val="18"/>
          <w:color w:val="auto"/>
        </w:rPr>
        <w:t xml:space="preserve">Percentage rent </w:t>
      </w:r>
      <w:r>
        <w:rPr>
          <w:rFonts w:ascii="Arial" w:cs="Arial" w:eastAsia="Arial" w:hAnsi="Arial"/>
          <w:sz w:val="23"/>
          <w:szCs w:val="23"/>
          <w:i w:val="1"/>
          <w:iCs w:val="1"/>
          <w:color w:val="auto"/>
          <w:vertAlign w:val="superscript"/>
        </w:rPr>
        <w:t>(3)</w:t>
      </w:r>
    </w:p>
    <w:p>
      <w:pPr>
        <w:spacing w:after="0" w:line="4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Percentage rent reset</w:t>
      </w:r>
    </w:p>
    <w:p>
      <w:pPr>
        <w:spacing w:after="0" w:line="200" w:lineRule="exact"/>
        <w:rPr>
          <w:sz w:val="20"/>
          <w:szCs w:val="20"/>
          <w:color w:val="auto"/>
        </w:rPr>
      </w:pPr>
    </w:p>
    <w:p>
      <w:pPr>
        <w:spacing w:after="0" w:line="26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Percentage rent multiplier</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8"/>
          <w:szCs w:val="18"/>
          <w:color w:val="auto"/>
        </w:rPr>
        <w:t>$2,918</w:t>
      </w:r>
      <w:r>
        <w:rPr>
          <w:sz w:val="20"/>
          <w:szCs w:val="20"/>
          <w:color w:val="auto"/>
        </w:rPr>
        <w:tab/>
      </w:r>
      <w:r>
        <w:rPr>
          <w:rFonts w:ascii="Arial" w:cs="Arial" w:eastAsia="Arial" w:hAnsi="Arial"/>
          <w:sz w:val="16"/>
          <w:szCs w:val="16"/>
          <w:color w:val="auto"/>
        </w:rPr>
        <w:t>$2,149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14605</wp:posOffset>
            </wp:positionV>
            <wp:extent cx="7132320" cy="2571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9">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tabs>
          <w:tab w:leader="none" w:pos="3800" w:val="left"/>
        </w:tabs>
        <w:rPr>
          <w:sz w:val="20"/>
          <w:szCs w:val="20"/>
          <w:color w:val="auto"/>
        </w:rPr>
      </w:pPr>
      <w:r>
        <w:rPr>
          <w:rFonts w:ascii="Arial" w:cs="Arial" w:eastAsia="Arial" w:hAnsi="Arial"/>
          <w:sz w:val="18"/>
          <w:szCs w:val="18"/>
          <w:color w:val="auto"/>
        </w:rPr>
        <w:t>Lease year three and each and every other lease</w:t>
      </w:r>
      <w:r>
        <w:rPr>
          <w:sz w:val="20"/>
          <w:szCs w:val="20"/>
          <w:color w:val="auto"/>
        </w:rPr>
        <w:tab/>
      </w:r>
      <w:r>
        <w:rPr>
          <w:rFonts w:ascii="Arial" w:cs="Arial" w:eastAsia="Arial" w:hAnsi="Arial"/>
          <w:sz w:val="15"/>
          <w:szCs w:val="15"/>
          <w:color w:val="auto"/>
        </w:rPr>
        <w:t>Lease year three and each and every other lease</w:t>
      </w:r>
    </w:p>
    <w:p>
      <w:pPr>
        <w:spacing w:after="0"/>
        <w:tabs>
          <w:tab w:leader="none" w:pos="3800" w:val="left"/>
        </w:tabs>
        <w:rPr>
          <w:sz w:val="20"/>
          <w:szCs w:val="20"/>
          <w:color w:val="auto"/>
        </w:rPr>
      </w:pPr>
      <w:r>
        <w:rPr>
          <w:rFonts w:ascii="Arial" w:cs="Arial" w:eastAsia="Arial" w:hAnsi="Arial"/>
          <w:sz w:val="18"/>
          <w:szCs w:val="18"/>
          <w:color w:val="auto"/>
        </w:rPr>
        <w:t>year thereafter</w:t>
      </w:r>
      <w:r>
        <w:rPr>
          <w:sz w:val="20"/>
          <w:szCs w:val="20"/>
          <w:color w:val="auto"/>
        </w:rPr>
        <w:tab/>
      </w:r>
      <w:r>
        <w:rPr>
          <w:rFonts w:ascii="Arial" w:cs="Arial" w:eastAsia="Arial" w:hAnsi="Arial"/>
          <w:sz w:val="15"/>
          <w:szCs w:val="15"/>
          <w:color w:val="auto"/>
        </w:rPr>
        <w:t>year thereafter</w:t>
      </w:r>
    </w:p>
    <w:p>
      <w:pPr>
        <w:spacing w:after="0" w:line="7" w:lineRule="exact"/>
        <w:rPr>
          <w:sz w:val="20"/>
          <w:szCs w:val="20"/>
          <w:color w:val="auto"/>
        </w:rPr>
      </w:pPr>
    </w:p>
    <w:p>
      <w:pPr>
        <w:ind w:right="20"/>
        <w:spacing w:after="0" w:line="220" w:lineRule="auto"/>
        <w:rPr>
          <w:sz w:val="20"/>
          <w:szCs w:val="20"/>
          <w:color w:val="auto"/>
        </w:rPr>
      </w:pPr>
      <w:r>
        <w:rPr>
          <w:rFonts w:ascii="Arial" w:cs="Arial" w:eastAsia="Arial" w:hAnsi="Arial"/>
          <w:sz w:val="17"/>
          <w:szCs w:val="17"/>
          <w:color w:val="auto"/>
        </w:rPr>
        <w:t>The product of (i) 4% and (ii) the excess (if any) The product of (i) 4% and (ii) the excess (if any) of of (a) the average annual net revenue of a trailing (a) the average annual net revenue of a trailing two-year period preceding such reset year over (b) two-year period preceding such reset year over (b) a threshold amount (defined as 50% of LTM net a threshold amount (defined as 50% of LTM net</w:t>
      </w:r>
    </w:p>
    <w:p>
      <w:pPr>
        <w:spacing w:after="0"/>
        <w:tabs>
          <w:tab w:leader="none" w:pos="3800" w:val="left"/>
        </w:tabs>
        <w:rPr>
          <w:sz w:val="20"/>
          <w:szCs w:val="20"/>
          <w:color w:val="auto"/>
        </w:rPr>
      </w:pPr>
      <w:r>
        <w:rPr>
          <w:rFonts w:ascii="Arial" w:cs="Arial" w:eastAsia="Arial" w:hAnsi="Arial"/>
          <w:sz w:val="18"/>
          <w:szCs w:val="18"/>
          <w:color w:val="auto"/>
        </w:rPr>
        <w:t>revenues prior to acquisition)</w:t>
      </w:r>
      <w:r>
        <w:rPr>
          <w:sz w:val="20"/>
          <w:szCs w:val="20"/>
          <w:color w:val="auto"/>
        </w:rPr>
        <w:tab/>
      </w:r>
      <w:r>
        <w:rPr>
          <w:rFonts w:ascii="Arial" w:cs="Arial" w:eastAsia="Arial" w:hAnsi="Arial"/>
          <w:sz w:val="16"/>
          <w:szCs w:val="16"/>
          <w:color w:val="auto"/>
        </w:rPr>
        <w:t>revenues prior to acquisition)</w:t>
      </w:r>
    </w:p>
    <w:p>
      <w:pPr>
        <w:spacing w:after="0" w:line="311" w:lineRule="exact"/>
        <w:rPr>
          <w:sz w:val="20"/>
          <w:szCs w:val="20"/>
          <w:color w:val="auto"/>
        </w:rPr>
      </w:pPr>
    </w:p>
    <w:p>
      <w:pPr>
        <w:sectPr>
          <w:pgSz w:w="11900" w:h="16838" w:orient="portrait"/>
          <w:cols w:equalWidth="0" w:num="2">
            <w:col w:w="2980" w:space="720"/>
            <w:col w:w="7540"/>
          </w:cols>
          <w:pgMar w:left="320" w:top="179" w:right="339" w:bottom="1440" w:gutter="0" w:footer="0" w:header="0"/>
          <w:type w:val="continuous"/>
        </w:sectPr>
      </w:pPr>
    </w:p>
    <w:p>
      <w:pPr>
        <w:jc w:val="both"/>
        <w:ind w:firstLine="8"/>
        <w:spacing w:after="0" w:line="241" w:lineRule="auto"/>
        <w:tabs>
          <w:tab w:leader="none" w:pos="217" w:val="left"/>
        </w:tabs>
        <w:numPr>
          <w:ilvl w:val="0"/>
          <w:numId w:val="79"/>
        </w:numPr>
        <w:rPr>
          <w:rFonts w:ascii="Arial" w:cs="Arial" w:eastAsia="Arial" w:hAnsi="Arial"/>
          <w:sz w:val="14"/>
          <w:szCs w:val="14"/>
          <w:i w:val="1"/>
          <w:iCs w:val="1"/>
          <w:color w:val="auto"/>
        </w:rPr>
      </w:pPr>
      <w:r>
        <w:rPr>
          <w:rFonts w:ascii="Arial" w:cs="Arial" w:eastAsia="Arial" w:hAnsi="Arial"/>
          <w:sz w:val="14"/>
          <w:szCs w:val="14"/>
          <w:i w:val="1"/>
          <w:iCs w:val="1"/>
          <w:color w:val="auto"/>
        </w:rPr>
        <w:t>In relation to the Margaritaville Lease Agreement, the amount represents current annual base rent payable for the current lease year, which is the period from February 1, 2022 through January 31, 2023. In relation to the Greektown Lease Agreement, the amount represents current annual base rent payable for the current lease year, which is the period from June 1, 2021 through May 31, 2022.</w:t>
      </w:r>
    </w:p>
    <w:p>
      <w:pPr>
        <w:spacing w:after="0" w:line="1" w:lineRule="exact"/>
        <w:rPr>
          <w:rFonts w:ascii="Arial" w:cs="Arial" w:eastAsia="Arial" w:hAnsi="Arial"/>
          <w:sz w:val="14"/>
          <w:szCs w:val="14"/>
          <w:i w:val="1"/>
          <w:iCs w:val="1"/>
          <w:color w:val="auto"/>
        </w:rPr>
      </w:pPr>
    </w:p>
    <w:p>
      <w:pPr>
        <w:jc w:val="both"/>
        <w:ind w:firstLine="8"/>
        <w:spacing w:after="0" w:line="241" w:lineRule="auto"/>
        <w:tabs>
          <w:tab w:leader="none" w:pos="211" w:val="left"/>
        </w:tabs>
        <w:numPr>
          <w:ilvl w:val="0"/>
          <w:numId w:val="79"/>
        </w:numPr>
        <w:rPr>
          <w:rFonts w:ascii="Arial" w:cs="Arial" w:eastAsia="Arial" w:hAnsi="Arial"/>
          <w:sz w:val="14"/>
          <w:szCs w:val="14"/>
          <w:i w:val="1"/>
          <w:iCs w:val="1"/>
          <w:color w:val="auto"/>
        </w:rPr>
      </w:pPr>
      <w:r>
        <w:rPr>
          <w:rFonts w:ascii="Arial" w:cs="Arial" w:eastAsia="Arial" w:hAnsi="Arial"/>
          <w:sz w:val="14"/>
          <w:szCs w:val="14"/>
          <w:i w:val="1"/>
          <w:iCs w:val="1"/>
          <w:color w:val="auto"/>
        </w:rPr>
        <w:t>In the event that the net revenue to rent ratio coverage, as applicable, is below the stated floor, the escalation will be reduced to such amount to achieve the stated net revenue to rent ratio coverage, as applicable, provided that the amount shall never result in a decrease to the prior year’s rent. In relation to the Greektown Lease Agreement, in May 2020, the lease was adjusted to remove the escalation for lease years 2 and 3 and to provide for a net revenue to rent ratio coverage floor to be mutually agreed upon by both parties prior to the commencement of lease year four.</w:t>
      </w:r>
    </w:p>
    <w:p>
      <w:pPr>
        <w:spacing w:after="0" w:line="1" w:lineRule="exact"/>
        <w:rPr>
          <w:rFonts w:ascii="Arial" w:cs="Arial" w:eastAsia="Arial" w:hAnsi="Arial"/>
          <w:sz w:val="14"/>
          <w:szCs w:val="14"/>
          <w:i w:val="1"/>
          <w:iCs w:val="1"/>
          <w:color w:val="auto"/>
        </w:rPr>
      </w:pPr>
    </w:p>
    <w:p>
      <w:pPr>
        <w:jc w:val="both"/>
        <w:ind w:firstLine="8"/>
        <w:spacing w:after="0" w:line="271" w:lineRule="auto"/>
        <w:tabs>
          <w:tab w:leader="none" w:pos="220" w:val="left"/>
        </w:tabs>
        <w:numPr>
          <w:ilvl w:val="0"/>
          <w:numId w:val="79"/>
        </w:numPr>
        <w:rPr>
          <w:rFonts w:ascii="Arial" w:cs="Arial" w:eastAsia="Arial" w:hAnsi="Arial"/>
          <w:sz w:val="13"/>
          <w:szCs w:val="13"/>
          <w:i w:val="1"/>
          <w:iCs w:val="1"/>
          <w:color w:val="auto"/>
        </w:rPr>
      </w:pPr>
      <w:r>
        <w:rPr>
          <w:rFonts w:ascii="Arial" w:cs="Arial" w:eastAsia="Arial" w:hAnsi="Arial"/>
          <w:sz w:val="13"/>
          <w:szCs w:val="13"/>
          <w:i w:val="1"/>
          <w:iCs w:val="1"/>
          <w:color w:val="auto"/>
        </w:rPr>
        <w:t>Percentage rent is subject to the percentage rent multiplier. After the percentage rent reset in lease year three, any amounts related to percentage rent are considered contingent rent in accordance with GAAP. During the years ended December 31, 2021 and 2020, we recognized approximately $3.0 million and $0.3 million in contingent rent in relation to the Margaritaville Lease Agreement escalation, respectively. No such rent has been recognized for the year ended December 31, 2019. In relation to the Greektown Lease Agreement during the year ended December 31, 2021, we recognized approximately $1.3 million in contingent rent. No such rent has been recognized for the years ended December 31, 2020 and 2019.</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114" w:name="page115"/>
    <w:bookmarkEnd w:id="1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Hard Rock Cincinnati Lease Agreement - 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material lease provisions of the Hard Rock Cincinnati Lease Agreement: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u w:val="single" w:color="auto"/>
                <w:color w:val="auto"/>
                <w:w w:val="88"/>
              </w:rPr>
              <w:t>(</w:t>
            </w:r>
            <w:r>
              <w:rPr>
                <w:rFonts w:ascii="Arial" w:cs="Arial" w:eastAsia="Arial" w:hAnsi="Arial"/>
                <w:sz w:val="14"/>
                <w:szCs w:val="14"/>
                <w:b w:val="1"/>
                <w:bCs w:val="1"/>
                <w:i w:val="1"/>
                <w:iCs w:val="1"/>
                <w:color w:val="auto"/>
                <w:w w:val="88"/>
              </w:rPr>
              <w:t>$ in thousands)</w:t>
            </w:r>
          </w:p>
        </w:tc>
        <w:tc>
          <w:tcPr>
            <w:tcW w:w="2620" w:type="dxa"/>
            <w:vAlign w:val="bottom"/>
            <w:gridSpan w:val="2"/>
          </w:tcPr>
          <w:p>
            <w:pPr>
              <w:spacing w:after="0"/>
              <w:rPr>
                <w:sz w:val="14"/>
                <w:szCs w:val="14"/>
                <w:color w:val="auto"/>
              </w:rPr>
            </w:pPr>
          </w:p>
        </w:tc>
        <w:tc>
          <w:tcPr>
            <w:tcW w:w="7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600" w:type="dxa"/>
            <w:vAlign w:val="bottom"/>
            <w:gridSpan w:val="3"/>
          </w:tcPr>
          <w:p>
            <w:pPr>
              <w:spacing w:after="0"/>
              <w:rPr>
                <w:sz w:val="20"/>
                <w:szCs w:val="20"/>
                <w:color w:val="auto"/>
              </w:rPr>
            </w:pPr>
            <w:r>
              <w:rPr>
                <w:rFonts w:ascii="Arial" w:cs="Arial" w:eastAsia="Arial" w:hAnsi="Arial"/>
                <w:sz w:val="16"/>
                <w:szCs w:val="16"/>
                <w:b w:val="1"/>
                <w:bCs w:val="1"/>
                <w:color w:val="auto"/>
              </w:rPr>
              <w:t>Lease Provision</w:t>
            </w:r>
          </w:p>
        </w:tc>
        <w:tc>
          <w:tcPr>
            <w:tcW w:w="7620" w:type="dxa"/>
            <w:vAlign w:val="bottom"/>
          </w:tcPr>
          <w:p>
            <w:pPr>
              <w:ind w:left="3620"/>
              <w:spacing w:after="0"/>
              <w:rPr>
                <w:sz w:val="20"/>
                <w:szCs w:val="20"/>
                <w:color w:val="auto"/>
              </w:rPr>
            </w:pPr>
            <w:r>
              <w:rPr>
                <w:rFonts w:ascii="Arial" w:cs="Arial" w:eastAsia="Arial" w:hAnsi="Arial"/>
                <w:sz w:val="16"/>
                <w:szCs w:val="16"/>
                <w:b w:val="1"/>
                <w:bCs w:val="1"/>
                <w:color w:val="auto"/>
              </w:rPr>
              <w:t>Term</w:t>
            </w:r>
          </w:p>
        </w:tc>
        <w:tc>
          <w:tcPr>
            <w:tcW w:w="0" w:type="dxa"/>
            <w:vAlign w:val="bottom"/>
          </w:tcPr>
          <w:p>
            <w:pPr>
              <w:spacing w:after="0"/>
              <w:rPr>
                <w:sz w:val="1"/>
                <w:szCs w:val="1"/>
                <w:color w:val="auto"/>
              </w:rPr>
            </w:pPr>
          </w:p>
        </w:tc>
      </w:tr>
      <w:tr>
        <w:trPr>
          <w:trHeight w:val="226"/>
        </w:trPr>
        <w:tc>
          <w:tcPr>
            <w:tcW w:w="20" w:type="dxa"/>
            <w:vAlign w:val="bottom"/>
            <w:tcBorders>
              <w:top w:val="single" w:sz="8" w:color="auto"/>
            </w:tcBorders>
            <w:shd w:val="clear" w:color="auto" w:fill="CCEEFF"/>
          </w:tcPr>
          <w:p>
            <w:pPr>
              <w:spacing w:after="0"/>
              <w:rPr>
                <w:sz w:val="19"/>
                <w:szCs w:val="19"/>
                <w:color w:val="auto"/>
              </w:rPr>
            </w:pPr>
          </w:p>
        </w:tc>
        <w:tc>
          <w:tcPr>
            <w:tcW w:w="35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Initial term</w:t>
            </w:r>
          </w:p>
        </w:tc>
        <w:tc>
          <w:tcPr>
            <w:tcW w:w="80" w:type="dxa"/>
            <w:vAlign w:val="bottom"/>
            <w:tcBorders>
              <w:top w:val="single" w:sz="8" w:color="CCEEFF"/>
            </w:tcBorders>
            <w:shd w:val="clear" w:color="auto" w:fill="CCEEFF"/>
          </w:tcPr>
          <w:p>
            <w:pPr>
              <w:spacing w:after="0"/>
              <w:rPr>
                <w:sz w:val="19"/>
                <w:szCs w:val="19"/>
                <w:color w:val="auto"/>
              </w:rPr>
            </w:pPr>
          </w:p>
        </w:tc>
        <w:tc>
          <w:tcPr>
            <w:tcW w:w="7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15 years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gridSpan w:val="3"/>
          </w:tcPr>
          <w:p>
            <w:pPr>
              <w:spacing w:after="0"/>
              <w:rPr>
                <w:sz w:val="20"/>
                <w:szCs w:val="20"/>
                <w:color w:val="auto"/>
              </w:rPr>
            </w:pPr>
            <w:r>
              <w:rPr>
                <w:rFonts w:ascii="Arial" w:cs="Arial" w:eastAsia="Arial" w:hAnsi="Arial"/>
                <w:sz w:val="18"/>
                <w:szCs w:val="18"/>
                <w:color w:val="auto"/>
              </w:rPr>
              <w:t>Initial term maturity</w:t>
            </w:r>
          </w:p>
        </w:tc>
        <w:tc>
          <w:tcPr>
            <w:tcW w:w="7620" w:type="dxa"/>
            <w:vAlign w:val="bottom"/>
          </w:tcPr>
          <w:p>
            <w:pPr>
              <w:ind w:left="20"/>
              <w:spacing w:after="0"/>
              <w:rPr>
                <w:sz w:val="20"/>
                <w:szCs w:val="20"/>
                <w:color w:val="auto"/>
              </w:rPr>
            </w:pPr>
            <w:r>
              <w:rPr>
                <w:rFonts w:ascii="Arial" w:cs="Arial" w:eastAsia="Arial" w:hAnsi="Arial"/>
                <w:sz w:val="18"/>
                <w:szCs w:val="18"/>
                <w:color w:val="auto"/>
              </w:rPr>
              <w:t>9/30/2034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Renewal terms</w:t>
            </w:r>
          </w:p>
        </w:tc>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Four, five-year terms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gridSpan w:val="3"/>
          </w:tcPr>
          <w:p>
            <w:pPr>
              <w:spacing w:after="0" w:line="230" w:lineRule="exact"/>
              <w:rPr>
                <w:sz w:val="20"/>
                <w:szCs w:val="20"/>
                <w:color w:val="auto"/>
              </w:rPr>
            </w:pPr>
            <w:r>
              <w:rPr>
                <w:rFonts w:ascii="Arial" w:cs="Arial" w:eastAsia="Arial" w:hAnsi="Arial"/>
                <w:sz w:val="18"/>
                <w:szCs w:val="18"/>
                <w:color w:val="auto"/>
              </w:rPr>
              <w:t xml:space="preserve">Current annual rent </w:t>
            </w:r>
            <w:r>
              <w:rPr>
                <w:rFonts w:ascii="Arial" w:cs="Arial" w:eastAsia="Arial" w:hAnsi="Arial"/>
                <w:sz w:val="23"/>
                <w:szCs w:val="23"/>
                <w:i w:val="1"/>
                <w:iCs w:val="1"/>
                <w:color w:val="auto"/>
                <w:vertAlign w:val="superscript"/>
              </w:rPr>
              <w:t>(1)</w:t>
            </w:r>
          </w:p>
        </w:tc>
        <w:tc>
          <w:tcPr>
            <w:tcW w:w="7620" w:type="dxa"/>
            <w:vAlign w:val="bottom"/>
          </w:tcPr>
          <w:p>
            <w:pPr>
              <w:ind w:left="20"/>
              <w:spacing w:after="0"/>
              <w:rPr>
                <w:sz w:val="20"/>
                <w:szCs w:val="20"/>
                <w:color w:val="auto"/>
              </w:rPr>
            </w:pPr>
            <w:r>
              <w:rPr>
                <w:rFonts w:ascii="Arial" w:cs="Arial" w:eastAsia="Arial" w:hAnsi="Arial"/>
                <w:sz w:val="18"/>
                <w:szCs w:val="18"/>
                <w:color w:val="auto"/>
              </w:rPr>
              <w:t>$44,042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Escalator commencement</w:t>
            </w:r>
          </w:p>
        </w:tc>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year two</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00" w:type="dxa"/>
            <w:vAlign w:val="bottom"/>
            <w:gridSpan w:val="3"/>
            <w:vMerge w:val="restart"/>
          </w:tcPr>
          <w:p>
            <w:pPr>
              <w:spacing w:after="0"/>
              <w:rPr>
                <w:sz w:val="20"/>
                <w:szCs w:val="20"/>
                <w:color w:val="auto"/>
              </w:rPr>
            </w:pPr>
            <w:r>
              <w:rPr>
                <w:rFonts w:ascii="Arial" w:cs="Arial" w:eastAsia="Arial" w:hAnsi="Arial"/>
                <w:sz w:val="18"/>
                <w:szCs w:val="18"/>
                <w:color w:val="auto"/>
              </w:rPr>
              <w:t xml:space="preserve">Escalator </w:t>
            </w:r>
            <w:r>
              <w:rPr>
                <w:rFonts w:ascii="Arial" w:cs="Arial" w:eastAsia="Arial" w:hAnsi="Arial"/>
                <w:sz w:val="23"/>
                <w:szCs w:val="23"/>
                <w:i w:val="1"/>
                <w:iCs w:val="1"/>
                <w:color w:val="auto"/>
                <w:vertAlign w:val="superscript"/>
              </w:rPr>
              <w:t>(2)</w:t>
            </w:r>
          </w:p>
        </w:tc>
        <w:tc>
          <w:tcPr>
            <w:tcW w:w="7620" w:type="dxa"/>
            <w:vAlign w:val="bottom"/>
          </w:tcPr>
          <w:p>
            <w:pPr>
              <w:ind w:left="20"/>
              <w:spacing w:after="0" w:line="176" w:lineRule="exact"/>
              <w:rPr>
                <w:sz w:val="20"/>
                <w:szCs w:val="20"/>
                <w:color w:val="auto"/>
              </w:rPr>
            </w:pPr>
            <w:r>
              <w:rPr>
                <w:rFonts w:ascii="Arial" w:cs="Arial" w:eastAsia="Arial" w:hAnsi="Arial"/>
                <w:sz w:val="18"/>
                <w:szCs w:val="18"/>
                <w:color w:val="auto"/>
              </w:rPr>
              <w:t>Lease years 2-4 - 1.5%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00" w:type="dxa"/>
            <w:vAlign w:val="bottom"/>
            <w:gridSpan w:val="3"/>
            <w:vMerge w:val="continue"/>
          </w:tcPr>
          <w:p>
            <w:pPr>
              <w:spacing w:after="0"/>
              <w:rPr>
                <w:sz w:val="15"/>
                <w:szCs w:val="15"/>
                <w:color w:val="auto"/>
              </w:rPr>
            </w:pPr>
          </w:p>
        </w:tc>
        <w:tc>
          <w:tcPr>
            <w:tcW w:w="7620" w:type="dxa"/>
            <w:vAlign w:val="bottom"/>
          </w:tcPr>
          <w:p>
            <w:pPr>
              <w:ind w:left="20"/>
              <w:spacing w:after="0" w:line="176" w:lineRule="exact"/>
              <w:rPr>
                <w:sz w:val="20"/>
                <w:szCs w:val="20"/>
                <w:color w:val="auto"/>
              </w:rPr>
            </w:pPr>
            <w:r>
              <w:rPr>
                <w:rFonts w:ascii="Arial" w:cs="Arial" w:eastAsia="Arial" w:hAnsi="Arial"/>
                <w:sz w:val="18"/>
                <w:szCs w:val="18"/>
                <w:color w:val="auto"/>
                <w:w w:val="90"/>
              </w:rPr>
              <w:t>Lease years 5-15 - The greater of 2% or the change in CPI unless the change in CPI is less than 0.5%, in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20" w:type="dxa"/>
            <w:vAlign w:val="bottom"/>
          </w:tcPr>
          <w:p>
            <w:pPr>
              <w:ind w:left="20"/>
              <w:spacing w:after="0"/>
              <w:rPr>
                <w:sz w:val="20"/>
                <w:szCs w:val="20"/>
                <w:color w:val="auto"/>
              </w:rPr>
            </w:pPr>
            <w:r>
              <w:rPr>
                <w:rFonts w:ascii="Arial" w:cs="Arial" w:eastAsia="Arial" w:hAnsi="Arial"/>
                <w:sz w:val="18"/>
                <w:szCs w:val="18"/>
                <w:color w:val="auto"/>
              </w:rPr>
              <w:t>which case there is no escalation in rent for such lease year</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Variable rent commencement/reset</w:t>
            </w:r>
          </w:p>
        </w:tc>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year 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gridSpan w:val="3"/>
          </w:tcPr>
          <w:p>
            <w:pPr>
              <w:spacing w:after="0" w:line="230" w:lineRule="exact"/>
              <w:rPr>
                <w:sz w:val="20"/>
                <w:szCs w:val="20"/>
                <w:color w:val="auto"/>
              </w:rPr>
            </w:pPr>
            <w:r>
              <w:rPr>
                <w:rFonts w:ascii="Arial" w:cs="Arial" w:eastAsia="Arial" w:hAnsi="Arial"/>
                <w:sz w:val="18"/>
                <w:szCs w:val="18"/>
                <w:color w:val="auto"/>
              </w:rPr>
              <w:t xml:space="preserve">Variable rent split </w:t>
            </w:r>
            <w:r>
              <w:rPr>
                <w:rFonts w:ascii="Arial" w:cs="Arial" w:eastAsia="Arial" w:hAnsi="Arial"/>
                <w:sz w:val="23"/>
                <w:szCs w:val="23"/>
                <w:i w:val="1"/>
                <w:iCs w:val="1"/>
                <w:color w:val="auto"/>
                <w:vertAlign w:val="superscript"/>
              </w:rPr>
              <w:t>(3)</w:t>
            </w:r>
          </w:p>
        </w:tc>
        <w:tc>
          <w:tcPr>
            <w:tcW w:w="7620" w:type="dxa"/>
            <w:vAlign w:val="bottom"/>
          </w:tcPr>
          <w:p>
            <w:pPr>
              <w:ind w:left="20"/>
              <w:spacing w:after="0"/>
              <w:rPr>
                <w:sz w:val="20"/>
                <w:szCs w:val="20"/>
                <w:color w:val="auto"/>
              </w:rPr>
            </w:pPr>
            <w:r>
              <w:rPr>
                <w:rFonts w:ascii="Arial" w:cs="Arial" w:eastAsia="Arial" w:hAnsi="Arial"/>
                <w:sz w:val="18"/>
                <w:szCs w:val="18"/>
                <w:color w:val="auto"/>
              </w:rPr>
              <w:t>80% base rent and 20% variable rent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0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 xml:space="preserve">Variable rent percentage </w:t>
            </w:r>
            <w:r>
              <w:rPr>
                <w:rFonts w:ascii="Arial" w:cs="Arial" w:eastAsia="Arial" w:hAnsi="Arial"/>
                <w:sz w:val="23"/>
                <w:szCs w:val="23"/>
                <w:i w:val="1"/>
                <w:iCs w:val="1"/>
                <w:color w:val="auto"/>
                <w:vertAlign w:val="superscript"/>
              </w:rPr>
              <w:t>(3)</w:t>
            </w:r>
          </w:p>
        </w:tc>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90"/>
        </w:trPr>
        <w:tc>
          <w:tcPr>
            <w:tcW w:w="3540" w:type="dxa"/>
            <w:vAlign w:val="bottom"/>
            <w:gridSpan w:val="3"/>
          </w:tcPr>
          <w:p>
            <w:pPr>
              <w:spacing w:after="0"/>
              <w:rPr>
                <w:sz w:val="20"/>
                <w:szCs w:val="20"/>
                <w:color w:val="auto"/>
              </w:rPr>
            </w:pPr>
            <w:r>
              <w:rPr>
                <w:rFonts w:ascii="Arial" w:cs="Arial" w:eastAsia="Arial" w:hAnsi="Arial"/>
                <w:sz w:val="18"/>
                <w:szCs w:val="18"/>
                <w:color w:val="auto"/>
              </w:rPr>
              <w:t>____________________</w:t>
            </w:r>
          </w:p>
        </w:tc>
        <w:tc>
          <w:tcPr>
            <w:tcW w:w="8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80"/>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 represents the current annual base rent payable for the current lease year, which is the period from October 1, 2021 through September 30, 2022.</w:t>
      </w:r>
    </w:p>
    <w:p>
      <w:pPr>
        <w:spacing w:after="0" w:line="1" w:lineRule="exact"/>
        <w:rPr>
          <w:rFonts w:ascii="Arial" w:cs="Arial" w:eastAsia="Arial" w:hAnsi="Arial"/>
          <w:sz w:val="14"/>
          <w:szCs w:val="14"/>
          <w:i w:val="1"/>
          <w:iCs w:val="1"/>
          <w:color w:val="auto"/>
        </w:rPr>
      </w:pPr>
    </w:p>
    <w:p>
      <w:pPr>
        <w:ind w:firstLine="8"/>
        <w:spacing w:after="0" w:line="241" w:lineRule="auto"/>
        <w:tabs>
          <w:tab w:leader="none" w:pos="213" w:val="left"/>
        </w:tabs>
        <w:numPr>
          <w:ilvl w:val="0"/>
          <w:numId w:val="80"/>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Any amounts representing rents in excess of the CPI floors specified above are considered contingent rent in accordance with GAAP. No such rent has been recognized for the </w:t>
      </w:r>
      <w:r>
        <w:rPr>
          <w:rFonts w:ascii="Arial" w:cs="Arial" w:eastAsia="Arial" w:hAnsi="Arial"/>
          <w:sz w:val="14"/>
          <w:szCs w:val="14"/>
          <w:color w:val="auto"/>
        </w:rPr>
        <w:t>years ended</w:t>
      </w:r>
      <w:r>
        <w:rPr>
          <w:rFonts w:ascii="Arial" w:cs="Arial" w:eastAsia="Arial" w:hAnsi="Arial"/>
          <w:sz w:val="14"/>
          <w:szCs w:val="14"/>
          <w:i w:val="1"/>
          <w:iCs w:val="1"/>
          <w:color w:val="auto"/>
        </w:rPr>
        <w:t xml:space="preserve"> </w:t>
      </w:r>
      <w:r>
        <w:rPr>
          <w:rFonts w:ascii="Arial" w:cs="Arial" w:eastAsia="Arial" w:hAnsi="Arial"/>
          <w:sz w:val="14"/>
          <w:szCs w:val="14"/>
          <w:color w:val="auto"/>
        </w:rPr>
        <w:t>December 31, 2021, 2020 and 2019.</w:t>
      </w:r>
    </w:p>
    <w:p>
      <w:pPr>
        <w:ind w:right="20" w:firstLine="8"/>
        <w:spacing w:after="0" w:line="255" w:lineRule="auto"/>
        <w:tabs>
          <w:tab w:leader="none" w:pos="211" w:val="left"/>
        </w:tabs>
        <w:numPr>
          <w:ilvl w:val="0"/>
          <w:numId w:val="80"/>
        </w:numPr>
        <w:rPr>
          <w:rFonts w:ascii="Arial" w:cs="Arial" w:eastAsia="Arial" w:hAnsi="Arial"/>
          <w:sz w:val="14"/>
          <w:szCs w:val="14"/>
          <w:i w:val="1"/>
          <w:iCs w:val="1"/>
          <w:color w:val="auto"/>
        </w:rPr>
      </w:pPr>
      <w:r>
        <w:rPr>
          <w:rFonts w:ascii="Arial" w:cs="Arial" w:eastAsia="Arial" w:hAnsi="Arial"/>
          <w:sz w:val="14"/>
          <w:szCs w:val="14"/>
          <w:i w:val="1"/>
          <w:iCs w:val="1"/>
          <w:color w:val="auto"/>
        </w:rPr>
        <w:t>Variable rent is not subject to the escalator and is calculated as an increase or decrease of the average of net revenues for lease years 5 through 7 compared to the average net revenue for lease years 1 through 3, multiplied by the Variable rent percentage.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Century Portfolio Lease Agreement - 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material lease provisions of the Century Portfolio Lease Agreement:</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u w:val="single" w:color="auto"/>
          <w:color w:val="auto"/>
        </w:rPr>
        <w:t>($ in thousands)</w:t>
      </w:r>
    </w:p>
    <w:p>
      <w:pPr>
        <w:spacing w:after="0" w:line="33" w:lineRule="exact"/>
        <w:rPr>
          <w:sz w:val="20"/>
          <w:szCs w:val="20"/>
          <w:color w:val="auto"/>
        </w:rPr>
      </w:pPr>
    </w:p>
    <w:p>
      <w:pPr>
        <w:ind w:left="20"/>
        <w:spacing w:after="0"/>
        <w:tabs>
          <w:tab w:leader="none" w:pos="7220" w:val="left"/>
        </w:tabs>
        <w:rPr>
          <w:sz w:val="20"/>
          <w:szCs w:val="20"/>
          <w:color w:val="auto"/>
        </w:rPr>
      </w:pPr>
      <w:r>
        <w:rPr>
          <w:rFonts w:ascii="Arial" w:cs="Arial" w:eastAsia="Arial" w:hAnsi="Arial"/>
          <w:sz w:val="16"/>
          <w:szCs w:val="16"/>
          <w:b w:val="1"/>
          <w:bCs w:val="1"/>
          <w:color w:val="auto"/>
        </w:rPr>
        <w:t>Lease Provision</w:t>
      </w:r>
      <w:r>
        <w:rPr>
          <w:sz w:val="20"/>
          <w:szCs w:val="20"/>
          <w:color w:val="auto"/>
        </w:rPr>
        <w:tab/>
      </w:r>
      <w:r>
        <w:rPr>
          <w:rFonts w:ascii="Arial" w:cs="Arial" w:eastAsia="Arial" w:hAnsi="Arial"/>
          <w:sz w:val="15"/>
          <w:szCs w:val="15"/>
          <w:b w:val="1"/>
          <w:bCs w:val="1"/>
          <w:color w:val="auto"/>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Initial term</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Initial term maturity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Renewal terms</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Current annual rent </w:t>
      </w:r>
      <w:r>
        <w:rPr>
          <w:rFonts w:ascii="Arial" w:cs="Arial" w:eastAsia="Arial" w:hAnsi="Arial"/>
          <w:sz w:val="23"/>
          <w:szCs w:val="23"/>
          <w:i w:val="1"/>
          <w:iCs w:val="1"/>
          <w:color w:val="auto"/>
          <w:vertAlign w:val="superscript"/>
        </w:rPr>
        <w:t>(1)</w:t>
      </w:r>
    </w:p>
    <w:p>
      <w:pPr>
        <w:ind w:left="20"/>
        <w:spacing w:after="0"/>
        <w:rPr>
          <w:sz w:val="20"/>
          <w:szCs w:val="20"/>
          <w:color w:val="auto"/>
        </w:rPr>
      </w:pPr>
      <w:r>
        <w:rPr>
          <w:rFonts w:ascii="Arial" w:cs="Arial" w:eastAsia="Arial" w:hAnsi="Arial"/>
          <w:sz w:val="18"/>
          <w:szCs w:val="18"/>
          <w:color w:val="auto"/>
        </w:rPr>
        <w:t>Escalator commencement</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Escalator </w:t>
      </w:r>
      <w:r>
        <w:rPr>
          <w:rFonts w:ascii="Arial" w:cs="Arial" w:eastAsia="Arial" w:hAnsi="Arial"/>
          <w:sz w:val="23"/>
          <w:szCs w:val="23"/>
          <w:i w:val="1"/>
          <w:iCs w:val="1"/>
          <w:color w:val="auto"/>
          <w:vertAlign w:val="superscript"/>
        </w:rPr>
        <w:t>(2)</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revenue to rent ratio floor</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left="220" w:hanging="216"/>
        <w:spacing w:after="0"/>
        <w:tabs>
          <w:tab w:leader="none" w:pos="2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years</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12/31/2034</w:t>
      </w:r>
    </w:p>
    <w:p>
      <w:pPr>
        <w:spacing w:after="0" w:line="22" w:lineRule="exact"/>
        <w:rPr>
          <w:rFonts w:ascii="Arial" w:cs="Arial" w:eastAsia="Arial" w:hAnsi="Arial"/>
          <w:sz w:val="18"/>
          <w:szCs w:val="18"/>
          <w:color w:val="auto"/>
        </w:rPr>
      </w:pPr>
    </w:p>
    <w:p>
      <w:pPr>
        <w:ind w:right="6080"/>
        <w:spacing w:after="0" w:line="266" w:lineRule="auto"/>
        <w:rPr>
          <w:rFonts w:ascii="Arial" w:cs="Arial" w:eastAsia="Arial" w:hAnsi="Arial"/>
          <w:sz w:val="18"/>
          <w:szCs w:val="18"/>
          <w:color w:val="auto"/>
        </w:rPr>
      </w:pPr>
      <w:r>
        <w:rPr>
          <w:rFonts w:ascii="Arial" w:cs="Arial" w:eastAsia="Arial" w:hAnsi="Arial"/>
          <w:sz w:val="18"/>
          <w:szCs w:val="18"/>
          <w:color w:val="auto"/>
        </w:rPr>
        <w:t>Four, five-year terms $25,503</w:t>
      </w:r>
    </w:p>
    <w:p>
      <w:pPr>
        <w:spacing w:after="0"/>
        <w:rPr>
          <w:rFonts w:ascii="Arial" w:cs="Arial" w:eastAsia="Arial" w:hAnsi="Arial"/>
          <w:sz w:val="18"/>
          <w:szCs w:val="18"/>
          <w:color w:val="auto"/>
        </w:rPr>
      </w:pPr>
      <w:r>
        <w:rPr>
          <w:rFonts w:ascii="Arial" w:cs="Arial" w:eastAsia="Arial" w:hAnsi="Arial"/>
          <w:sz w:val="18"/>
          <w:szCs w:val="18"/>
          <w:color w:val="auto"/>
        </w:rPr>
        <w:t>Lease year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-422275</wp:posOffset>
            </wp:positionV>
            <wp:extent cx="7132320" cy="146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-130810</wp:posOffset>
            </wp:positionV>
            <wp:extent cx="7132320" cy="146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Lease years 2-3 - 1.0%</w:t>
      </w:r>
    </w:p>
    <w:p>
      <w:pPr>
        <w:spacing w:after="0"/>
        <w:rPr>
          <w:sz w:val="20"/>
          <w:szCs w:val="20"/>
          <w:color w:val="auto"/>
        </w:rPr>
      </w:pPr>
      <w:r>
        <w:rPr>
          <w:rFonts w:ascii="Arial" w:cs="Arial" w:eastAsia="Arial" w:hAnsi="Arial"/>
          <w:sz w:val="18"/>
          <w:szCs w:val="18"/>
          <w:color w:val="auto"/>
        </w:rPr>
        <w:t>Lease years 4-15 - The greater of 1.25% or the change in CPI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4445</wp:posOffset>
            </wp:positionV>
            <wp:extent cx="7132320" cy="2571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right="240"/>
        <w:spacing w:after="0" w:line="234" w:lineRule="auto"/>
        <w:rPr>
          <w:sz w:val="20"/>
          <w:szCs w:val="20"/>
          <w:color w:val="auto"/>
        </w:rPr>
      </w:pPr>
      <w:r>
        <w:rPr>
          <w:rFonts w:ascii="Arial" w:cs="Arial" w:eastAsia="Arial" w:hAnsi="Arial"/>
          <w:sz w:val="18"/>
          <w:szCs w:val="18"/>
          <w:color w:val="auto"/>
        </w:rPr>
        <w:t>7.5x commencing lease year six - if the coverage ratio is below the stated amount the escalator will be reduced to 0.75%</w:t>
      </w:r>
    </w:p>
    <w:p>
      <w:pPr>
        <w:spacing w:after="0" w:line="1" w:lineRule="exact"/>
        <w:rPr>
          <w:sz w:val="20"/>
          <w:szCs w:val="20"/>
          <w:color w:val="auto"/>
        </w:rPr>
      </w:pPr>
    </w:p>
    <w:p>
      <w:pPr>
        <w:sectPr>
          <w:pgSz w:w="11900" w:h="16838" w:orient="portrait"/>
          <w:cols w:equalWidth="0" w:num="2">
            <w:col w:w="2920" w:space="720"/>
            <w:col w:w="7600"/>
          </w:cols>
          <w:pgMar w:left="320" w:top="179"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3080" w:type="dxa"/>
            <w:vAlign w:val="bottom"/>
          </w:tcPr>
          <w:p>
            <w:pPr>
              <w:ind w:left="20"/>
              <w:spacing w:after="0"/>
              <w:rPr>
                <w:sz w:val="20"/>
                <w:szCs w:val="20"/>
                <w:color w:val="auto"/>
              </w:rPr>
            </w:pPr>
            <w:r>
              <w:rPr>
                <w:rFonts w:ascii="Arial" w:cs="Arial" w:eastAsia="Arial" w:hAnsi="Arial"/>
                <w:sz w:val="18"/>
                <w:szCs w:val="18"/>
                <w:color w:val="auto"/>
              </w:rPr>
              <w:t>Variable rent commencement/reset</w:t>
            </w:r>
          </w:p>
        </w:tc>
        <w:tc>
          <w:tcPr>
            <w:tcW w:w="8160" w:type="dxa"/>
            <w:vAlign w:val="bottom"/>
          </w:tcPr>
          <w:p>
            <w:pPr>
              <w:ind w:left="560"/>
              <w:spacing w:after="0"/>
              <w:rPr>
                <w:sz w:val="20"/>
                <w:szCs w:val="20"/>
                <w:color w:val="auto"/>
              </w:rPr>
            </w:pPr>
            <w:r>
              <w:rPr>
                <w:rFonts w:ascii="Arial" w:cs="Arial" w:eastAsia="Arial" w:hAnsi="Arial"/>
                <w:sz w:val="18"/>
                <w:szCs w:val="18"/>
                <w:color w:val="auto"/>
              </w:rPr>
              <w:t>Lease year 8 and 11</w:t>
            </w:r>
          </w:p>
        </w:tc>
      </w:tr>
      <w:tr>
        <w:trPr>
          <w:trHeight w:val="230"/>
        </w:trPr>
        <w:tc>
          <w:tcPr>
            <w:tcW w:w="30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Variable rent split </w:t>
            </w:r>
            <w:r>
              <w:rPr>
                <w:rFonts w:ascii="Arial" w:cs="Arial" w:eastAsia="Arial" w:hAnsi="Arial"/>
                <w:sz w:val="23"/>
                <w:szCs w:val="23"/>
                <w:i w:val="1"/>
                <w:iCs w:val="1"/>
                <w:color w:val="auto"/>
                <w:vertAlign w:val="superscript"/>
              </w:rPr>
              <w:t>(3)</w:t>
            </w:r>
          </w:p>
        </w:tc>
        <w:tc>
          <w:tcPr>
            <w:tcW w:w="81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80% Base Rent and 20% Variable Rent</w:t>
            </w:r>
          </w:p>
        </w:tc>
      </w:tr>
      <w:tr>
        <w:trPr>
          <w:trHeight w:val="304"/>
        </w:trPr>
        <w:tc>
          <w:tcPr>
            <w:tcW w:w="3080" w:type="dxa"/>
            <w:vAlign w:val="bottom"/>
          </w:tcPr>
          <w:p>
            <w:pPr>
              <w:ind w:left="20"/>
              <w:spacing w:after="0"/>
              <w:rPr>
                <w:sz w:val="20"/>
                <w:szCs w:val="20"/>
                <w:color w:val="auto"/>
              </w:rPr>
            </w:pPr>
            <w:r>
              <w:rPr>
                <w:rFonts w:ascii="Arial" w:cs="Arial" w:eastAsia="Arial" w:hAnsi="Arial"/>
                <w:sz w:val="18"/>
                <w:szCs w:val="18"/>
                <w:color w:val="auto"/>
              </w:rPr>
              <w:t xml:space="preserve">Variable rent percentage </w:t>
            </w:r>
            <w:r>
              <w:rPr>
                <w:rFonts w:ascii="Arial" w:cs="Arial" w:eastAsia="Arial" w:hAnsi="Arial"/>
                <w:sz w:val="23"/>
                <w:szCs w:val="23"/>
                <w:i w:val="1"/>
                <w:iCs w:val="1"/>
                <w:color w:val="auto"/>
                <w:vertAlign w:val="superscript"/>
              </w:rPr>
              <w:t>(3)</w:t>
            </w:r>
          </w:p>
        </w:tc>
        <w:tc>
          <w:tcPr>
            <w:tcW w:w="8160" w:type="dxa"/>
            <w:vAlign w:val="bottom"/>
          </w:tcPr>
          <w:p>
            <w:pPr>
              <w:ind w:left="560"/>
              <w:spacing w:after="0"/>
              <w:rPr>
                <w:sz w:val="20"/>
                <w:szCs w:val="20"/>
                <w:color w:val="auto"/>
              </w:rPr>
            </w:pPr>
            <w:r>
              <w:rPr>
                <w:rFonts w:ascii="Arial" w:cs="Arial" w:eastAsia="Arial" w:hAnsi="Arial"/>
                <w:sz w:val="18"/>
                <w:szCs w:val="18"/>
                <w:color w:val="auto"/>
              </w:rPr>
              <w:t>4%</w:t>
            </w:r>
          </w:p>
        </w:tc>
      </w:tr>
      <w:tr>
        <w:trPr>
          <w:trHeight w:val="229"/>
        </w:trPr>
        <w:tc>
          <w:tcPr>
            <w:tcW w:w="3080" w:type="dxa"/>
            <w:vAlign w:val="bottom"/>
          </w:tcPr>
          <w:p>
            <w:pPr>
              <w:spacing w:after="0"/>
              <w:rPr>
                <w:sz w:val="20"/>
                <w:szCs w:val="20"/>
                <w:color w:val="auto"/>
              </w:rPr>
            </w:pPr>
            <w:r>
              <w:rPr>
                <w:rFonts w:ascii="Arial" w:cs="Arial" w:eastAsia="Arial" w:hAnsi="Arial"/>
                <w:sz w:val="18"/>
                <w:szCs w:val="18"/>
                <w:color w:val="auto"/>
              </w:rPr>
              <w:t>____________________</w:t>
            </w:r>
          </w:p>
        </w:tc>
        <w:tc>
          <w:tcPr>
            <w:tcW w:w="8160" w:type="dxa"/>
            <w:vAlign w:val="bottom"/>
          </w:tcPr>
          <w:p>
            <w:pPr>
              <w:spacing w:after="0"/>
              <w:rPr>
                <w:sz w:val="19"/>
                <w:szCs w:val="19"/>
                <w:color w:val="auto"/>
              </w:rPr>
            </w:pPr>
          </w:p>
        </w:tc>
      </w:tr>
    </w:tbl>
    <w:p>
      <w:pPr>
        <w:ind w:left="220" w:hanging="212"/>
        <w:spacing w:after="0"/>
        <w:tabs>
          <w:tab w:leader="none" w:pos="220" w:val="left"/>
        </w:tabs>
        <w:numPr>
          <w:ilvl w:val="0"/>
          <w:numId w:val="82"/>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 represents the current annual base rent payable for the current lease year, which is the period from January 1, 2022 through December 31, 2022.</w:t>
      </w:r>
    </w:p>
    <w:p>
      <w:pPr>
        <w:spacing w:after="0" w:line="1" w:lineRule="exact"/>
        <w:rPr>
          <w:rFonts w:ascii="Arial" w:cs="Arial" w:eastAsia="Arial" w:hAnsi="Arial"/>
          <w:sz w:val="14"/>
          <w:szCs w:val="14"/>
          <w:i w:val="1"/>
          <w:iCs w:val="1"/>
          <w:color w:val="auto"/>
        </w:rPr>
      </w:pPr>
    </w:p>
    <w:p>
      <w:pPr>
        <w:ind w:firstLine="8"/>
        <w:spacing w:after="0" w:line="241" w:lineRule="auto"/>
        <w:tabs>
          <w:tab w:leader="none" w:pos="213" w:val="left"/>
        </w:tabs>
        <w:numPr>
          <w:ilvl w:val="0"/>
          <w:numId w:val="82"/>
        </w:numPr>
        <w:rPr>
          <w:rFonts w:ascii="Arial" w:cs="Arial" w:eastAsia="Arial" w:hAnsi="Arial"/>
          <w:sz w:val="14"/>
          <w:szCs w:val="14"/>
          <w:i w:val="1"/>
          <w:iCs w:val="1"/>
          <w:color w:val="auto"/>
        </w:rPr>
      </w:pPr>
      <w:r>
        <w:rPr>
          <w:rFonts w:ascii="Arial" w:cs="Arial" w:eastAsia="Arial" w:hAnsi="Arial"/>
          <w:sz w:val="14"/>
          <w:szCs w:val="14"/>
          <w:i w:val="1"/>
          <w:iCs w:val="1"/>
          <w:color w:val="auto"/>
        </w:rPr>
        <w:t>Any amounts representing rents in excess of the CPI floors specified above are considered contingent rent in accordance with GAAP. No such rent has been recognized for the years ended December 31, 2021, 2020 and 2019.</w:t>
      </w:r>
    </w:p>
    <w:p>
      <w:pPr>
        <w:jc w:val="both"/>
        <w:ind w:firstLine="8"/>
        <w:spacing w:after="0" w:line="248" w:lineRule="auto"/>
        <w:tabs>
          <w:tab w:leader="none" w:pos="204" w:val="left"/>
        </w:tabs>
        <w:numPr>
          <w:ilvl w:val="0"/>
          <w:numId w:val="82"/>
        </w:numPr>
        <w:rPr>
          <w:rFonts w:ascii="Arial" w:cs="Arial" w:eastAsia="Arial" w:hAnsi="Arial"/>
          <w:sz w:val="14"/>
          <w:szCs w:val="14"/>
          <w:i w:val="1"/>
          <w:iCs w:val="1"/>
          <w:color w:val="auto"/>
        </w:rPr>
      </w:pPr>
      <w:r>
        <w:rPr>
          <w:rFonts w:ascii="Arial" w:cs="Arial" w:eastAsia="Arial" w:hAnsi="Arial"/>
          <w:sz w:val="14"/>
          <w:szCs w:val="14"/>
          <w:i w:val="1"/>
          <w:iCs w:val="1"/>
          <w:color w:val="auto"/>
        </w:rPr>
        <w:t>Variable rent is not subject to the escalator and is calculated for lease year 8 as an increase or decrease of the average of net revenues for lease years 5 through 7 compared to the average net revenue for lease years 1 through 3 and for lease year 11 as an increase or decrease of the average of net revenues for lease years 8 through 10 compared to the average net revenue for lease years 5 through 7, in each case multiplied by the Variable rent percentage.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115" w:name="page116"/>
    <w:bookmarkEnd w:id="1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JACK Cleveland/Thistledown Lease Agreement - 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material lease provisions of our JACK Cleveland/Thistledown Lease Agreement:</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u w:val="single" w:color="auto"/>
                <w:color w:val="auto"/>
                <w:w w:val="88"/>
              </w:rPr>
              <w:t>(</w:t>
            </w:r>
            <w:r>
              <w:rPr>
                <w:rFonts w:ascii="Arial" w:cs="Arial" w:eastAsia="Arial" w:hAnsi="Arial"/>
                <w:sz w:val="14"/>
                <w:szCs w:val="14"/>
                <w:b w:val="1"/>
                <w:bCs w:val="1"/>
                <w:i w:val="1"/>
                <w:iCs w:val="1"/>
                <w:color w:val="auto"/>
                <w:w w:val="88"/>
              </w:rPr>
              <w:t>$ in thousands)</w:t>
            </w:r>
          </w:p>
        </w:tc>
        <w:tc>
          <w:tcPr>
            <w:tcW w:w="2620" w:type="dxa"/>
            <w:vAlign w:val="bottom"/>
            <w:gridSpan w:val="2"/>
          </w:tcPr>
          <w:p>
            <w:pPr>
              <w:spacing w:after="0"/>
              <w:rPr>
                <w:sz w:val="14"/>
                <w:szCs w:val="14"/>
                <w:color w:val="auto"/>
              </w:rPr>
            </w:pPr>
          </w:p>
        </w:tc>
        <w:tc>
          <w:tcPr>
            <w:tcW w:w="7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600" w:type="dxa"/>
            <w:vAlign w:val="bottom"/>
            <w:gridSpan w:val="3"/>
          </w:tcPr>
          <w:p>
            <w:pPr>
              <w:spacing w:after="0"/>
              <w:rPr>
                <w:sz w:val="20"/>
                <w:szCs w:val="20"/>
                <w:color w:val="auto"/>
              </w:rPr>
            </w:pPr>
            <w:r>
              <w:rPr>
                <w:rFonts w:ascii="Arial" w:cs="Arial" w:eastAsia="Arial" w:hAnsi="Arial"/>
                <w:sz w:val="16"/>
                <w:szCs w:val="16"/>
                <w:b w:val="1"/>
                <w:bCs w:val="1"/>
                <w:color w:val="auto"/>
              </w:rPr>
              <w:t>Lease Provision</w:t>
            </w:r>
          </w:p>
        </w:tc>
        <w:tc>
          <w:tcPr>
            <w:tcW w:w="7620" w:type="dxa"/>
            <w:vAlign w:val="bottom"/>
          </w:tcPr>
          <w:p>
            <w:pPr>
              <w:ind w:left="3620"/>
              <w:spacing w:after="0"/>
              <w:rPr>
                <w:sz w:val="20"/>
                <w:szCs w:val="20"/>
                <w:color w:val="auto"/>
              </w:rPr>
            </w:pPr>
            <w:r>
              <w:rPr>
                <w:rFonts w:ascii="Arial" w:cs="Arial" w:eastAsia="Arial" w:hAnsi="Arial"/>
                <w:sz w:val="16"/>
                <w:szCs w:val="16"/>
                <w:b w:val="1"/>
                <w:bCs w:val="1"/>
                <w:color w:val="auto"/>
              </w:rPr>
              <w:t>Term</w:t>
            </w:r>
          </w:p>
        </w:tc>
        <w:tc>
          <w:tcPr>
            <w:tcW w:w="0" w:type="dxa"/>
            <w:vAlign w:val="bottom"/>
          </w:tcPr>
          <w:p>
            <w:pPr>
              <w:spacing w:after="0"/>
              <w:rPr>
                <w:sz w:val="1"/>
                <w:szCs w:val="1"/>
                <w:color w:val="auto"/>
              </w:rPr>
            </w:pPr>
          </w:p>
        </w:tc>
      </w:tr>
      <w:tr>
        <w:trPr>
          <w:trHeight w:val="226"/>
        </w:trPr>
        <w:tc>
          <w:tcPr>
            <w:tcW w:w="20" w:type="dxa"/>
            <w:vAlign w:val="bottom"/>
            <w:tcBorders>
              <w:top w:val="single" w:sz="8" w:color="auto"/>
            </w:tcBorders>
            <w:shd w:val="clear" w:color="auto" w:fill="CCEEFF"/>
          </w:tcPr>
          <w:p>
            <w:pPr>
              <w:spacing w:after="0"/>
              <w:rPr>
                <w:sz w:val="19"/>
                <w:szCs w:val="19"/>
                <w:color w:val="auto"/>
              </w:rPr>
            </w:pPr>
          </w:p>
        </w:tc>
        <w:tc>
          <w:tcPr>
            <w:tcW w:w="35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Initial term</w:t>
            </w:r>
          </w:p>
        </w:tc>
        <w:tc>
          <w:tcPr>
            <w:tcW w:w="80" w:type="dxa"/>
            <w:vAlign w:val="bottom"/>
            <w:tcBorders>
              <w:top w:val="single" w:sz="8" w:color="CCEEFF"/>
            </w:tcBorders>
            <w:shd w:val="clear" w:color="auto" w:fill="CCEEFF"/>
          </w:tcPr>
          <w:p>
            <w:pPr>
              <w:spacing w:after="0"/>
              <w:rPr>
                <w:sz w:val="19"/>
                <w:szCs w:val="19"/>
                <w:color w:val="auto"/>
              </w:rPr>
            </w:pPr>
          </w:p>
        </w:tc>
        <w:tc>
          <w:tcPr>
            <w:tcW w:w="7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gridSpan w:val="3"/>
          </w:tcPr>
          <w:p>
            <w:pPr>
              <w:spacing w:after="0"/>
              <w:rPr>
                <w:sz w:val="20"/>
                <w:szCs w:val="20"/>
                <w:color w:val="auto"/>
              </w:rPr>
            </w:pPr>
            <w:r>
              <w:rPr>
                <w:rFonts w:ascii="Arial" w:cs="Arial" w:eastAsia="Arial" w:hAnsi="Arial"/>
                <w:sz w:val="18"/>
                <w:szCs w:val="18"/>
                <w:color w:val="auto"/>
              </w:rPr>
              <w:t>Initial term maturity</w:t>
            </w:r>
          </w:p>
        </w:tc>
        <w:tc>
          <w:tcPr>
            <w:tcW w:w="7620" w:type="dxa"/>
            <w:vAlign w:val="bottom"/>
          </w:tcPr>
          <w:p>
            <w:pPr>
              <w:ind w:left="20"/>
              <w:spacing w:after="0"/>
              <w:rPr>
                <w:sz w:val="20"/>
                <w:szCs w:val="20"/>
                <w:color w:val="auto"/>
              </w:rPr>
            </w:pPr>
            <w:r>
              <w:rPr>
                <w:rFonts w:ascii="Arial" w:cs="Arial" w:eastAsia="Arial" w:hAnsi="Arial"/>
                <w:sz w:val="18"/>
                <w:szCs w:val="18"/>
                <w:color w:val="auto"/>
              </w:rPr>
              <w:t>1/31/2040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Renewal terms</w:t>
            </w:r>
          </w:p>
        </w:tc>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Three, five-year terms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gridSpan w:val="3"/>
          </w:tcPr>
          <w:p>
            <w:pPr>
              <w:spacing w:after="0" w:line="230" w:lineRule="exact"/>
              <w:rPr>
                <w:sz w:val="20"/>
                <w:szCs w:val="20"/>
                <w:color w:val="auto"/>
              </w:rPr>
            </w:pPr>
            <w:r>
              <w:rPr>
                <w:rFonts w:ascii="Arial" w:cs="Arial" w:eastAsia="Arial" w:hAnsi="Arial"/>
                <w:sz w:val="18"/>
                <w:szCs w:val="18"/>
                <w:color w:val="auto"/>
              </w:rPr>
              <w:t xml:space="preserve">Current annual rent </w:t>
            </w:r>
            <w:r>
              <w:rPr>
                <w:rFonts w:ascii="Arial" w:cs="Arial" w:eastAsia="Arial" w:hAnsi="Arial"/>
                <w:sz w:val="23"/>
                <w:szCs w:val="23"/>
                <w:color w:val="auto"/>
                <w:vertAlign w:val="superscript"/>
              </w:rPr>
              <w:t>(1)</w:t>
            </w:r>
          </w:p>
        </w:tc>
        <w:tc>
          <w:tcPr>
            <w:tcW w:w="7620" w:type="dxa"/>
            <w:vAlign w:val="bottom"/>
          </w:tcPr>
          <w:p>
            <w:pPr>
              <w:ind w:left="20"/>
              <w:spacing w:after="0"/>
              <w:rPr>
                <w:sz w:val="20"/>
                <w:szCs w:val="20"/>
                <w:color w:val="auto"/>
              </w:rPr>
            </w:pPr>
            <w:r>
              <w:rPr>
                <w:rFonts w:ascii="Arial" w:cs="Arial" w:eastAsia="Arial" w:hAnsi="Arial"/>
                <w:sz w:val="18"/>
                <w:szCs w:val="18"/>
                <w:color w:val="auto"/>
              </w:rPr>
              <w:t>$68,704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Escalator commencement</w:t>
            </w:r>
          </w:p>
        </w:tc>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year three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00" w:type="dxa"/>
            <w:vAlign w:val="bottom"/>
            <w:gridSpan w:val="3"/>
            <w:vMerge w:val="restart"/>
          </w:tcPr>
          <w:p>
            <w:pPr>
              <w:ind w:left="120"/>
              <w:spacing w:after="0"/>
              <w:rPr>
                <w:sz w:val="20"/>
                <w:szCs w:val="20"/>
                <w:color w:val="auto"/>
              </w:rPr>
            </w:pPr>
            <w:r>
              <w:rPr>
                <w:rFonts w:ascii="Arial" w:cs="Arial" w:eastAsia="Arial" w:hAnsi="Arial"/>
                <w:sz w:val="18"/>
                <w:szCs w:val="18"/>
                <w:color w:val="auto"/>
              </w:rPr>
              <w:t xml:space="preserve">Escalator </w:t>
            </w:r>
            <w:r>
              <w:rPr>
                <w:rFonts w:ascii="Arial" w:cs="Arial" w:eastAsia="Arial" w:hAnsi="Arial"/>
                <w:sz w:val="23"/>
                <w:szCs w:val="23"/>
                <w:i w:val="1"/>
                <w:iCs w:val="1"/>
                <w:color w:val="auto"/>
                <w:vertAlign w:val="superscript"/>
              </w:rPr>
              <w:t>(2)</w:t>
            </w:r>
          </w:p>
        </w:tc>
        <w:tc>
          <w:tcPr>
            <w:tcW w:w="7620" w:type="dxa"/>
            <w:vAlign w:val="bottom"/>
          </w:tcPr>
          <w:p>
            <w:pPr>
              <w:ind w:left="20"/>
              <w:spacing w:after="0" w:line="176" w:lineRule="exact"/>
              <w:rPr>
                <w:sz w:val="20"/>
                <w:szCs w:val="20"/>
                <w:color w:val="auto"/>
              </w:rPr>
            </w:pPr>
            <w:r>
              <w:rPr>
                <w:rFonts w:ascii="Arial" w:cs="Arial" w:eastAsia="Arial" w:hAnsi="Arial"/>
                <w:sz w:val="18"/>
                <w:szCs w:val="18"/>
                <w:color w:val="auto"/>
              </w:rPr>
              <w:t>Lease years 3-4 - 1.0%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00" w:type="dxa"/>
            <w:vAlign w:val="bottom"/>
            <w:gridSpan w:val="3"/>
            <w:vMerge w:val="continue"/>
          </w:tcPr>
          <w:p>
            <w:pPr>
              <w:spacing w:after="0"/>
              <w:rPr>
                <w:sz w:val="15"/>
                <w:szCs w:val="15"/>
                <w:color w:val="auto"/>
              </w:rPr>
            </w:pPr>
          </w:p>
        </w:tc>
        <w:tc>
          <w:tcPr>
            <w:tcW w:w="7620" w:type="dxa"/>
            <w:vAlign w:val="bottom"/>
          </w:tcPr>
          <w:p>
            <w:pPr>
              <w:ind w:left="20"/>
              <w:spacing w:after="0" w:line="176" w:lineRule="exact"/>
              <w:rPr>
                <w:sz w:val="20"/>
                <w:szCs w:val="20"/>
                <w:color w:val="auto"/>
              </w:rPr>
            </w:pPr>
            <w:r>
              <w:rPr>
                <w:rFonts w:ascii="Arial" w:cs="Arial" w:eastAsia="Arial" w:hAnsi="Arial"/>
                <w:sz w:val="18"/>
                <w:szCs w:val="18"/>
                <w:color w:val="auto"/>
              </w:rPr>
              <w:t>Lease years 5-7 - 1.5%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20" w:type="dxa"/>
            <w:vAlign w:val="bottom"/>
          </w:tcPr>
          <w:p>
            <w:pPr>
              <w:ind w:left="20"/>
              <w:spacing w:after="0"/>
              <w:rPr>
                <w:sz w:val="20"/>
                <w:szCs w:val="20"/>
                <w:color w:val="auto"/>
              </w:rPr>
            </w:pPr>
            <w:r>
              <w:rPr>
                <w:rFonts w:ascii="Arial" w:cs="Arial" w:eastAsia="Arial" w:hAnsi="Arial"/>
                <w:sz w:val="18"/>
                <w:szCs w:val="18"/>
                <w:color w:val="auto"/>
              </w:rPr>
              <w:t>Lease years 8-15 - The greater of 1.5% or the change in CPI capped at 2.5%</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ind w:firstLine="8"/>
        <w:spacing w:after="0" w:line="241" w:lineRule="auto"/>
        <w:tabs>
          <w:tab w:leader="none" w:pos="217" w:val="left"/>
        </w:tabs>
        <w:numPr>
          <w:ilvl w:val="0"/>
          <w:numId w:val="83"/>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 represents the current annual base rent payable for the current lease year, which is the period from February 1, 2022 through January 31, 2023. Effective April 1, 2022, the annualized rent will increase by $1.8 million related to the gaming patio amenity at JACK Thistledown.</w:t>
      </w:r>
    </w:p>
    <w:p>
      <w:pPr>
        <w:ind w:firstLine="8"/>
        <w:spacing w:after="0" w:line="255" w:lineRule="auto"/>
        <w:tabs>
          <w:tab w:leader="none" w:pos="213" w:val="left"/>
        </w:tabs>
        <w:numPr>
          <w:ilvl w:val="0"/>
          <w:numId w:val="83"/>
        </w:numPr>
        <w:rPr>
          <w:rFonts w:ascii="Arial" w:cs="Arial" w:eastAsia="Arial" w:hAnsi="Arial"/>
          <w:sz w:val="14"/>
          <w:szCs w:val="14"/>
          <w:i w:val="1"/>
          <w:iCs w:val="1"/>
          <w:color w:val="auto"/>
        </w:rPr>
      </w:pPr>
      <w:r>
        <w:rPr>
          <w:rFonts w:ascii="Arial" w:cs="Arial" w:eastAsia="Arial" w:hAnsi="Arial"/>
          <w:sz w:val="14"/>
          <w:szCs w:val="14"/>
          <w:i w:val="1"/>
          <w:iCs w:val="1"/>
          <w:color w:val="auto"/>
        </w:rPr>
        <w:t>Any amounts representing rents in excess of the CPI floors specified above are considered contingent rent in accordance with GAAP. No such rent has been recognized for the years ended December 31, 2021, 2020 and 2019.</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EBCI Lease Agreement - 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material lease provisions of our EBCI Lease Agreement: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u w:val="single" w:color="auto"/>
                <w:color w:val="auto"/>
                <w:w w:val="88"/>
              </w:rPr>
              <w:t>(</w:t>
            </w:r>
            <w:r>
              <w:rPr>
                <w:rFonts w:ascii="Arial" w:cs="Arial" w:eastAsia="Arial" w:hAnsi="Arial"/>
                <w:sz w:val="14"/>
                <w:szCs w:val="14"/>
                <w:b w:val="1"/>
                <w:bCs w:val="1"/>
                <w:i w:val="1"/>
                <w:iCs w:val="1"/>
                <w:color w:val="auto"/>
                <w:w w:val="88"/>
              </w:rPr>
              <w:t>$ in thousands)</w:t>
            </w:r>
          </w:p>
        </w:tc>
        <w:tc>
          <w:tcPr>
            <w:tcW w:w="2620" w:type="dxa"/>
            <w:vAlign w:val="bottom"/>
            <w:gridSpan w:val="2"/>
          </w:tcPr>
          <w:p>
            <w:pPr>
              <w:spacing w:after="0"/>
              <w:rPr>
                <w:sz w:val="14"/>
                <w:szCs w:val="14"/>
                <w:color w:val="auto"/>
              </w:rPr>
            </w:pPr>
          </w:p>
        </w:tc>
        <w:tc>
          <w:tcPr>
            <w:tcW w:w="7620" w:type="dxa"/>
            <w:vAlign w:val="bottom"/>
          </w:tcPr>
          <w:p>
            <w:pPr>
              <w:spacing w:after="0"/>
              <w:rPr>
                <w:sz w:val="14"/>
                <w:szCs w:val="14"/>
                <w:color w:val="auto"/>
              </w:rPr>
            </w:pPr>
          </w:p>
        </w:tc>
      </w:tr>
      <w:tr>
        <w:trPr>
          <w:trHeight w:val="233"/>
        </w:trPr>
        <w:tc>
          <w:tcPr>
            <w:tcW w:w="20" w:type="dxa"/>
            <w:vAlign w:val="bottom"/>
          </w:tcPr>
          <w:p>
            <w:pPr>
              <w:spacing w:after="0"/>
              <w:rPr>
                <w:sz w:val="20"/>
                <w:szCs w:val="20"/>
                <w:color w:val="auto"/>
              </w:rPr>
            </w:pPr>
          </w:p>
        </w:tc>
        <w:tc>
          <w:tcPr>
            <w:tcW w:w="3600" w:type="dxa"/>
            <w:vAlign w:val="bottom"/>
            <w:gridSpan w:val="3"/>
          </w:tcPr>
          <w:p>
            <w:pPr>
              <w:spacing w:after="0"/>
              <w:rPr>
                <w:sz w:val="20"/>
                <w:szCs w:val="20"/>
                <w:color w:val="auto"/>
              </w:rPr>
            </w:pPr>
            <w:r>
              <w:rPr>
                <w:rFonts w:ascii="Arial" w:cs="Arial" w:eastAsia="Arial" w:hAnsi="Arial"/>
                <w:sz w:val="16"/>
                <w:szCs w:val="16"/>
                <w:b w:val="1"/>
                <w:bCs w:val="1"/>
                <w:color w:val="auto"/>
              </w:rPr>
              <w:t>Lease Provision</w:t>
            </w:r>
          </w:p>
        </w:tc>
        <w:tc>
          <w:tcPr>
            <w:tcW w:w="7620" w:type="dxa"/>
            <w:vAlign w:val="bottom"/>
          </w:tcPr>
          <w:p>
            <w:pPr>
              <w:ind w:left="3620"/>
              <w:spacing w:after="0"/>
              <w:rPr>
                <w:sz w:val="20"/>
                <w:szCs w:val="20"/>
                <w:color w:val="auto"/>
              </w:rPr>
            </w:pPr>
            <w:r>
              <w:rPr>
                <w:rFonts w:ascii="Arial" w:cs="Arial" w:eastAsia="Arial" w:hAnsi="Arial"/>
                <w:sz w:val="16"/>
                <w:szCs w:val="16"/>
                <w:b w:val="1"/>
                <w:bCs w:val="1"/>
                <w:color w:val="auto"/>
              </w:rPr>
              <w:t>Term</w:t>
            </w:r>
          </w:p>
        </w:tc>
      </w:tr>
      <w:tr>
        <w:trPr>
          <w:trHeight w:val="226"/>
        </w:trPr>
        <w:tc>
          <w:tcPr>
            <w:tcW w:w="20" w:type="dxa"/>
            <w:vAlign w:val="bottom"/>
            <w:tcBorders>
              <w:top w:val="single" w:sz="8" w:color="auto"/>
            </w:tcBorders>
            <w:shd w:val="clear" w:color="auto" w:fill="CCEEFF"/>
          </w:tcPr>
          <w:p>
            <w:pPr>
              <w:spacing w:after="0"/>
              <w:rPr>
                <w:sz w:val="19"/>
                <w:szCs w:val="19"/>
                <w:color w:val="auto"/>
              </w:rPr>
            </w:pPr>
          </w:p>
        </w:tc>
        <w:tc>
          <w:tcPr>
            <w:tcW w:w="35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Initial term</w:t>
            </w:r>
          </w:p>
        </w:tc>
        <w:tc>
          <w:tcPr>
            <w:tcW w:w="80" w:type="dxa"/>
            <w:vAlign w:val="bottom"/>
            <w:tcBorders>
              <w:top w:val="single" w:sz="8" w:color="CCEEFF"/>
            </w:tcBorders>
            <w:shd w:val="clear" w:color="auto" w:fill="CCEEFF"/>
          </w:tcPr>
          <w:p>
            <w:pPr>
              <w:spacing w:after="0"/>
              <w:rPr>
                <w:sz w:val="19"/>
                <w:szCs w:val="19"/>
                <w:color w:val="auto"/>
              </w:rPr>
            </w:pPr>
          </w:p>
        </w:tc>
        <w:tc>
          <w:tcPr>
            <w:tcW w:w="7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15 years</w:t>
            </w:r>
          </w:p>
        </w:tc>
      </w:tr>
      <w:tr>
        <w:trPr>
          <w:trHeight w:val="230"/>
        </w:trPr>
        <w:tc>
          <w:tcPr>
            <w:tcW w:w="20" w:type="dxa"/>
            <w:vAlign w:val="bottom"/>
          </w:tcPr>
          <w:p>
            <w:pPr>
              <w:spacing w:after="0"/>
              <w:rPr>
                <w:sz w:val="19"/>
                <w:szCs w:val="19"/>
                <w:color w:val="auto"/>
              </w:rPr>
            </w:pPr>
          </w:p>
        </w:tc>
        <w:tc>
          <w:tcPr>
            <w:tcW w:w="3600" w:type="dxa"/>
            <w:vAlign w:val="bottom"/>
            <w:gridSpan w:val="3"/>
          </w:tcPr>
          <w:p>
            <w:pPr>
              <w:spacing w:after="0"/>
              <w:rPr>
                <w:sz w:val="20"/>
                <w:szCs w:val="20"/>
                <w:color w:val="auto"/>
              </w:rPr>
            </w:pPr>
            <w:r>
              <w:rPr>
                <w:rFonts w:ascii="Arial" w:cs="Arial" w:eastAsia="Arial" w:hAnsi="Arial"/>
                <w:sz w:val="18"/>
                <w:szCs w:val="18"/>
                <w:color w:val="auto"/>
              </w:rPr>
              <w:t>Initial term maturity</w:t>
            </w:r>
          </w:p>
        </w:tc>
        <w:tc>
          <w:tcPr>
            <w:tcW w:w="7620" w:type="dxa"/>
            <w:vAlign w:val="bottom"/>
          </w:tcPr>
          <w:p>
            <w:pPr>
              <w:ind w:left="20"/>
              <w:spacing w:after="0"/>
              <w:rPr>
                <w:sz w:val="20"/>
                <w:szCs w:val="20"/>
                <w:color w:val="auto"/>
              </w:rPr>
            </w:pPr>
            <w:r>
              <w:rPr>
                <w:rFonts w:ascii="Arial" w:cs="Arial" w:eastAsia="Arial" w:hAnsi="Arial"/>
                <w:sz w:val="18"/>
                <w:szCs w:val="18"/>
                <w:color w:val="auto"/>
              </w:rPr>
              <w:t>8/31/2036</w:t>
            </w:r>
          </w:p>
        </w:tc>
      </w:tr>
      <w:tr>
        <w:trPr>
          <w:trHeight w:val="230"/>
        </w:trPr>
        <w:tc>
          <w:tcPr>
            <w:tcW w:w="20" w:type="dxa"/>
            <w:vAlign w:val="bottom"/>
            <w:shd w:val="clear" w:color="auto" w:fill="CCEEFF"/>
          </w:tcPr>
          <w:p>
            <w:pPr>
              <w:spacing w:after="0"/>
              <w:rPr>
                <w:sz w:val="19"/>
                <w:szCs w:val="19"/>
                <w:color w:val="auto"/>
              </w:rPr>
            </w:pPr>
          </w:p>
        </w:tc>
        <w:tc>
          <w:tcPr>
            <w:tcW w:w="3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Renewal terms</w:t>
            </w:r>
          </w:p>
        </w:tc>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Four, five-year terms</w:t>
            </w:r>
          </w:p>
        </w:tc>
      </w:tr>
      <w:tr>
        <w:trPr>
          <w:trHeight w:val="229"/>
        </w:trPr>
        <w:tc>
          <w:tcPr>
            <w:tcW w:w="20" w:type="dxa"/>
            <w:vAlign w:val="bottom"/>
          </w:tcPr>
          <w:p>
            <w:pPr>
              <w:spacing w:after="0"/>
              <w:rPr>
                <w:sz w:val="19"/>
                <w:szCs w:val="19"/>
                <w:color w:val="auto"/>
              </w:rPr>
            </w:pPr>
          </w:p>
        </w:tc>
        <w:tc>
          <w:tcPr>
            <w:tcW w:w="3600" w:type="dxa"/>
            <w:vAlign w:val="bottom"/>
            <w:gridSpan w:val="3"/>
          </w:tcPr>
          <w:p>
            <w:pPr>
              <w:spacing w:after="0" w:line="230" w:lineRule="exact"/>
              <w:rPr>
                <w:sz w:val="20"/>
                <w:szCs w:val="20"/>
                <w:color w:val="auto"/>
              </w:rPr>
            </w:pPr>
            <w:r>
              <w:rPr>
                <w:rFonts w:ascii="Arial" w:cs="Arial" w:eastAsia="Arial" w:hAnsi="Arial"/>
                <w:sz w:val="18"/>
                <w:szCs w:val="18"/>
                <w:color w:val="auto"/>
              </w:rPr>
              <w:t xml:space="preserve">Current annual rent </w:t>
            </w:r>
            <w:r>
              <w:rPr>
                <w:rFonts w:ascii="Arial" w:cs="Arial" w:eastAsia="Arial" w:hAnsi="Arial"/>
                <w:sz w:val="23"/>
                <w:szCs w:val="23"/>
                <w:i w:val="1"/>
                <w:iCs w:val="1"/>
                <w:color w:val="auto"/>
                <w:vertAlign w:val="superscript"/>
              </w:rPr>
              <w:t>(1)</w:t>
            </w:r>
          </w:p>
        </w:tc>
        <w:tc>
          <w:tcPr>
            <w:tcW w:w="7620" w:type="dxa"/>
            <w:vAlign w:val="bottom"/>
          </w:tcPr>
          <w:p>
            <w:pPr>
              <w:ind w:left="20"/>
              <w:spacing w:after="0"/>
              <w:rPr>
                <w:sz w:val="20"/>
                <w:szCs w:val="20"/>
                <w:color w:val="auto"/>
              </w:rPr>
            </w:pPr>
            <w:r>
              <w:rPr>
                <w:rFonts w:ascii="Arial" w:cs="Arial" w:eastAsia="Arial" w:hAnsi="Arial"/>
                <w:sz w:val="18"/>
                <w:szCs w:val="18"/>
                <w:color w:val="auto"/>
              </w:rPr>
              <w:t>$32,500</w:t>
            </w:r>
          </w:p>
        </w:tc>
      </w:tr>
      <w:tr>
        <w:trPr>
          <w:trHeight w:val="230"/>
        </w:trPr>
        <w:tc>
          <w:tcPr>
            <w:tcW w:w="20" w:type="dxa"/>
            <w:vAlign w:val="bottom"/>
            <w:shd w:val="clear" w:color="auto" w:fill="CCEEFF"/>
          </w:tcPr>
          <w:p>
            <w:pPr>
              <w:spacing w:after="0"/>
              <w:rPr>
                <w:sz w:val="19"/>
                <w:szCs w:val="19"/>
                <w:color w:val="auto"/>
              </w:rPr>
            </w:pPr>
          </w:p>
        </w:tc>
        <w:tc>
          <w:tcPr>
            <w:tcW w:w="3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Escalator commencement</w:t>
            </w:r>
          </w:p>
        </w:tc>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year two</w:t>
            </w:r>
          </w:p>
        </w:tc>
      </w:tr>
      <w:tr>
        <w:trPr>
          <w:trHeight w:val="257"/>
        </w:trPr>
        <w:tc>
          <w:tcPr>
            <w:tcW w:w="20" w:type="dxa"/>
            <w:vAlign w:val="bottom"/>
          </w:tcPr>
          <w:p>
            <w:pPr>
              <w:spacing w:after="0"/>
              <w:rPr>
                <w:sz w:val="22"/>
                <w:szCs w:val="22"/>
                <w:color w:val="auto"/>
              </w:rPr>
            </w:pPr>
          </w:p>
        </w:tc>
        <w:tc>
          <w:tcPr>
            <w:tcW w:w="360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Escalator </w:t>
            </w:r>
            <w:r>
              <w:rPr>
                <w:rFonts w:ascii="Arial" w:cs="Arial" w:eastAsia="Arial" w:hAnsi="Arial"/>
                <w:sz w:val="23"/>
                <w:szCs w:val="23"/>
                <w:i w:val="1"/>
                <w:iCs w:val="1"/>
                <w:color w:val="auto"/>
                <w:vertAlign w:val="superscript"/>
              </w:rPr>
              <w:t>(2)</w:t>
            </w:r>
          </w:p>
        </w:tc>
        <w:tc>
          <w:tcPr>
            <w:tcW w:w="7620" w:type="dxa"/>
            <w:vAlign w:val="bottom"/>
          </w:tcPr>
          <w:p>
            <w:pPr>
              <w:ind w:left="20"/>
              <w:spacing w:after="0"/>
              <w:rPr>
                <w:sz w:val="20"/>
                <w:szCs w:val="20"/>
                <w:color w:val="auto"/>
              </w:rPr>
            </w:pPr>
            <w:r>
              <w:rPr>
                <w:rFonts w:ascii="Arial" w:cs="Arial" w:eastAsia="Arial" w:hAnsi="Arial"/>
                <w:sz w:val="18"/>
                <w:szCs w:val="18"/>
                <w:color w:val="auto"/>
              </w:rPr>
              <w:t>Lease years 2-5 - 1.5%</w:t>
            </w:r>
          </w:p>
        </w:tc>
      </w:tr>
      <w:tr>
        <w:trPr>
          <w:trHeight w:val="148"/>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20" w:type="dxa"/>
            <w:vAlign w:val="bottom"/>
          </w:tcPr>
          <w:p>
            <w:pPr>
              <w:ind w:left="20"/>
              <w:spacing w:after="0" w:line="149" w:lineRule="exact"/>
              <w:rPr>
                <w:sz w:val="20"/>
                <w:szCs w:val="20"/>
                <w:color w:val="auto"/>
              </w:rPr>
            </w:pPr>
            <w:r>
              <w:rPr>
                <w:rFonts w:ascii="Arial" w:cs="Arial" w:eastAsia="Arial" w:hAnsi="Arial"/>
                <w:sz w:val="17"/>
                <w:szCs w:val="17"/>
                <w:color w:val="auto"/>
              </w:rPr>
              <w:t>Lease years 6-15 - The greater of 2.0% or the change in CPI</w:t>
            </w:r>
          </w:p>
        </w:tc>
      </w:tr>
      <w:tr>
        <w:trPr>
          <w:trHeight w:val="230"/>
        </w:trPr>
        <w:tc>
          <w:tcPr>
            <w:tcW w:w="20" w:type="dxa"/>
            <w:vAlign w:val="bottom"/>
            <w:shd w:val="clear" w:color="auto" w:fill="CCEEFF"/>
          </w:tcPr>
          <w:p>
            <w:pPr>
              <w:spacing w:after="0"/>
              <w:rPr>
                <w:sz w:val="19"/>
                <w:szCs w:val="19"/>
                <w:color w:val="auto"/>
              </w:rPr>
            </w:pPr>
          </w:p>
        </w:tc>
        <w:tc>
          <w:tcPr>
            <w:tcW w:w="3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Variable rent commencement/reset</w:t>
            </w:r>
          </w:p>
        </w:tc>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year 8 and 11</w:t>
            </w:r>
          </w:p>
        </w:tc>
      </w:tr>
      <w:tr>
        <w:trPr>
          <w:trHeight w:val="230"/>
        </w:trPr>
        <w:tc>
          <w:tcPr>
            <w:tcW w:w="20" w:type="dxa"/>
            <w:vAlign w:val="bottom"/>
          </w:tcPr>
          <w:p>
            <w:pPr>
              <w:spacing w:after="0"/>
              <w:rPr>
                <w:sz w:val="19"/>
                <w:szCs w:val="19"/>
                <w:color w:val="auto"/>
              </w:rPr>
            </w:pPr>
          </w:p>
        </w:tc>
        <w:tc>
          <w:tcPr>
            <w:tcW w:w="3600" w:type="dxa"/>
            <w:vAlign w:val="bottom"/>
            <w:gridSpan w:val="3"/>
          </w:tcPr>
          <w:p>
            <w:pPr>
              <w:spacing w:after="0" w:line="230" w:lineRule="exact"/>
              <w:rPr>
                <w:sz w:val="20"/>
                <w:szCs w:val="20"/>
                <w:color w:val="auto"/>
              </w:rPr>
            </w:pPr>
            <w:r>
              <w:rPr>
                <w:rFonts w:ascii="Arial" w:cs="Arial" w:eastAsia="Arial" w:hAnsi="Arial"/>
                <w:sz w:val="18"/>
                <w:szCs w:val="18"/>
                <w:color w:val="auto"/>
              </w:rPr>
              <w:t xml:space="preserve">Variable rent split </w:t>
            </w:r>
            <w:r>
              <w:rPr>
                <w:rFonts w:ascii="Arial" w:cs="Arial" w:eastAsia="Arial" w:hAnsi="Arial"/>
                <w:sz w:val="23"/>
                <w:szCs w:val="23"/>
                <w:i w:val="1"/>
                <w:iCs w:val="1"/>
                <w:color w:val="auto"/>
                <w:vertAlign w:val="superscript"/>
              </w:rPr>
              <w:t>(3)</w:t>
            </w:r>
          </w:p>
        </w:tc>
        <w:tc>
          <w:tcPr>
            <w:tcW w:w="7620" w:type="dxa"/>
            <w:vAlign w:val="bottom"/>
          </w:tcPr>
          <w:p>
            <w:pPr>
              <w:ind w:left="20"/>
              <w:spacing w:after="0"/>
              <w:rPr>
                <w:sz w:val="20"/>
                <w:szCs w:val="20"/>
                <w:color w:val="auto"/>
              </w:rPr>
            </w:pPr>
            <w:r>
              <w:rPr>
                <w:rFonts w:ascii="Arial" w:cs="Arial" w:eastAsia="Arial" w:hAnsi="Arial"/>
                <w:sz w:val="18"/>
                <w:szCs w:val="18"/>
                <w:color w:val="auto"/>
              </w:rPr>
              <w:t>80% Base Rent and 20% Variable Rent</w:t>
            </w:r>
          </w:p>
        </w:tc>
      </w:tr>
      <w:tr>
        <w:trPr>
          <w:trHeight w:val="229"/>
        </w:trPr>
        <w:tc>
          <w:tcPr>
            <w:tcW w:w="20" w:type="dxa"/>
            <w:vAlign w:val="bottom"/>
            <w:shd w:val="clear" w:color="auto" w:fill="CCEEFF"/>
          </w:tcPr>
          <w:p>
            <w:pPr>
              <w:spacing w:after="0"/>
              <w:rPr>
                <w:sz w:val="19"/>
                <w:szCs w:val="19"/>
                <w:color w:val="auto"/>
              </w:rPr>
            </w:pPr>
          </w:p>
        </w:tc>
        <w:tc>
          <w:tcPr>
            <w:tcW w:w="3600" w:type="dxa"/>
            <w:vAlign w:val="bottom"/>
            <w:gridSpan w:val="3"/>
            <w:shd w:val="clear" w:color="auto" w:fill="CCEEFF"/>
          </w:tcPr>
          <w:p>
            <w:pPr>
              <w:spacing w:after="0" w:line="230" w:lineRule="exact"/>
              <w:rPr>
                <w:sz w:val="20"/>
                <w:szCs w:val="20"/>
                <w:color w:val="auto"/>
              </w:rPr>
            </w:pPr>
            <w:r>
              <w:rPr>
                <w:rFonts w:ascii="Arial" w:cs="Arial" w:eastAsia="Arial" w:hAnsi="Arial"/>
                <w:sz w:val="18"/>
                <w:szCs w:val="18"/>
                <w:color w:val="auto"/>
              </w:rPr>
              <w:t xml:space="preserve">Variable rent percentage </w:t>
            </w:r>
            <w:r>
              <w:rPr>
                <w:rFonts w:ascii="Arial" w:cs="Arial" w:eastAsia="Arial" w:hAnsi="Arial"/>
                <w:sz w:val="23"/>
                <w:szCs w:val="23"/>
                <w:i w:val="1"/>
                <w:iCs w:val="1"/>
                <w:color w:val="auto"/>
                <w:vertAlign w:val="superscript"/>
              </w:rPr>
              <w:t>(3)</w:t>
            </w:r>
          </w:p>
        </w:tc>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4%</w:t>
            </w:r>
          </w:p>
        </w:tc>
      </w:tr>
      <w:tr>
        <w:trPr>
          <w:trHeight w:val="290"/>
        </w:trPr>
        <w:tc>
          <w:tcPr>
            <w:tcW w:w="3540" w:type="dxa"/>
            <w:vAlign w:val="bottom"/>
            <w:gridSpan w:val="3"/>
          </w:tcPr>
          <w:p>
            <w:pPr>
              <w:spacing w:after="0"/>
              <w:rPr>
                <w:sz w:val="20"/>
                <w:szCs w:val="20"/>
                <w:color w:val="auto"/>
              </w:rPr>
            </w:pPr>
            <w:r>
              <w:rPr>
                <w:rFonts w:ascii="Arial" w:cs="Arial" w:eastAsia="Arial" w:hAnsi="Arial"/>
                <w:sz w:val="14"/>
                <w:szCs w:val="14"/>
                <w:color w:val="auto"/>
              </w:rPr>
              <w:t>____________________</w:t>
            </w:r>
          </w:p>
        </w:tc>
        <w:tc>
          <w:tcPr>
            <w:tcW w:w="80" w:type="dxa"/>
            <w:vAlign w:val="bottom"/>
          </w:tcPr>
          <w:p>
            <w:pPr>
              <w:spacing w:after="0"/>
              <w:rPr>
                <w:sz w:val="24"/>
                <w:szCs w:val="24"/>
                <w:color w:val="auto"/>
              </w:rPr>
            </w:pPr>
          </w:p>
        </w:tc>
        <w:tc>
          <w:tcPr>
            <w:tcW w:w="7620" w:type="dxa"/>
            <w:vAlign w:val="bottom"/>
          </w:tcPr>
          <w:p>
            <w:pPr>
              <w:spacing w:after="0"/>
              <w:rPr>
                <w:sz w:val="24"/>
                <w:szCs w:val="24"/>
                <w:color w:val="auto"/>
              </w:rPr>
            </w:pPr>
          </w:p>
        </w:tc>
      </w:tr>
    </w:tbl>
    <w:p>
      <w:pPr>
        <w:ind w:left="220" w:hanging="212"/>
        <w:spacing w:after="0"/>
        <w:tabs>
          <w:tab w:leader="none" w:pos="220" w:val="left"/>
        </w:tabs>
        <w:numPr>
          <w:ilvl w:val="0"/>
          <w:numId w:val="84"/>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 represents the current annual base rent payable for the current lease year, which is the period from September 3, 2021 through August 31, 2022.</w:t>
      </w:r>
    </w:p>
    <w:p>
      <w:pPr>
        <w:spacing w:after="0" w:line="1" w:lineRule="exact"/>
        <w:rPr>
          <w:rFonts w:ascii="Arial" w:cs="Arial" w:eastAsia="Arial" w:hAnsi="Arial"/>
          <w:sz w:val="14"/>
          <w:szCs w:val="14"/>
          <w:i w:val="1"/>
          <w:iCs w:val="1"/>
          <w:color w:val="auto"/>
        </w:rPr>
      </w:pPr>
    </w:p>
    <w:p>
      <w:pPr>
        <w:ind w:firstLine="8"/>
        <w:spacing w:after="0" w:line="241" w:lineRule="auto"/>
        <w:tabs>
          <w:tab w:leader="none" w:pos="215" w:val="left"/>
        </w:tabs>
        <w:numPr>
          <w:ilvl w:val="0"/>
          <w:numId w:val="84"/>
        </w:numPr>
        <w:rPr>
          <w:rFonts w:ascii="Arial" w:cs="Arial" w:eastAsia="Arial" w:hAnsi="Arial"/>
          <w:sz w:val="14"/>
          <w:szCs w:val="14"/>
          <w:i w:val="1"/>
          <w:iCs w:val="1"/>
          <w:color w:val="auto"/>
        </w:rPr>
      </w:pPr>
      <w:r>
        <w:rPr>
          <w:rFonts w:ascii="Arial" w:cs="Arial" w:eastAsia="Arial" w:hAnsi="Arial"/>
          <w:sz w:val="14"/>
          <w:szCs w:val="14"/>
          <w:i w:val="1"/>
          <w:iCs w:val="1"/>
          <w:color w:val="auto"/>
        </w:rPr>
        <w:t>Any amounts representing rents in excess of the CPI floors specified above are considered contingent rent in accordance with GAAP. No such rent has been recognized for the year ended December 31, 2021.</w:t>
      </w:r>
    </w:p>
    <w:p>
      <w:pPr>
        <w:jc w:val="both"/>
        <w:ind w:firstLine="8"/>
        <w:spacing w:after="0" w:line="248" w:lineRule="auto"/>
        <w:tabs>
          <w:tab w:leader="none" w:pos="204" w:val="left"/>
        </w:tabs>
        <w:numPr>
          <w:ilvl w:val="0"/>
          <w:numId w:val="84"/>
        </w:numPr>
        <w:rPr>
          <w:rFonts w:ascii="Arial" w:cs="Arial" w:eastAsia="Arial" w:hAnsi="Arial"/>
          <w:sz w:val="14"/>
          <w:szCs w:val="14"/>
          <w:i w:val="1"/>
          <w:iCs w:val="1"/>
          <w:color w:val="auto"/>
        </w:rPr>
      </w:pPr>
      <w:r>
        <w:rPr>
          <w:rFonts w:ascii="Arial" w:cs="Arial" w:eastAsia="Arial" w:hAnsi="Arial"/>
          <w:sz w:val="14"/>
          <w:szCs w:val="14"/>
          <w:i w:val="1"/>
          <w:iCs w:val="1"/>
          <w:color w:val="auto"/>
        </w:rPr>
        <w:t>Variable rent is not subject to the escalator and is calculated for lease year 8 as an increase or decrease of the average of net revenues for lease years 5 through 7 compared to the average net revenue for the year preceding lease commencement and lease years 1 through 2 and for lease year 11 as an increase or decrease of the average of net revenues for lease years 8 through 10 compared to the average net revenue for lease years 5 through 7, in each case multiplied by the variable rent percentage.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6" w:name="page117"/>
    <w:bookmarkEnd w:id="1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Venetian Lease Agreement - 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material lease provisions of our Venetian Lease Agreement, as entered into on February 23, 2022:</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u w:val="single" w:color="auto"/>
                <w:color w:val="auto"/>
                <w:w w:val="88"/>
              </w:rPr>
              <w:t>(</w:t>
            </w:r>
            <w:r>
              <w:rPr>
                <w:rFonts w:ascii="Arial" w:cs="Arial" w:eastAsia="Arial" w:hAnsi="Arial"/>
                <w:sz w:val="14"/>
                <w:szCs w:val="14"/>
                <w:b w:val="1"/>
                <w:bCs w:val="1"/>
                <w:i w:val="1"/>
                <w:iCs w:val="1"/>
                <w:color w:val="auto"/>
                <w:w w:val="88"/>
              </w:rPr>
              <w:t>$ in thousands)</w:t>
            </w:r>
          </w:p>
        </w:tc>
        <w:tc>
          <w:tcPr>
            <w:tcW w:w="2620" w:type="dxa"/>
            <w:vAlign w:val="bottom"/>
            <w:gridSpan w:val="2"/>
          </w:tcPr>
          <w:p>
            <w:pPr>
              <w:spacing w:after="0"/>
              <w:rPr>
                <w:sz w:val="14"/>
                <w:szCs w:val="14"/>
                <w:color w:val="auto"/>
              </w:rPr>
            </w:pPr>
          </w:p>
        </w:tc>
        <w:tc>
          <w:tcPr>
            <w:tcW w:w="7620" w:type="dxa"/>
            <w:vAlign w:val="bottom"/>
          </w:tcPr>
          <w:p>
            <w:pPr>
              <w:spacing w:after="0"/>
              <w:rPr>
                <w:sz w:val="14"/>
                <w:szCs w:val="14"/>
                <w:color w:val="auto"/>
              </w:rPr>
            </w:pPr>
          </w:p>
        </w:tc>
      </w:tr>
      <w:tr>
        <w:trPr>
          <w:trHeight w:val="234"/>
        </w:trPr>
        <w:tc>
          <w:tcPr>
            <w:tcW w:w="20" w:type="dxa"/>
            <w:vAlign w:val="bottom"/>
          </w:tcPr>
          <w:p>
            <w:pPr>
              <w:spacing w:after="0"/>
              <w:rPr>
                <w:sz w:val="20"/>
                <w:szCs w:val="20"/>
                <w:color w:val="auto"/>
              </w:rPr>
            </w:pPr>
          </w:p>
        </w:tc>
        <w:tc>
          <w:tcPr>
            <w:tcW w:w="3600" w:type="dxa"/>
            <w:vAlign w:val="bottom"/>
            <w:gridSpan w:val="3"/>
          </w:tcPr>
          <w:p>
            <w:pPr>
              <w:spacing w:after="0"/>
              <w:rPr>
                <w:sz w:val="20"/>
                <w:szCs w:val="20"/>
                <w:color w:val="auto"/>
              </w:rPr>
            </w:pPr>
            <w:r>
              <w:rPr>
                <w:rFonts w:ascii="Arial" w:cs="Arial" w:eastAsia="Arial" w:hAnsi="Arial"/>
                <w:sz w:val="16"/>
                <w:szCs w:val="16"/>
                <w:b w:val="1"/>
                <w:bCs w:val="1"/>
                <w:color w:val="auto"/>
              </w:rPr>
              <w:t>Lease Provision</w:t>
            </w:r>
          </w:p>
        </w:tc>
        <w:tc>
          <w:tcPr>
            <w:tcW w:w="7620" w:type="dxa"/>
            <w:vAlign w:val="bottom"/>
          </w:tcPr>
          <w:p>
            <w:pPr>
              <w:ind w:left="3620"/>
              <w:spacing w:after="0"/>
              <w:rPr>
                <w:sz w:val="20"/>
                <w:szCs w:val="20"/>
                <w:color w:val="auto"/>
              </w:rPr>
            </w:pPr>
            <w:r>
              <w:rPr>
                <w:rFonts w:ascii="Arial" w:cs="Arial" w:eastAsia="Arial" w:hAnsi="Arial"/>
                <w:sz w:val="16"/>
                <w:szCs w:val="16"/>
                <w:b w:val="1"/>
                <w:bCs w:val="1"/>
                <w:color w:val="auto"/>
              </w:rPr>
              <w:t>Term</w:t>
            </w:r>
          </w:p>
        </w:tc>
      </w:tr>
      <w:tr>
        <w:trPr>
          <w:trHeight w:val="226"/>
        </w:trPr>
        <w:tc>
          <w:tcPr>
            <w:tcW w:w="20" w:type="dxa"/>
            <w:vAlign w:val="bottom"/>
            <w:tcBorders>
              <w:top w:val="single" w:sz="8" w:color="auto"/>
            </w:tcBorders>
            <w:shd w:val="clear" w:color="auto" w:fill="CCEEFF"/>
          </w:tcPr>
          <w:p>
            <w:pPr>
              <w:spacing w:after="0"/>
              <w:rPr>
                <w:sz w:val="19"/>
                <w:szCs w:val="19"/>
                <w:color w:val="auto"/>
              </w:rPr>
            </w:pPr>
          </w:p>
        </w:tc>
        <w:tc>
          <w:tcPr>
            <w:tcW w:w="35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Initial term</w:t>
            </w:r>
          </w:p>
        </w:tc>
        <w:tc>
          <w:tcPr>
            <w:tcW w:w="80" w:type="dxa"/>
            <w:vAlign w:val="bottom"/>
            <w:tcBorders>
              <w:top w:val="single" w:sz="8" w:color="CCEEFF"/>
            </w:tcBorders>
            <w:shd w:val="clear" w:color="auto" w:fill="CCEEFF"/>
          </w:tcPr>
          <w:p>
            <w:pPr>
              <w:spacing w:after="0"/>
              <w:rPr>
                <w:sz w:val="19"/>
                <w:szCs w:val="19"/>
                <w:color w:val="auto"/>
              </w:rPr>
            </w:pPr>
          </w:p>
        </w:tc>
        <w:tc>
          <w:tcPr>
            <w:tcW w:w="7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30 years</w:t>
            </w:r>
          </w:p>
        </w:tc>
      </w:tr>
      <w:tr>
        <w:trPr>
          <w:trHeight w:val="229"/>
        </w:trPr>
        <w:tc>
          <w:tcPr>
            <w:tcW w:w="20" w:type="dxa"/>
            <w:vAlign w:val="bottom"/>
          </w:tcPr>
          <w:p>
            <w:pPr>
              <w:spacing w:after="0"/>
              <w:rPr>
                <w:sz w:val="19"/>
                <w:szCs w:val="19"/>
                <w:color w:val="auto"/>
              </w:rPr>
            </w:pPr>
          </w:p>
        </w:tc>
        <w:tc>
          <w:tcPr>
            <w:tcW w:w="3600" w:type="dxa"/>
            <w:vAlign w:val="bottom"/>
            <w:gridSpan w:val="3"/>
          </w:tcPr>
          <w:p>
            <w:pPr>
              <w:spacing w:after="0"/>
              <w:rPr>
                <w:sz w:val="20"/>
                <w:szCs w:val="20"/>
                <w:color w:val="auto"/>
              </w:rPr>
            </w:pPr>
            <w:r>
              <w:rPr>
                <w:rFonts w:ascii="Arial" w:cs="Arial" w:eastAsia="Arial" w:hAnsi="Arial"/>
                <w:sz w:val="18"/>
                <w:szCs w:val="18"/>
                <w:color w:val="auto"/>
              </w:rPr>
              <w:t>Initial term maturity</w:t>
            </w:r>
          </w:p>
        </w:tc>
        <w:tc>
          <w:tcPr>
            <w:tcW w:w="7620" w:type="dxa"/>
            <w:vAlign w:val="bottom"/>
          </w:tcPr>
          <w:p>
            <w:pPr>
              <w:ind w:left="20"/>
              <w:spacing w:after="0"/>
              <w:rPr>
                <w:sz w:val="20"/>
                <w:szCs w:val="20"/>
                <w:color w:val="auto"/>
              </w:rPr>
            </w:pPr>
            <w:r>
              <w:rPr>
                <w:rFonts w:ascii="Arial" w:cs="Arial" w:eastAsia="Arial" w:hAnsi="Arial"/>
                <w:sz w:val="18"/>
                <w:szCs w:val="18"/>
                <w:color w:val="auto"/>
              </w:rPr>
              <w:t>2/29/2052</w:t>
            </w:r>
          </w:p>
        </w:tc>
      </w:tr>
      <w:tr>
        <w:trPr>
          <w:trHeight w:val="229"/>
        </w:trPr>
        <w:tc>
          <w:tcPr>
            <w:tcW w:w="20" w:type="dxa"/>
            <w:vAlign w:val="bottom"/>
            <w:shd w:val="clear" w:color="auto" w:fill="CCEEFF"/>
          </w:tcPr>
          <w:p>
            <w:pPr>
              <w:spacing w:after="0"/>
              <w:rPr>
                <w:sz w:val="19"/>
                <w:szCs w:val="19"/>
                <w:color w:val="auto"/>
              </w:rPr>
            </w:pPr>
          </w:p>
        </w:tc>
        <w:tc>
          <w:tcPr>
            <w:tcW w:w="3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Renewal terms</w:t>
            </w:r>
          </w:p>
        </w:tc>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Two, ten-year terms</w:t>
            </w:r>
          </w:p>
        </w:tc>
      </w:tr>
      <w:tr>
        <w:trPr>
          <w:trHeight w:val="230"/>
        </w:trPr>
        <w:tc>
          <w:tcPr>
            <w:tcW w:w="20" w:type="dxa"/>
            <w:vAlign w:val="bottom"/>
          </w:tcPr>
          <w:p>
            <w:pPr>
              <w:spacing w:after="0"/>
              <w:rPr>
                <w:sz w:val="19"/>
                <w:szCs w:val="19"/>
                <w:color w:val="auto"/>
              </w:rPr>
            </w:pPr>
          </w:p>
        </w:tc>
        <w:tc>
          <w:tcPr>
            <w:tcW w:w="3600" w:type="dxa"/>
            <w:vAlign w:val="bottom"/>
            <w:gridSpan w:val="3"/>
          </w:tcPr>
          <w:p>
            <w:pPr>
              <w:spacing w:after="0" w:line="230" w:lineRule="exact"/>
              <w:rPr>
                <w:sz w:val="20"/>
                <w:szCs w:val="20"/>
                <w:color w:val="auto"/>
              </w:rPr>
            </w:pPr>
            <w:r>
              <w:rPr>
                <w:rFonts w:ascii="Arial" w:cs="Arial" w:eastAsia="Arial" w:hAnsi="Arial"/>
                <w:sz w:val="18"/>
                <w:szCs w:val="18"/>
                <w:color w:val="auto"/>
              </w:rPr>
              <w:t xml:space="preserve">Current annual rent </w:t>
            </w:r>
            <w:r>
              <w:rPr>
                <w:rFonts w:ascii="Arial" w:cs="Arial" w:eastAsia="Arial" w:hAnsi="Arial"/>
                <w:sz w:val="23"/>
                <w:szCs w:val="23"/>
                <w:color w:val="auto"/>
                <w:vertAlign w:val="superscript"/>
              </w:rPr>
              <w:t>(1)</w:t>
            </w:r>
          </w:p>
        </w:tc>
        <w:tc>
          <w:tcPr>
            <w:tcW w:w="7620" w:type="dxa"/>
            <w:vAlign w:val="bottom"/>
          </w:tcPr>
          <w:p>
            <w:pPr>
              <w:ind w:left="20"/>
              <w:spacing w:after="0"/>
              <w:rPr>
                <w:sz w:val="20"/>
                <w:szCs w:val="20"/>
                <w:color w:val="auto"/>
              </w:rPr>
            </w:pPr>
            <w:r>
              <w:rPr>
                <w:rFonts w:ascii="Arial" w:cs="Arial" w:eastAsia="Arial" w:hAnsi="Arial"/>
                <w:sz w:val="18"/>
                <w:szCs w:val="18"/>
                <w:color w:val="auto"/>
              </w:rPr>
              <w:t>$250,000</w:t>
            </w:r>
          </w:p>
        </w:tc>
      </w:tr>
      <w:tr>
        <w:trPr>
          <w:trHeight w:val="229"/>
        </w:trPr>
        <w:tc>
          <w:tcPr>
            <w:tcW w:w="20" w:type="dxa"/>
            <w:vAlign w:val="bottom"/>
            <w:shd w:val="clear" w:color="auto" w:fill="CCEEFF"/>
          </w:tcPr>
          <w:p>
            <w:pPr>
              <w:spacing w:after="0"/>
              <w:rPr>
                <w:sz w:val="19"/>
                <w:szCs w:val="19"/>
                <w:color w:val="auto"/>
              </w:rPr>
            </w:pPr>
          </w:p>
        </w:tc>
        <w:tc>
          <w:tcPr>
            <w:tcW w:w="3600" w:type="dxa"/>
            <w:vAlign w:val="bottom"/>
            <w:gridSpan w:val="3"/>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Escalator commencement </w:t>
            </w:r>
            <w:r>
              <w:rPr>
                <w:rFonts w:ascii="Arial" w:cs="Arial" w:eastAsia="Arial" w:hAnsi="Arial"/>
                <w:sz w:val="23"/>
                <w:szCs w:val="23"/>
                <w:color w:val="auto"/>
                <w:vertAlign w:val="superscript"/>
              </w:rPr>
              <w:t>(2)</w:t>
            </w:r>
          </w:p>
        </w:tc>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year two</w:t>
            </w:r>
          </w:p>
        </w:tc>
      </w:tr>
      <w:tr>
        <w:trPr>
          <w:trHeight w:val="230"/>
        </w:trPr>
        <w:tc>
          <w:tcPr>
            <w:tcW w:w="20" w:type="dxa"/>
            <w:vAlign w:val="bottom"/>
          </w:tcPr>
          <w:p>
            <w:pPr>
              <w:spacing w:after="0"/>
              <w:rPr>
                <w:sz w:val="20"/>
                <w:szCs w:val="20"/>
                <w:color w:val="auto"/>
              </w:rPr>
            </w:pPr>
          </w:p>
        </w:tc>
        <w:tc>
          <w:tcPr>
            <w:tcW w:w="3600" w:type="dxa"/>
            <w:vAlign w:val="bottom"/>
            <w:gridSpan w:val="3"/>
          </w:tcPr>
          <w:p>
            <w:pPr>
              <w:ind w:left="120"/>
              <w:spacing w:after="0"/>
              <w:rPr>
                <w:sz w:val="20"/>
                <w:szCs w:val="20"/>
                <w:color w:val="auto"/>
              </w:rPr>
            </w:pPr>
            <w:r>
              <w:rPr>
                <w:rFonts w:ascii="Arial" w:cs="Arial" w:eastAsia="Arial" w:hAnsi="Arial"/>
                <w:sz w:val="18"/>
                <w:szCs w:val="18"/>
                <w:color w:val="auto"/>
              </w:rPr>
              <w:t>Escalator</w:t>
            </w:r>
          </w:p>
        </w:tc>
        <w:tc>
          <w:tcPr>
            <w:tcW w:w="7620" w:type="dxa"/>
            <w:vAlign w:val="bottom"/>
          </w:tcPr>
          <w:p>
            <w:pPr>
              <w:ind w:left="20"/>
              <w:spacing w:after="0"/>
              <w:rPr>
                <w:sz w:val="20"/>
                <w:szCs w:val="20"/>
                <w:color w:val="auto"/>
              </w:rPr>
            </w:pPr>
            <w:r>
              <w:rPr>
                <w:rFonts w:ascii="Arial" w:cs="Arial" w:eastAsia="Arial" w:hAnsi="Arial"/>
                <w:sz w:val="18"/>
                <w:szCs w:val="18"/>
                <w:color w:val="auto"/>
              </w:rPr>
              <w:t>The greater of 2.0% or the change in CPI capped at 3.0%</w:t>
            </w:r>
          </w:p>
        </w:tc>
      </w:tr>
      <w:tr>
        <w:trPr>
          <w:trHeight w:val="303"/>
        </w:trPr>
        <w:tc>
          <w:tcPr>
            <w:tcW w:w="3540" w:type="dxa"/>
            <w:vAlign w:val="bottom"/>
            <w:gridSpan w:val="3"/>
          </w:tcPr>
          <w:p>
            <w:pPr>
              <w:spacing w:after="0"/>
              <w:rPr>
                <w:sz w:val="20"/>
                <w:szCs w:val="20"/>
                <w:color w:val="auto"/>
              </w:rPr>
            </w:pPr>
            <w:r>
              <w:rPr>
                <w:rFonts w:ascii="Arial" w:cs="Arial" w:eastAsia="Arial" w:hAnsi="Arial"/>
                <w:sz w:val="18"/>
                <w:szCs w:val="18"/>
                <w:color w:val="auto"/>
              </w:rPr>
              <w:t>____________________</w:t>
            </w:r>
          </w:p>
        </w:tc>
        <w:tc>
          <w:tcPr>
            <w:tcW w:w="80" w:type="dxa"/>
            <w:vAlign w:val="bottom"/>
          </w:tcPr>
          <w:p>
            <w:pPr>
              <w:spacing w:after="0"/>
              <w:rPr>
                <w:sz w:val="24"/>
                <w:szCs w:val="24"/>
                <w:color w:val="auto"/>
              </w:rPr>
            </w:pPr>
          </w:p>
        </w:tc>
        <w:tc>
          <w:tcPr>
            <w:tcW w:w="7620" w:type="dxa"/>
            <w:vAlign w:val="bottom"/>
          </w:tcPr>
          <w:p>
            <w:pPr>
              <w:spacing w:after="0"/>
              <w:rPr>
                <w:sz w:val="24"/>
                <w:szCs w:val="24"/>
                <w:color w:val="auto"/>
              </w:rPr>
            </w:pPr>
          </w:p>
        </w:tc>
      </w:tr>
    </w:tbl>
    <w:p>
      <w:pPr>
        <w:ind w:left="220" w:hanging="212"/>
        <w:spacing w:after="0"/>
        <w:tabs>
          <w:tab w:leader="none" w:pos="220" w:val="left"/>
        </w:tabs>
        <w:numPr>
          <w:ilvl w:val="0"/>
          <w:numId w:val="85"/>
        </w:numPr>
        <w:rPr>
          <w:rFonts w:ascii="Arial" w:cs="Arial" w:eastAsia="Arial" w:hAnsi="Arial"/>
          <w:sz w:val="12"/>
          <w:szCs w:val="12"/>
          <w:i w:val="1"/>
          <w:iCs w:val="1"/>
          <w:color w:val="auto"/>
        </w:rPr>
      </w:pPr>
      <w:r>
        <w:rPr>
          <w:rFonts w:ascii="Arial" w:cs="Arial" w:eastAsia="Arial" w:hAnsi="Arial"/>
          <w:sz w:val="12"/>
          <w:szCs w:val="12"/>
          <w:i w:val="1"/>
          <w:iCs w:val="1"/>
          <w:color w:val="auto"/>
        </w:rPr>
        <w:t>The amount represents the current annual base rent payable for the current lease year, which is the period from February 23, 2022 through the date specified in the Venetian Lease Agreement.</w:t>
      </w:r>
    </w:p>
    <w:p>
      <w:pPr>
        <w:spacing w:after="0" w:line="24" w:lineRule="exact"/>
        <w:rPr>
          <w:rFonts w:ascii="Arial" w:cs="Arial" w:eastAsia="Arial" w:hAnsi="Arial"/>
          <w:sz w:val="12"/>
          <w:szCs w:val="12"/>
          <w:i w:val="1"/>
          <w:iCs w:val="1"/>
          <w:color w:val="auto"/>
        </w:rPr>
      </w:pPr>
    </w:p>
    <w:p>
      <w:pPr>
        <w:ind w:right="20" w:firstLine="8"/>
        <w:spacing w:after="0" w:line="255" w:lineRule="auto"/>
        <w:tabs>
          <w:tab w:leader="none" w:pos="206" w:val="left"/>
        </w:tabs>
        <w:numPr>
          <w:ilvl w:val="0"/>
          <w:numId w:val="85"/>
        </w:numPr>
        <w:rPr>
          <w:rFonts w:ascii="Arial" w:cs="Arial" w:eastAsia="Arial" w:hAnsi="Arial"/>
          <w:sz w:val="14"/>
          <w:szCs w:val="14"/>
          <w:i w:val="1"/>
          <w:iCs w:val="1"/>
          <w:color w:val="auto"/>
        </w:rPr>
      </w:pPr>
      <w:r>
        <w:rPr>
          <w:rFonts w:ascii="Arial" w:cs="Arial" w:eastAsia="Arial" w:hAnsi="Arial"/>
          <w:sz w:val="14"/>
          <w:szCs w:val="14"/>
          <w:i w:val="1"/>
          <w:iCs w:val="1"/>
          <w:color w:val="auto"/>
        </w:rPr>
        <w:t>Lease year two will begin on the earlier of (i) March 1, 2024 and (ii) the first day of the first month following the month in which the net revenue of the Venetian Resort for the trailing twelve months equals or exceeds 2019 net revenue.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 Requirements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manage our residual asset risk through protective covenants in our Lease Agreements, which require the tenant to, among other things, hold specific insurance coverage, engage in ongoing maintenance of the property and invest in capital improvements. With respect to the capital improvements, the Lease Agreements specify certain minimum amounts that our tenants must spend on capital expenditures that constitute installation, restoration and repair or other improvements of items with respect to the leased properties.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capital expenditure requirements of the respective tenants under the Caesars Lease Agreements:</w:t>
      </w:r>
    </w:p>
    <w:p>
      <w:pPr>
        <w:sectPr>
          <w:pgSz w:w="11900" w:h="16838" w:orient="portrait"/>
          <w:cols w:equalWidth="0" w:num="1">
            <w:col w:w="11240"/>
          </w:cols>
          <w:pgMar w:left="320" w:top="179" w:right="339" w:bottom="1440" w:gutter="0" w:footer="0" w:header="0"/>
        </w:sectPr>
      </w:pP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vMerge w:val="restart"/>
          </w:tcPr>
          <w:p>
            <w:pPr>
              <w:ind w:left="1260"/>
              <w:spacing w:after="0"/>
              <w:rPr>
                <w:sz w:val="20"/>
                <w:szCs w:val="20"/>
                <w:color w:val="auto"/>
              </w:rPr>
            </w:pPr>
            <w:r>
              <w:rPr>
                <w:rFonts w:ascii="Arial" w:cs="Arial" w:eastAsia="Arial" w:hAnsi="Arial"/>
                <w:sz w:val="18"/>
                <w:szCs w:val="18"/>
                <w:b w:val="1"/>
                <w:bCs w:val="1"/>
                <w:color w:val="auto"/>
              </w:rPr>
              <w:t>Provision</w:t>
            </w:r>
          </w:p>
        </w:tc>
        <w:tc>
          <w:tcPr>
            <w:tcW w:w="100" w:type="dxa"/>
            <w:vAlign w:val="bottom"/>
            <w:vMerge w:val="restart"/>
          </w:tcPr>
          <w:p>
            <w:pPr>
              <w:spacing w:after="0"/>
              <w:rPr>
                <w:sz w:val="18"/>
                <w:szCs w:val="18"/>
                <w:color w:val="auto"/>
              </w:rPr>
            </w:pPr>
          </w:p>
        </w:tc>
        <w:tc>
          <w:tcPr>
            <w:tcW w:w="3860" w:type="dxa"/>
            <w:vAlign w:val="bottom"/>
          </w:tcPr>
          <w:p>
            <w:pPr>
              <w:jc w:val="center"/>
              <w:spacing w:after="0"/>
              <w:rPr>
                <w:sz w:val="20"/>
                <w:szCs w:val="20"/>
                <w:color w:val="auto"/>
              </w:rPr>
            </w:pPr>
            <w:r>
              <w:rPr>
                <w:rFonts w:ascii="Arial" w:cs="Arial" w:eastAsia="Arial" w:hAnsi="Arial"/>
                <w:sz w:val="18"/>
                <w:szCs w:val="18"/>
                <w:b w:val="1"/>
                <w:bCs w:val="1"/>
                <w:color w:val="auto"/>
                <w:w w:val="90"/>
              </w:rPr>
              <w:t>Regional Master Lease Agreement and Joliet</w:t>
            </w:r>
          </w:p>
        </w:tc>
        <w:tc>
          <w:tcPr>
            <w:tcW w:w="0" w:type="dxa"/>
            <w:vAlign w:val="bottom"/>
          </w:tcPr>
          <w:p>
            <w:pPr>
              <w:spacing w:after="0"/>
              <w:rPr>
                <w:sz w:val="1"/>
                <w:szCs w:val="1"/>
                <w:color w:val="auto"/>
              </w:rPr>
            </w:pPr>
          </w:p>
        </w:tc>
      </w:tr>
      <w:tr>
        <w:trPr>
          <w:trHeight w:val="230"/>
        </w:trPr>
        <w:tc>
          <w:tcPr>
            <w:tcW w:w="32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Lease Agreement</w:t>
            </w:r>
          </w:p>
        </w:tc>
        <w:tc>
          <w:tcPr>
            <w:tcW w:w="0" w:type="dxa"/>
            <w:vAlign w:val="bottom"/>
          </w:tcPr>
          <w:p>
            <w:pPr>
              <w:spacing w:after="0"/>
              <w:rPr>
                <w:sz w:val="1"/>
                <w:szCs w:val="1"/>
                <w:color w:val="auto"/>
              </w:rPr>
            </w:pPr>
          </w:p>
        </w:tc>
      </w:tr>
      <w:tr>
        <w:trPr>
          <w:trHeight w:val="373"/>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Yearly minimum expenditure</w:t>
            </w:r>
          </w:p>
        </w:tc>
        <w:tc>
          <w:tcPr>
            <w:tcW w:w="3860" w:type="dxa"/>
            <w:vAlign w:val="bottom"/>
          </w:tcPr>
          <w:p>
            <w:pPr>
              <w:jc w:val="center"/>
              <w:spacing w:after="0"/>
              <w:rPr>
                <w:sz w:val="20"/>
                <w:szCs w:val="20"/>
                <w:color w:val="auto"/>
              </w:rPr>
            </w:pPr>
            <w:r>
              <w:rPr>
                <w:rFonts w:ascii="Arial" w:cs="Arial" w:eastAsia="Arial" w:hAnsi="Arial"/>
                <w:sz w:val="18"/>
                <w:szCs w:val="18"/>
                <w:color w:val="auto"/>
                <w:w w:val="87"/>
              </w:rPr>
              <w:t xml:space="preserve">1% of net revenues </w:t>
            </w:r>
            <w:r>
              <w:rPr>
                <w:rFonts w:ascii="Arial" w:cs="Arial" w:eastAsia="Arial" w:hAnsi="Arial"/>
                <w:sz w:val="23"/>
                <w:szCs w:val="23"/>
                <w:i w:val="1"/>
                <w:iCs w:val="1"/>
                <w:color w:val="auto"/>
                <w:w w:val="87"/>
                <w:vertAlign w:val="superscript"/>
              </w:rPr>
              <w:t>(1)</w:t>
            </w:r>
          </w:p>
        </w:tc>
        <w:tc>
          <w:tcPr>
            <w:tcW w:w="0" w:type="dxa"/>
            <w:vAlign w:val="bottom"/>
          </w:tcPr>
          <w:p>
            <w:pPr>
              <w:spacing w:after="0"/>
              <w:rPr>
                <w:sz w:val="1"/>
                <w:szCs w:val="1"/>
                <w:color w:val="auto"/>
              </w:rPr>
            </w:pPr>
          </w:p>
        </w:tc>
      </w:tr>
      <w:tr>
        <w:trPr>
          <w:trHeight w:val="324"/>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 xml:space="preserve">Rolling three-year minimum </w:t>
            </w:r>
            <w:r>
              <w:rPr>
                <w:rFonts w:ascii="Arial" w:cs="Arial" w:eastAsia="Arial" w:hAnsi="Arial"/>
                <w:sz w:val="23"/>
                <w:szCs w:val="23"/>
                <w:i w:val="1"/>
                <w:iCs w:val="1"/>
                <w:color w:val="auto"/>
                <w:vertAlign w:val="superscript"/>
              </w:rPr>
              <w:t>(2)</w:t>
            </w:r>
          </w:p>
        </w:tc>
        <w:tc>
          <w:tcPr>
            <w:tcW w:w="3860" w:type="dxa"/>
            <w:vAlign w:val="bottom"/>
          </w:tcPr>
          <w:p>
            <w:pPr>
              <w:jc w:val="center"/>
              <w:spacing w:after="0"/>
              <w:rPr>
                <w:sz w:val="20"/>
                <w:szCs w:val="20"/>
                <w:color w:val="auto"/>
              </w:rPr>
            </w:pPr>
            <w:r>
              <w:rPr>
                <w:rFonts w:ascii="Arial" w:cs="Arial" w:eastAsia="Arial" w:hAnsi="Arial"/>
                <w:sz w:val="18"/>
                <w:szCs w:val="18"/>
                <w:color w:val="auto"/>
                <w:w w:val="95"/>
              </w:rPr>
              <w:t>$311 million</w:t>
            </w:r>
          </w:p>
        </w:tc>
        <w:tc>
          <w:tcPr>
            <w:tcW w:w="0" w:type="dxa"/>
            <w:vAlign w:val="bottom"/>
          </w:tcPr>
          <w:p>
            <w:pPr>
              <w:spacing w:after="0"/>
              <w:rPr>
                <w:sz w:val="1"/>
                <w:szCs w:val="1"/>
                <w:color w:val="auto"/>
              </w:rPr>
            </w:pPr>
          </w:p>
        </w:tc>
      </w:tr>
      <w:tr>
        <w:trPr>
          <w:trHeight w:val="336"/>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Initial minimum capital expenditure</w:t>
            </w:r>
          </w:p>
        </w:tc>
        <w:tc>
          <w:tcPr>
            <w:tcW w:w="386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97"/>
        </w:trPr>
        <w:tc>
          <w:tcPr>
            <w:tcW w:w="3240" w:type="dxa"/>
            <w:vAlign w:val="bottom"/>
          </w:tcPr>
          <w:p>
            <w:pPr>
              <w:spacing w:after="0"/>
              <w:rPr>
                <w:sz w:val="20"/>
                <w:szCs w:val="20"/>
                <w:color w:val="auto"/>
              </w:rPr>
            </w:pPr>
            <w:r>
              <w:rPr>
                <w:rFonts w:ascii="Arial" w:cs="Arial" w:eastAsia="Arial" w:hAnsi="Arial"/>
                <w:sz w:val="18"/>
                <w:szCs w:val="18"/>
                <w:color w:val="auto"/>
              </w:rPr>
              <w:t>____________________</w:t>
            </w:r>
          </w:p>
        </w:tc>
        <w:tc>
          <w:tcPr>
            <w:tcW w:w="1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7115175" cy="2571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7">
                      <a:extLst>
                        <a:ext uri="{28A0092B-C50C-407E-A947-70E740481C1C}"/>
                      </a:extLst>
                    </a:blip>
                    <a:srcRect/>
                    <a:stretch>
                      <a:fillRect/>
                    </a:stretch>
                  </pic:blipFill>
                  <pic:spPr bwMode="auto">
                    <a:xfrm>
                      <a:off x="0" y="0"/>
                      <a:ext cx="7115175"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-856615</wp:posOffset>
            </wp:positionV>
            <wp:extent cx="7115175" cy="2654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8">
                      <a:extLst>
                        <a:ext uri="{28A0092B-C50C-407E-A947-70E740481C1C}"/>
                      </a:extLst>
                    </a:blip>
                    <a:srcRect/>
                    <a:stretch>
                      <a:fillRect/>
                    </a:stretch>
                  </pic:blipFill>
                  <pic:spPr bwMode="auto">
                    <a:xfrm>
                      <a:off x="0" y="0"/>
                      <a:ext cx="7115175" cy="265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Las Vegas Master Lease Agreement</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1% of net revenues for CPLV (commencing in 2022</w:t>
      </w:r>
    </w:p>
    <w:p>
      <w:pPr>
        <w:ind w:left="1020"/>
        <w:spacing w:after="0" w:line="218" w:lineRule="auto"/>
        <w:rPr>
          <w:sz w:val="20"/>
          <w:szCs w:val="20"/>
          <w:color w:val="auto"/>
        </w:rPr>
      </w:pPr>
      <w:r>
        <w:rPr>
          <w:rFonts w:ascii="Arial" w:cs="Arial" w:eastAsia="Arial" w:hAnsi="Arial"/>
          <w:sz w:val="18"/>
          <w:szCs w:val="18"/>
          <w:color w:val="auto"/>
        </w:rPr>
        <w:t xml:space="preserve">with respect to HLV) </w:t>
      </w:r>
      <w:r>
        <w:rPr>
          <w:rFonts w:ascii="Arial" w:cs="Arial" w:eastAsia="Arial" w:hAnsi="Arial"/>
          <w:sz w:val="23"/>
          <w:szCs w:val="23"/>
          <w:i w:val="1"/>
          <w:iCs w:val="1"/>
          <w:color w:val="auto"/>
          <w:vertAlign w:val="superscript"/>
        </w:rPr>
        <w:t>(1)</w:t>
      </w:r>
    </w:p>
    <w:p>
      <w:pPr>
        <w:spacing w:after="0" w:line="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$84 million</w:t>
      </w:r>
    </w:p>
    <w:p>
      <w:pPr>
        <w:spacing w:after="0" w:line="3" w:lineRule="exact"/>
        <w:rPr>
          <w:sz w:val="20"/>
          <w:szCs w:val="20"/>
          <w:color w:val="auto"/>
        </w:rPr>
      </w:pPr>
    </w:p>
    <w:p>
      <w:pPr>
        <w:ind w:left="80"/>
        <w:spacing w:after="0"/>
        <w:rPr>
          <w:sz w:val="20"/>
          <w:szCs w:val="20"/>
          <w:color w:val="auto"/>
        </w:rPr>
      </w:pPr>
      <w:r>
        <w:rPr>
          <w:rFonts w:ascii="Arial" w:cs="Arial" w:eastAsia="Arial" w:hAnsi="Arial"/>
          <w:sz w:val="17"/>
          <w:szCs w:val="17"/>
          <w:color w:val="auto"/>
        </w:rPr>
        <w:t>$171 million (2017 - 2021) (with respect solely to</w:t>
      </w:r>
    </w:p>
    <w:p>
      <w:pPr>
        <w:jc w:val="center"/>
        <w:ind w:right="100"/>
        <w:spacing w:after="0"/>
        <w:rPr>
          <w:sz w:val="20"/>
          <w:szCs w:val="20"/>
          <w:color w:val="auto"/>
        </w:rPr>
      </w:pPr>
      <w:r>
        <w:rPr>
          <w:rFonts w:ascii="Arial" w:cs="Arial" w:eastAsia="Arial" w:hAnsi="Arial"/>
          <w:sz w:val="18"/>
          <w:szCs w:val="18"/>
          <w:color w:val="auto"/>
        </w:rPr>
        <w:t>HLV)</w:t>
      </w:r>
    </w:p>
    <w:p>
      <w:pPr>
        <w:spacing w:after="0" w:line="339" w:lineRule="exact"/>
        <w:rPr>
          <w:sz w:val="20"/>
          <w:szCs w:val="20"/>
          <w:color w:val="auto"/>
        </w:rPr>
      </w:pPr>
    </w:p>
    <w:p>
      <w:pPr>
        <w:sectPr>
          <w:pgSz w:w="11900" w:h="16838" w:orient="portrait"/>
          <w:cols w:equalWidth="0" w:num="2">
            <w:col w:w="7200" w:space="180"/>
            <w:col w:w="3860"/>
          </w:cols>
          <w:pgMar w:left="320" w:top="179" w:right="339" w:bottom="1440" w:gutter="0" w:footer="0" w:header="0"/>
          <w:type w:val="continuous"/>
        </w:sectPr>
      </w:pPr>
    </w:p>
    <w:p>
      <w:pPr>
        <w:ind w:firstLine="8"/>
        <w:spacing w:after="0" w:line="250" w:lineRule="auto"/>
        <w:tabs>
          <w:tab w:leader="none" w:pos="226" w:val="left"/>
        </w:tabs>
        <w:numPr>
          <w:ilvl w:val="0"/>
          <w:numId w:val="86"/>
        </w:numPr>
        <w:rPr>
          <w:rFonts w:ascii="Arial" w:cs="Arial" w:eastAsia="Arial" w:hAnsi="Arial"/>
          <w:sz w:val="14"/>
          <w:szCs w:val="14"/>
          <w:i w:val="1"/>
          <w:iCs w:val="1"/>
          <w:color w:val="auto"/>
        </w:rPr>
      </w:pPr>
      <w:r>
        <w:rPr>
          <w:rFonts w:ascii="Arial" w:cs="Arial" w:eastAsia="Arial" w:hAnsi="Arial"/>
          <w:sz w:val="14"/>
          <w:szCs w:val="14"/>
          <w:i w:val="1"/>
          <w:iCs w:val="1"/>
          <w:color w:val="auto"/>
        </w:rPr>
        <w:t>The lease agreements require a $114.5 million floor on annual capital expenditures for Caesars Palace Las Vegas, Joliet and the Regional Master Lease Agreement properties in the aggregate. Additionally, annual building &amp; improvement capital improvements must be equal to or greater than 1% of prior year net revenues.</w:t>
      </w:r>
    </w:p>
    <w:p>
      <w:pPr>
        <w:jc w:val="both"/>
        <w:ind w:firstLine="8"/>
        <w:spacing w:after="0" w:line="244" w:lineRule="auto"/>
        <w:tabs>
          <w:tab w:leader="none" w:pos="216" w:val="left"/>
        </w:tabs>
        <w:numPr>
          <w:ilvl w:val="0"/>
          <w:numId w:val="86"/>
        </w:numPr>
        <w:rPr>
          <w:rFonts w:ascii="Arial" w:cs="Arial" w:eastAsia="Arial" w:hAnsi="Arial"/>
          <w:sz w:val="14"/>
          <w:szCs w:val="14"/>
          <w:i w:val="1"/>
          <w:iCs w:val="1"/>
          <w:color w:val="auto"/>
        </w:rPr>
      </w:pPr>
      <w:r>
        <w:rPr>
          <w:rFonts w:ascii="Arial" w:cs="Arial" w:eastAsia="Arial" w:hAnsi="Arial"/>
          <w:sz w:val="14"/>
          <w:szCs w:val="14"/>
          <w:i w:val="1"/>
          <w:iCs w:val="1"/>
          <w:color w:val="auto"/>
        </w:rPr>
        <w:t>Certain tenants under the Caesars Lease Agreements, as applicable, are required to spend $380.3 million on capital expenditures (excluding gaming equipment) over a rolling three-year period, with $286.0 million allocated to the regional assets, $84.0 million allocated to Caesars Palace Las Vegas and the remaining balance of $10.3 million to facilities (other than the Harrah’s Las Vegas Facility) covered by any Caesars Lease Agreement in such proportion as such tenants may elect. Additionally, the tenants under the Regional Master Lease Agreement and Joliet Lease Agreement are required to expend a minimum of $537.5 million on capital expenditures (including gaming equipment) across certain of its affiliates and other assets, together with the $380.3 million requirement.</w:t>
      </w:r>
    </w:p>
    <w:p>
      <w:pPr>
        <w:spacing w:after="0" w:line="1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ongoing COVID-19 pandemic and its impact on operations and financial performance, we entered into an Omnibus Amendment to Leases with Pre-Merger Caesars on June 1, 2020 to provide limited relief with respect to a portion of their capital expenditure obligations under the Las Vegas Master Lease Agreement, the Regional Master Lease Agreement and the Joliet Lease Agreement (which relief was subsequently adjusted on October 27, 2020 to provide for a proportionate adjustment to account for the addition of the Harrah’s Original Call Properties to the Regional Master Lease Agreement). This relief is conditioned upon (i) funding by Caesars of certain minimum capital expenditures in fiscal year 2020 (which represent a reduction of the minimum capital expenditure amounts currently set forth in the Caesars Lease Agreements), (ii) timely payment of Caesars’ rent obligations under the Caesars Lease Agreements during the compliance period set forth in the amendment, and (iii) no tenant event of default occurring under any of the Caesars Lease Agreements during the compliance period set forth in the amendment. Caesars will receive credit for certain deemed capital expenditure amounts, which credit may</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117" w:name="page118"/>
    <w:bookmarkEnd w:id="1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be used to satisfy certain of their capital expenditure obligations in the 2020, 2021 and 2022 fiscal years, provided that the foregoing conditions are satisfied. If Caesars fails to satisfy any of the foregoing conditions, Caesars will be required to satisfy the capital expenditure obligations currently set forth in the Las Vegas Master Lease Agreement, the Regional Master Lease Agreement and the Joliet Lease Agreement or, in certain cases, to deposit amounts in respect thereof into a capital expenditure reserve in accordance with the Omnibus Amendment.</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 summarizes the capital expenditure requirements of the respective tenants under the Penn National Lease Agreements, Hard Rock Cincinnati Lease Agreement, Century Portfolio Lease Agreement, JACK Cleveland/Thistledown Lease Agreement and EBCI Lease Agreement: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0"/>
              </w:rPr>
              <w:t>Penn National Lease</w:t>
            </w:r>
          </w:p>
        </w:tc>
        <w:tc>
          <w:tcPr>
            <w:tcW w:w="16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Hard Rock</w:t>
            </w:r>
          </w:p>
        </w:tc>
        <w:tc>
          <w:tcPr>
            <w:tcW w:w="14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4"/>
              </w:rPr>
              <w:t>Century Portfolio</w:t>
            </w: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JACK</w:t>
            </w: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5"/>
              </w:rPr>
              <w:t>EBCI Lease</w:t>
            </w:r>
          </w:p>
        </w:tc>
        <w:tc>
          <w:tcPr>
            <w:tcW w:w="15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Venetian Lease</w:t>
            </w:r>
          </w:p>
        </w:tc>
        <w:tc>
          <w:tcPr>
            <w:tcW w:w="0" w:type="dxa"/>
            <w:vAlign w:val="bottom"/>
          </w:tcPr>
          <w:p>
            <w:pPr>
              <w:spacing w:after="0"/>
              <w:rPr>
                <w:sz w:val="1"/>
                <w:szCs w:val="1"/>
                <w:color w:val="auto"/>
              </w:rPr>
            </w:pPr>
          </w:p>
        </w:tc>
      </w:tr>
      <w:tr>
        <w:trPr>
          <w:trHeight w:val="162"/>
        </w:trPr>
        <w:tc>
          <w:tcPr>
            <w:tcW w:w="1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Provision</w:t>
            </w:r>
          </w:p>
        </w:tc>
        <w:tc>
          <w:tcPr>
            <w:tcW w:w="120" w:type="dxa"/>
            <w:vAlign w:val="bottom"/>
            <w:vMerge w:val="restart"/>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66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1"/>
              </w:rPr>
              <w:t>Cincinnati Lease</w:t>
            </w:r>
          </w:p>
        </w:tc>
        <w:tc>
          <w:tcPr>
            <w:tcW w:w="1480" w:type="dxa"/>
            <w:vAlign w:val="bottom"/>
            <w:gridSpan w:val="2"/>
            <w:vMerge w:val="continue"/>
          </w:tcPr>
          <w:p>
            <w:pPr>
              <w:spacing w:after="0"/>
              <w:rPr>
                <w:sz w:val="14"/>
                <w:szCs w:val="14"/>
                <w:color w:val="auto"/>
              </w:rPr>
            </w:pPr>
          </w:p>
        </w:tc>
        <w:tc>
          <w:tcPr>
            <w:tcW w:w="19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1"/>
              </w:rPr>
              <w:t>Cleveland/Thistledown</w:t>
            </w:r>
          </w:p>
        </w:tc>
        <w:tc>
          <w:tcPr>
            <w:tcW w:w="1580" w:type="dxa"/>
            <w:vAlign w:val="bottom"/>
            <w:gridSpan w:val="2"/>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24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Agreements</w:t>
            </w:r>
          </w:p>
        </w:tc>
        <w:tc>
          <w:tcPr>
            <w:tcW w:w="100" w:type="dxa"/>
            <w:vAlign w:val="bottom"/>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Agreement</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Lease Agreement</w:t>
            </w:r>
          </w:p>
        </w:tc>
        <w:tc>
          <w:tcPr>
            <w:tcW w:w="120" w:type="dxa"/>
            <w:vAlign w:val="bottom"/>
          </w:tcPr>
          <w:p>
            <w:pPr>
              <w:spacing w:after="0"/>
              <w:rPr>
                <w:sz w:val="18"/>
                <w:szCs w:val="18"/>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Lease Agreement</w:t>
            </w: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Agreement</w:t>
            </w:r>
          </w:p>
        </w:tc>
        <w:tc>
          <w:tcPr>
            <w:tcW w:w="80" w:type="dxa"/>
            <w:vAlign w:val="bottom"/>
          </w:tcPr>
          <w:p>
            <w:pPr>
              <w:spacing w:after="0"/>
              <w:rPr>
                <w:sz w:val="18"/>
                <w:szCs w:val="18"/>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Agreement</w:t>
            </w:r>
          </w:p>
        </w:tc>
        <w:tc>
          <w:tcPr>
            <w:tcW w:w="0" w:type="dxa"/>
            <w:vAlign w:val="bottom"/>
          </w:tcPr>
          <w:p>
            <w:pPr>
              <w:spacing w:after="0"/>
              <w:rPr>
                <w:sz w:val="1"/>
                <w:szCs w:val="1"/>
                <w:color w:val="auto"/>
              </w:rPr>
            </w:pPr>
          </w:p>
        </w:tc>
      </w:tr>
      <w:tr>
        <w:trPr>
          <w:trHeight w:val="169"/>
        </w:trPr>
        <w:tc>
          <w:tcPr>
            <w:tcW w:w="1360" w:type="dxa"/>
            <w:vAlign w:val="bottom"/>
            <w:gridSpan w:val="2"/>
            <w:vMerge w:val="restart"/>
          </w:tcPr>
          <w:p>
            <w:pPr>
              <w:ind w:left="20"/>
              <w:spacing w:after="0"/>
              <w:rPr>
                <w:sz w:val="20"/>
                <w:szCs w:val="20"/>
                <w:color w:val="auto"/>
              </w:rPr>
            </w:pPr>
            <w:r>
              <w:rPr>
                <w:rFonts w:ascii="Arial" w:cs="Arial" w:eastAsia="Arial" w:hAnsi="Arial"/>
                <w:sz w:val="18"/>
                <w:szCs w:val="18"/>
                <w:color w:val="auto"/>
              </w:rPr>
              <w:t>Yearly</w:t>
            </w:r>
          </w:p>
        </w:tc>
        <w:tc>
          <w:tcPr>
            <w:tcW w:w="17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8"/>
              </w:rPr>
              <w:t>1% of net revenues</w:t>
            </w: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jc w:val="center"/>
              <w:spacing w:after="0" w:line="169" w:lineRule="exact"/>
              <w:rPr>
                <w:sz w:val="20"/>
                <w:szCs w:val="20"/>
                <w:color w:val="auto"/>
              </w:rPr>
            </w:pPr>
            <w:r>
              <w:rPr>
                <w:rFonts w:ascii="Arial" w:cs="Arial" w:eastAsia="Arial" w:hAnsi="Arial"/>
                <w:sz w:val="18"/>
                <w:szCs w:val="18"/>
                <w:color w:val="auto"/>
                <w:w w:val="97"/>
              </w:rPr>
              <w:t>Initial minimum of $30</w:t>
            </w: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88"/>
              </w:rPr>
              <w:t>2% of net revenues</w:t>
            </w:r>
          </w:p>
        </w:tc>
        <w:tc>
          <w:tcPr>
            <w:tcW w:w="0" w:type="dxa"/>
            <w:vAlign w:val="bottom"/>
          </w:tcPr>
          <w:p>
            <w:pPr>
              <w:spacing w:after="0"/>
              <w:rPr>
                <w:sz w:val="1"/>
                <w:szCs w:val="1"/>
                <w:color w:val="auto"/>
              </w:rPr>
            </w:pPr>
          </w:p>
        </w:tc>
      </w:tr>
      <w:tr>
        <w:trPr>
          <w:trHeight w:val="176"/>
        </w:trPr>
        <w:tc>
          <w:tcPr>
            <w:tcW w:w="1360" w:type="dxa"/>
            <w:vAlign w:val="bottom"/>
            <w:gridSpan w:val="2"/>
            <w:vMerge w:val="continue"/>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1"/>
              </w:rPr>
              <w:t>1% of net gaming</w:t>
            </w:r>
          </w:p>
        </w:tc>
        <w:tc>
          <w:tcPr>
            <w:tcW w:w="1920" w:type="dxa"/>
            <w:vAlign w:val="bottom"/>
            <w:gridSpan w:val="2"/>
          </w:tcPr>
          <w:p>
            <w:pPr>
              <w:jc w:val="center"/>
              <w:ind w:right="100"/>
              <w:spacing w:after="0" w:line="176" w:lineRule="exact"/>
              <w:rPr>
                <w:sz w:val="20"/>
                <w:szCs w:val="20"/>
                <w:color w:val="auto"/>
              </w:rPr>
            </w:pPr>
            <w:r>
              <w:rPr>
                <w:rFonts w:ascii="Arial" w:cs="Arial" w:eastAsia="Arial" w:hAnsi="Arial"/>
                <w:sz w:val="16"/>
                <w:szCs w:val="16"/>
                <w:color w:val="auto"/>
              </w:rPr>
              <w:t xml:space="preserve">million </w:t>
            </w:r>
            <w:r>
              <w:rPr>
                <w:rFonts w:ascii="Arial" w:cs="Arial" w:eastAsia="Arial" w:hAnsi="Arial"/>
                <w:sz w:val="20"/>
                <w:szCs w:val="20"/>
                <w:color w:val="auto"/>
                <w:vertAlign w:val="superscript"/>
              </w:rPr>
              <w:t>(2)</w:t>
            </w: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360" w:type="dxa"/>
            <w:vAlign w:val="bottom"/>
            <w:gridSpan w:val="2"/>
            <w:vMerge w:val="restart"/>
          </w:tcPr>
          <w:p>
            <w:pPr>
              <w:ind w:left="20"/>
              <w:spacing w:after="0"/>
              <w:rPr>
                <w:sz w:val="20"/>
                <w:szCs w:val="20"/>
                <w:color w:val="auto"/>
              </w:rPr>
            </w:pPr>
            <w:r>
              <w:rPr>
                <w:rFonts w:ascii="Arial" w:cs="Arial" w:eastAsia="Arial" w:hAnsi="Arial"/>
                <w:sz w:val="18"/>
                <w:szCs w:val="18"/>
                <w:color w:val="auto"/>
              </w:rPr>
              <w:t>minimum</w:t>
            </w:r>
          </w:p>
        </w:tc>
        <w:tc>
          <w:tcPr>
            <w:tcW w:w="17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3"/>
              </w:rPr>
              <w:t>based on rolling four-</w:t>
            </w: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88"/>
              </w:rPr>
              <w:t>1% of net revenues</w:t>
            </w:r>
          </w:p>
        </w:tc>
        <w:tc>
          <w:tcPr>
            <w:tcW w:w="1480" w:type="dxa"/>
            <w:vAlign w:val="bottom"/>
            <w:gridSpan w:val="2"/>
            <w:vMerge w:val="continue"/>
          </w:tcPr>
          <w:p>
            <w:pPr>
              <w:spacing w:after="0"/>
              <w:rPr>
                <w:sz w:val="7"/>
                <w:szCs w:val="7"/>
                <w:color w:val="auto"/>
              </w:rPr>
            </w:pPr>
          </w:p>
        </w:tc>
        <w:tc>
          <w:tcPr>
            <w:tcW w:w="19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0"/>
              </w:rPr>
              <w:t>Thereafter - 1% of net</w:t>
            </w:r>
          </w:p>
        </w:tc>
        <w:tc>
          <w:tcPr>
            <w:tcW w:w="158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88"/>
              </w:rPr>
              <w:t>1% of net revenues</w:t>
            </w: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1"/>
              </w:rPr>
              <w:t>based on rolling</w:t>
            </w:r>
          </w:p>
        </w:tc>
        <w:tc>
          <w:tcPr>
            <w:tcW w:w="0" w:type="dxa"/>
            <w:vAlign w:val="bottom"/>
          </w:tcPr>
          <w:p>
            <w:pPr>
              <w:spacing w:after="0"/>
              <w:rPr>
                <w:sz w:val="1"/>
                <w:szCs w:val="1"/>
                <w:color w:val="auto"/>
              </w:rPr>
            </w:pPr>
          </w:p>
        </w:tc>
      </w:tr>
      <w:tr>
        <w:trPr>
          <w:trHeight w:val="175"/>
        </w:trPr>
        <w:tc>
          <w:tcPr>
            <w:tcW w:w="1360" w:type="dxa"/>
            <w:vAlign w:val="bottom"/>
            <w:gridSpan w:val="2"/>
            <w:vMerge w:val="continue"/>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480" w:type="dxa"/>
            <w:vAlign w:val="bottom"/>
            <w:gridSpan w:val="2"/>
          </w:tcPr>
          <w:p>
            <w:pPr>
              <w:jc w:val="center"/>
              <w:ind w:right="100"/>
              <w:spacing w:after="0" w:line="176" w:lineRule="exact"/>
              <w:rPr>
                <w:sz w:val="20"/>
                <w:szCs w:val="20"/>
                <w:color w:val="auto"/>
              </w:rPr>
            </w:pPr>
            <w:r>
              <w:rPr>
                <w:rFonts w:ascii="Arial" w:cs="Arial" w:eastAsia="Arial" w:hAnsi="Arial"/>
                <w:sz w:val="16"/>
                <w:szCs w:val="16"/>
                <w:color w:val="auto"/>
                <w:w w:val="94"/>
              </w:rPr>
              <w:t xml:space="preserve">revenues </w:t>
            </w:r>
            <w:r>
              <w:rPr>
                <w:rFonts w:ascii="Arial" w:cs="Arial" w:eastAsia="Arial" w:hAnsi="Arial"/>
                <w:sz w:val="20"/>
                <w:szCs w:val="20"/>
                <w:color w:val="auto"/>
                <w:w w:val="94"/>
                <w:vertAlign w:val="superscript"/>
              </w:rPr>
              <w:t>(1)</w:t>
            </w:r>
          </w:p>
        </w:tc>
        <w:tc>
          <w:tcPr>
            <w:tcW w:w="1920" w:type="dxa"/>
            <w:vAlign w:val="bottom"/>
            <w:gridSpan w:val="2"/>
            <w:vMerge w:val="continue"/>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1360" w:type="dxa"/>
            <w:vAlign w:val="bottom"/>
            <w:gridSpan w:val="2"/>
          </w:tcPr>
          <w:p>
            <w:pPr>
              <w:ind w:left="20"/>
              <w:spacing w:after="0" w:line="110" w:lineRule="exact"/>
              <w:rPr>
                <w:sz w:val="20"/>
                <w:szCs w:val="20"/>
                <w:color w:val="auto"/>
              </w:rPr>
            </w:pPr>
            <w:r>
              <w:rPr>
                <w:rFonts w:ascii="Arial" w:cs="Arial" w:eastAsia="Arial" w:hAnsi="Arial"/>
                <w:sz w:val="12"/>
                <w:szCs w:val="12"/>
                <w:color w:val="auto"/>
              </w:rPr>
              <w:t>expenditure</w:t>
            </w:r>
          </w:p>
        </w:tc>
        <w:tc>
          <w:tcPr>
            <w:tcW w:w="1720" w:type="dxa"/>
            <w:vAlign w:val="bottom"/>
            <w:gridSpan w:val="2"/>
          </w:tcPr>
          <w:p>
            <w:pPr>
              <w:jc w:val="center"/>
              <w:ind w:right="100"/>
              <w:spacing w:after="0" w:line="110" w:lineRule="exact"/>
              <w:rPr>
                <w:sz w:val="20"/>
                <w:szCs w:val="20"/>
                <w:color w:val="auto"/>
              </w:rPr>
            </w:pPr>
            <w:r>
              <w:rPr>
                <w:rFonts w:ascii="Arial" w:cs="Arial" w:eastAsia="Arial" w:hAnsi="Arial"/>
                <w:sz w:val="12"/>
                <w:szCs w:val="12"/>
                <w:color w:val="auto"/>
              </w:rPr>
              <w:t>year basis</w:t>
            </w:r>
          </w:p>
        </w:tc>
        <w:tc>
          <w:tcPr>
            <w:tcW w:w="1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20" w:type="dxa"/>
            <w:vAlign w:val="bottom"/>
            <w:gridSpan w:val="2"/>
          </w:tcPr>
          <w:p>
            <w:pPr>
              <w:jc w:val="center"/>
              <w:ind w:right="100"/>
              <w:spacing w:after="0" w:line="110" w:lineRule="exact"/>
              <w:rPr>
                <w:sz w:val="20"/>
                <w:szCs w:val="20"/>
                <w:color w:val="auto"/>
              </w:rPr>
            </w:pPr>
            <w:r>
              <w:rPr>
                <w:rFonts w:ascii="Arial" w:cs="Arial" w:eastAsia="Arial" w:hAnsi="Arial"/>
                <w:sz w:val="12"/>
                <w:szCs w:val="12"/>
                <w:color w:val="auto"/>
              </w:rPr>
              <w:t>revenues on a rolling</w:t>
            </w: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20" w:type="dxa"/>
            <w:vAlign w:val="bottom"/>
          </w:tcPr>
          <w:p>
            <w:pPr>
              <w:jc w:val="center"/>
              <w:spacing w:after="0" w:line="110" w:lineRule="exact"/>
              <w:rPr>
                <w:sz w:val="20"/>
                <w:szCs w:val="20"/>
                <w:color w:val="auto"/>
              </w:rPr>
            </w:pPr>
            <w:r>
              <w:rPr>
                <w:rFonts w:ascii="Arial" w:cs="Arial" w:eastAsia="Arial" w:hAnsi="Arial"/>
                <w:sz w:val="12"/>
                <w:szCs w:val="12"/>
                <w:color w:val="auto"/>
              </w:rPr>
              <w:t>three-year basis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132320" cy="6000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0">
                      <a:extLst>
                        <a:ext uri="{28A0092B-C50C-407E-A947-70E740481C1C}"/>
                      </a:extLst>
                    </a:blip>
                    <a:srcRect/>
                    <a:stretch>
                      <a:fillRect/>
                    </a:stretch>
                  </pic:blipFill>
                  <pic:spPr bwMode="auto">
                    <a:xfrm>
                      <a:off x="0" y="0"/>
                      <a:ext cx="7132320" cy="60007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auto"/>
        </w:rPr>
        <w:t>three-year basis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ind w:left="220" w:hanging="212"/>
        <w:spacing w:after="0"/>
        <w:tabs>
          <w:tab w:leader="none" w:pos="220" w:val="left"/>
        </w:tabs>
        <w:numPr>
          <w:ilvl w:val="0"/>
          <w:numId w:val="87"/>
        </w:numPr>
        <w:rPr>
          <w:rFonts w:ascii="Arial" w:cs="Arial" w:eastAsia="Arial" w:hAnsi="Arial"/>
          <w:sz w:val="14"/>
          <w:szCs w:val="14"/>
          <w:i w:val="1"/>
          <w:iCs w:val="1"/>
          <w:color w:val="auto"/>
        </w:rPr>
      </w:pPr>
      <w:r>
        <w:rPr>
          <w:rFonts w:ascii="Arial" w:cs="Arial" w:eastAsia="Arial" w:hAnsi="Arial"/>
          <w:sz w:val="14"/>
          <w:szCs w:val="14"/>
          <w:i w:val="1"/>
          <w:iCs w:val="1"/>
          <w:color w:val="auto"/>
        </w:rPr>
        <w:t>Minimum of 1% of net gaming revenue on a rolling three-year basis for each individual facility and 1% of net gaming revenues per fiscal year for the facilities collectively.</w:t>
      </w:r>
    </w:p>
    <w:p>
      <w:pPr>
        <w:spacing w:after="0" w:line="1" w:lineRule="exact"/>
        <w:rPr>
          <w:rFonts w:ascii="Arial" w:cs="Arial" w:eastAsia="Arial" w:hAnsi="Arial"/>
          <w:sz w:val="14"/>
          <w:szCs w:val="14"/>
          <w:i w:val="1"/>
          <w:iCs w:val="1"/>
          <w:color w:val="auto"/>
        </w:rPr>
      </w:pPr>
    </w:p>
    <w:p>
      <w:pPr>
        <w:ind w:firstLine="8"/>
        <w:spacing w:after="0" w:line="255" w:lineRule="auto"/>
        <w:tabs>
          <w:tab w:leader="none" w:pos="218" w:val="left"/>
        </w:tabs>
        <w:numPr>
          <w:ilvl w:val="0"/>
          <w:numId w:val="87"/>
        </w:numPr>
        <w:rPr>
          <w:rFonts w:ascii="Arial" w:cs="Arial" w:eastAsia="Arial" w:hAnsi="Arial"/>
          <w:sz w:val="14"/>
          <w:szCs w:val="14"/>
          <w:i w:val="1"/>
          <w:iCs w:val="1"/>
          <w:color w:val="auto"/>
        </w:rPr>
      </w:pPr>
      <w:r>
        <w:rPr>
          <w:rFonts w:ascii="Arial" w:cs="Arial" w:eastAsia="Arial" w:hAnsi="Arial"/>
          <w:sz w:val="14"/>
          <w:szCs w:val="14"/>
          <w:i w:val="1"/>
          <w:iCs w:val="1"/>
          <w:color w:val="auto"/>
        </w:rPr>
        <w:t>Initial minimum required to be spent from the period commencing April 1, 2019 through December 31, 2022, which includes $18.0 million to be advanced by us and expended by JACK Entertainment for the construction of the new gaming patio amenity at JACK Thistledown Racino (which construction was completed in the first quarter of 2021).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Portfolio</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investments in loans as of December 31, 2021 and 2020:</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120" w:type="dxa"/>
            <w:vAlign w:val="bottom"/>
            <w:gridSpan w:val="4"/>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80" w:type="dxa"/>
            <w:vAlign w:val="bottom"/>
            <w:gridSpan w:val="5"/>
          </w:tcPr>
          <w:p>
            <w:pPr>
              <w:ind w:left="420"/>
              <w:spacing w:after="0"/>
              <w:rPr>
                <w:sz w:val="20"/>
                <w:szCs w:val="20"/>
                <w:color w:val="auto"/>
              </w:rPr>
            </w:pPr>
            <w:r>
              <w:rPr>
                <w:rFonts w:ascii="Arial" w:cs="Arial" w:eastAsia="Arial" w:hAnsi="Arial"/>
                <w:sz w:val="16"/>
                <w:szCs w:val="16"/>
                <w:b w:val="1"/>
                <w:bCs w:val="1"/>
                <w:color w:val="auto"/>
              </w:rPr>
              <w:t>December 31, 2021</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020" w:type="dxa"/>
            <w:vAlign w:val="bottom"/>
            <w:gridSpan w:val="2"/>
            <w:vMerge w:val="restart"/>
          </w:tcPr>
          <w:p>
            <w:pPr>
              <w:ind w:left="900"/>
              <w:spacing w:after="0"/>
              <w:rPr>
                <w:sz w:val="20"/>
                <w:szCs w:val="20"/>
                <w:color w:val="auto"/>
              </w:rPr>
            </w:pPr>
            <w:r>
              <w:rPr>
                <w:rFonts w:ascii="Arial" w:cs="Arial" w:eastAsia="Arial" w:hAnsi="Arial"/>
                <w:sz w:val="16"/>
                <w:szCs w:val="16"/>
                <w:b w:val="1"/>
                <w:bCs w:val="1"/>
                <w:color w:val="auto"/>
              </w:rPr>
              <w:t>Investment Name</w:t>
            </w:r>
          </w:p>
        </w:tc>
        <w:tc>
          <w:tcPr>
            <w:tcW w:w="100" w:type="dxa"/>
            <w:vAlign w:val="bottom"/>
            <w:gridSpan w:val="2"/>
            <w:vMerge w:val="restart"/>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Loan Type</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5" w:lineRule="exact"/>
              <w:rPr>
                <w:sz w:val="20"/>
                <w:szCs w:val="20"/>
                <w:color w:val="auto"/>
              </w:rPr>
            </w:pPr>
            <w:r>
              <w:rPr>
                <w:rFonts w:ascii="Arial" w:cs="Arial" w:eastAsia="Arial" w:hAnsi="Arial"/>
                <w:sz w:val="16"/>
                <w:szCs w:val="16"/>
                <w:b w:val="1"/>
                <w:bCs w:val="1"/>
                <w:color w:val="auto"/>
                <w:w w:val="94"/>
              </w:rPr>
              <w:t>Principal</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5" w:lineRule="exact"/>
              <w:rPr>
                <w:sz w:val="20"/>
                <w:szCs w:val="20"/>
                <w:color w:val="auto"/>
              </w:rPr>
            </w:pPr>
            <w:r>
              <w:rPr>
                <w:rFonts w:ascii="Arial" w:cs="Arial" w:eastAsia="Arial" w:hAnsi="Arial"/>
                <w:sz w:val="16"/>
                <w:szCs w:val="16"/>
                <w:b w:val="1"/>
                <w:bCs w:val="1"/>
                <w:color w:val="auto"/>
                <w:w w:val="97"/>
              </w:rPr>
              <w:t>Carrying</w:t>
            </w:r>
          </w:p>
        </w:tc>
        <w:tc>
          <w:tcPr>
            <w:tcW w:w="160" w:type="dxa"/>
            <w:vAlign w:val="bottom"/>
          </w:tcPr>
          <w:p>
            <w:pPr>
              <w:spacing w:after="0"/>
              <w:rPr>
                <w:sz w:val="13"/>
                <w:szCs w:val="13"/>
                <w:color w:val="auto"/>
              </w:rPr>
            </w:pPr>
          </w:p>
        </w:tc>
        <w:tc>
          <w:tcPr>
            <w:tcW w:w="1460" w:type="dxa"/>
            <w:vAlign w:val="bottom"/>
            <w:gridSpan w:val="2"/>
          </w:tcPr>
          <w:p>
            <w:pPr>
              <w:ind w:left="60"/>
              <w:spacing w:after="0" w:line="155" w:lineRule="exact"/>
              <w:rPr>
                <w:sz w:val="20"/>
                <w:szCs w:val="20"/>
                <w:color w:val="auto"/>
              </w:rPr>
            </w:pPr>
            <w:r>
              <w:rPr>
                <w:rFonts w:ascii="Arial" w:cs="Arial" w:eastAsia="Arial" w:hAnsi="Arial"/>
                <w:sz w:val="16"/>
                <w:szCs w:val="16"/>
                <w:b w:val="1"/>
                <w:bCs w:val="1"/>
                <w:color w:val="auto"/>
              </w:rPr>
              <w:t>Future Funding</w:t>
            </w:r>
          </w:p>
        </w:tc>
        <w:tc>
          <w:tcPr>
            <w:tcW w:w="118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4"/>
              </w:rPr>
              <w:t>Interest Rate</w:t>
            </w:r>
            <w:r>
              <w:rPr>
                <w:rFonts w:ascii="Arial" w:cs="Arial" w:eastAsia="Arial" w:hAnsi="Arial"/>
                <w:sz w:val="21"/>
                <w:szCs w:val="21"/>
                <w:b w:val="1"/>
                <w:bCs w:val="1"/>
                <w:i w:val="1"/>
                <w:iCs w:val="1"/>
                <w:color w:val="auto"/>
                <w:w w:val="94"/>
                <w:vertAlign w:val="superscript"/>
              </w:rPr>
              <w:t>(3)</w:t>
            </w:r>
          </w:p>
        </w:tc>
        <w:tc>
          <w:tcPr>
            <w:tcW w:w="100" w:type="dxa"/>
            <w:vAlign w:val="bottom"/>
          </w:tcPr>
          <w:p>
            <w:pPr>
              <w:spacing w:after="0"/>
              <w:rPr>
                <w:sz w:val="13"/>
                <w:szCs w:val="13"/>
                <w:color w:val="auto"/>
              </w:rPr>
            </w:pPr>
          </w:p>
        </w:tc>
        <w:tc>
          <w:tcPr>
            <w:tcW w:w="116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6"/>
              </w:rPr>
              <w:t>Final</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87"/>
              </w:rPr>
              <w:t>Balance</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94"/>
              <w:spacing w:after="0" w:line="216" w:lineRule="exact"/>
              <w:rPr>
                <w:sz w:val="20"/>
                <w:szCs w:val="20"/>
                <w:color w:val="auto"/>
              </w:rPr>
            </w:pPr>
            <w:r>
              <w:rPr>
                <w:rFonts w:ascii="Arial" w:cs="Arial" w:eastAsia="Arial" w:hAnsi="Arial"/>
                <w:sz w:val="16"/>
                <w:szCs w:val="16"/>
                <w:b w:val="1"/>
                <w:bCs w:val="1"/>
                <w:color w:val="auto"/>
                <w:w w:val="83"/>
              </w:rPr>
              <w:t>Value</w:t>
            </w:r>
            <w:r>
              <w:rPr>
                <w:rFonts w:ascii="Arial" w:cs="Arial" w:eastAsia="Arial" w:hAnsi="Arial"/>
                <w:sz w:val="21"/>
                <w:szCs w:val="21"/>
                <w:b w:val="1"/>
                <w:bCs w:val="1"/>
                <w:i w:val="1"/>
                <w:iCs w:val="1"/>
                <w:color w:val="auto"/>
                <w:w w:val="83"/>
                <w:vertAlign w:val="superscript"/>
              </w:rPr>
              <w:t>(1)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ind w:left="60"/>
              <w:spacing w:after="0" w:line="216" w:lineRule="exact"/>
              <w:rPr>
                <w:sz w:val="20"/>
                <w:szCs w:val="20"/>
                <w:color w:val="auto"/>
              </w:rPr>
            </w:pPr>
            <w:r>
              <w:rPr>
                <w:rFonts w:ascii="Arial" w:cs="Arial" w:eastAsia="Arial" w:hAnsi="Arial"/>
                <w:sz w:val="16"/>
                <w:szCs w:val="16"/>
                <w:b w:val="1"/>
                <w:bCs w:val="1"/>
                <w:color w:val="auto"/>
              </w:rPr>
              <w:t>Commitments</w:t>
            </w:r>
            <w:r>
              <w:rPr>
                <w:rFonts w:ascii="Arial" w:cs="Arial" w:eastAsia="Arial" w:hAnsi="Arial"/>
                <w:sz w:val="21"/>
                <w:szCs w:val="21"/>
                <w:b w:val="1"/>
                <w:bCs w:val="1"/>
                <w:i w:val="1"/>
                <w:iCs w:val="1"/>
                <w:color w:val="auto"/>
                <w:vertAlign w:val="superscript"/>
              </w:rPr>
              <w:t>(2)</w:t>
            </w: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5"/>
              </w:rPr>
              <w:t>Maturity</w:t>
            </w:r>
            <w:r>
              <w:rPr>
                <w:rFonts w:ascii="Arial" w:cs="Arial" w:eastAsia="Arial" w:hAnsi="Arial"/>
                <w:sz w:val="21"/>
                <w:szCs w:val="21"/>
                <w:b w:val="1"/>
                <w:bCs w:val="1"/>
                <w:i w:val="1"/>
                <w:iCs w:val="1"/>
                <w:color w:val="auto"/>
                <w:w w:val="95"/>
                <w:vertAlign w:val="superscript"/>
              </w:rPr>
              <w:t>(4)</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020" w:type="dxa"/>
            <w:vAlign w:val="bottom"/>
            <w:gridSpan w:val="2"/>
            <w:shd w:val="clear" w:color="auto" w:fill="CCEEFF"/>
          </w:tcPr>
          <w:p>
            <w:pPr>
              <w:spacing w:after="0" w:line="169" w:lineRule="exact"/>
              <w:rPr>
                <w:sz w:val="20"/>
                <w:szCs w:val="20"/>
                <w:color w:val="auto"/>
              </w:rPr>
            </w:pPr>
            <w:r>
              <w:rPr>
                <w:rFonts w:ascii="Arial" w:cs="Arial" w:eastAsia="Arial" w:hAnsi="Arial"/>
                <w:sz w:val="18"/>
                <w:szCs w:val="18"/>
                <w:color w:val="auto"/>
              </w:rPr>
              <w:t>Forum Convention Center Mortgage</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5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88"/>
              </w:rPr>
              <w:t>Senior Secured</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400,036</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9/18/2025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Loan</w:t>
            </w:r>
          </w:p>
        </w:tc>
        <w:tc>
          <w:tcPr>
            <w:tcW w:w="20" w:type="dxa"/>
            <w:vAlign w:val="bottom"/>
            <w:shd w:val="clear" w:color="auto" w:fill="CCEEFF"/>
          </w:tcPr>
          <w:p>
            <w:pPr>
              <w:spacing w:after="0"/>
              <w:rPr>
                <w:sz w:val="19"/>
                <w:szCs w:val="19"/>
                <w:color w:val="auto"/>
              </w:rPr>
            </w:pPr>
          </w:p>
        </w:tc>
        <w:tc>
          <w:tcPr>
            <w:tcW w:w="154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460" w:type="dxa"/>
            <w:vAlign w:val="bottom"/>
            <w:gridSpan w:val="2"/>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20" w:type="dxa"/>
            <w:vAlign w:val="bottom"/>
            <w:gridSpan w:val="4"/>
          </w:tcPr>
          <w:p>
            <w:pPr>
              <w:spacing w:after="0"/>
              <w:rPr>
                <w:sz w:val="20"/>
                <w:szCs w:val="20"/>
                <w:color w:val="auto"/>
              </w:rPr>
            </w:pPr>
            <w:r>
              <w:rPr>
                <w:rFonts w:ascii="Arial" w:cs="Arial" w:eastAsia="Arial" w:hAnsi="Arial"/>
                <w:sz w:val="18"/>
                <w:szCs w:val="18"/>
                <w:color w:val="auto"/>
              </w:rPr>
              <w:t>Chelsea Piers Mortgage Loan</w:t>
            </w:r>
          </w:p>
        </w:tc>
        <w:tc>
          <w:tcPr>
            <w:tcW w:w="20" w:type="dxa"/>
            <w:vAlign w:val="bottom"/>
          </w:tcPr>
          <w:p>
            <w:pPr>
              <w:spacing w:after="0"/>
              <w:rPr>
                <w:sz w:val="19"/>
                <w:szCs w:val="19"/>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Senior Secured</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64,998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15,000</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8/31/2027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Great Wolf Mezzanine Loan</w:t>
            </w:r>
          </w:p>
        </w:tc>
        <w:tc>
          <w:tcPr>
            <w:tcW w:w="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Mezzanine</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32,968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45,886</w:t>
            </w:r>
          </w:p>
        </w:tc>
        <w:tc>
          <w:tcPr>
            <w:tcW w:w="8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7/9/2026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gridSpan w:val="4"/>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498,614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498,002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60,886</w:t>
            </w:r>
          </w:p>
        </w:tc>
        <w:tc>
          <w:tcPr>
            <w:tcW w:w="8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7.3 %</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20" w:type="dxa"/>
            <w:vAlign w:val="bottom"/>
          </w:tcPr>
          <w:p>
            <w:pPr>
              <w:spacing w:after="0"/>
              <w:rPr>
                <w:sz w:val="24"/>
                <w:szCs w:val="24"/>
                <w:color w:val="auto"/>
              </w:rPr>
            </w:pPr>
          </w:p>
        </w:tc>
        <w:tc>
          <w:tcPr>
            <w:tcW w:w="3120" w:type="dxa"/>
            <w:vAlign w:val="bottom"/>
            <w:gridSpan w:val="4"/>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80" w:type="dxa"/>
            <w:vAlign w:val="bottom"/>
            <w:gridSpan w:val="5"/>
          </w:tcPr>
          <w:p>
            <w:pPr>
              <w:ind w:left="420"/>
              <w:spacing w:after="0"/>
              <w:rPr>
                <w:sz w:val="20"/>
                <w:szCs w:val="20"/>
                <w:color w:val="auto"/>
              </w:rPr>
            </w:pPr>
            <w:r>
              <w:rPr>
                <w:rFonts w:ascii="Arial" w:cs="Arial" w:eastAsia="Arial" w:hAnsi="Arial"/>
                <w:sz w:val="16"/>
                <w:szCs w:val="16"/>
                <w:b w:val="1"/>
                <w:bCs w:val="1"/>
                <w:color w:val="auto"/>
              </w:rPr>
              <w:t>December 31, 2020</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040" w:type="dxa"/>
            <w:vAlign w:val="bottom"/>
            <w:gridSpan w:val="3"/>
            <w:vMerge w:val="restart"/>
          </w:tcPr>
          <w:p>
            <w:pPr>
              <w:ind w:left="900"/>
              <w:spacing w:after="0"/>
              <w:rPr>
                <w:sz w:val="20"/>
                <w:szCs w:val="20"/>
                <w:color w:val="auto"/>
              </w:rPr>
            </w:pPr>
            <w:r>
              <w:rPr>
                <w:rFonts w:ascii="Arial" w:cs="Arial" w:eastAsia="Arial" w:hAnsi="Arial"/>
                <w:sz w:val="16"/>
                <w:szCs w:val="16"/>
                <w:b w:val="1"/>
                <w:bCs w:val="1"/>
                <w:color w:val="auto"/>
              </w:rPr>
              <w:t>Investment Name</w:t>
            </w:r>
          </w:p>
        </w:tc>
        <w:tc>
          <w:tcPr>
            <w:tcW w:w="8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Loan Type</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5" w:lineRule="exact"/>
              <w:rPr>
                <w:sz w:val="20"/>
                <w:szCs w:val="20"/>
                <w:color w:val="auto"/>
              </w:rPr>
            </w:pPr>
            <w:r>
              <w:rPr>
                <w:rFonts w:ascii="Arial" w:cs="Arial" w:eastAsia="Arial" w:hAnsi="Arial"/>
                <w:sz w:val="16"/>
                <w:szCs w:val="16"/>
                <w:b w:val="1"/>
                <w:bCs w:val="1"/>
                <w:color w:val="auto"/>
                <w:w w:val="94"/>
              </w:rPr>
              <w:t>Principal</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5" w:lineRule="exact"/>
              <w:rPr>
                <w:sz w:val="20"/>
                <w:szCs w:val="20"/>
                <w:color w:val="auto"/>
              </w:rPr>
            </w:pPr>
            <w:r>
              <w:rPr>
                <w:rFonts w:ascii="Arial" w:cs="Arial" w:eastAsia="Arial" w:hAnsi="Arial"/>
                <w:sz w:val="16"/>
                <w:szCs w:val="16"/>
                <w:b w:val="1"/>
                <w:bCs w:val="1"/>
                <w:color w:val="auto"/>
                <w:w w:val="97"/>
              </w:rPr>
              <w:t>Carrying</w:t>
            </w:r>
          </w:p>
        </w:tc>
        <w:tc>
          <w:tcPr>
            <w:tcW w:w="160" w:type="dxa"/>
            <w:vAlign w:val="bottom"/>
          </w:tcPr>
          <w:p>
            <w:pPr>
              <w:spacing w:after="0"/>
              <w:rPr>
                <w:sz w:val="13"/>
                <w:szCs w:val="13"/>
                <w:color w:val="auto"/>
              </w:rPr>
            </w:pPr>
          </w:p>
        </w:tc>
        <w:tc>
          <w:tcPr>
            <w:tcW w:w="1460" w:type="dxa"/>
            <w:vAlign w:val="bottom"/>
            <w:gridSpan w:val="2"/>
          </w:tcPr>
          <w:p>
            <w:pPr>
              <w:ind w:left="60"/>
              <w:spacing w:after="0" w:line="155" w:lineRule="exact"/>
              <w:rPr>
                <w:sz w:val="20"/>
                <w:szCs w:val="20"/>
                <w:color w:val="auto"/>
              </w:rPr>
            </w:pPr>
            <w:r>
              <w:rPr>
                <w:rFonts w:ascii="Arial" w:cs="Arial" w:eastAsia="Arial" w:hAnsi="Arial"/>
                <w:sz w:val="16"/>
                <w:szCs w:val="16"/>
                <w:b w:val="1"/>
                <w:bCs w:val="1"/>
                <w:color w:val="auto"/>
              </w:rPr>
              <w:t>Future Funding</w:t>
            </w:r>
          </w:p>
        </w:tc>
        <w:tc>
          <w:tcPr>
            <w:tcW w:w="118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4"/>
              </w:rPr>
              <w:t>Interest Rate</w:t>
            </w:r>
            <w:r>
              <w:rPr>
                <w:rFonts w:ascii="Arial" w:cs="Arial" w:eastAsia="Arial" w:hAnsi="Arial"/>
                <w:sz w:val="21"/>
                <w:szCs w:val="21"/>
                <w:b w:val="1"/>
                <w:bCs w:val="1"/>
                <w:i w:val="1"/>
                <w:iCs w:val="1"/>
                <w:color w:val="auto"/>
                <w:w w:val="94"/>
                <w:vertAlign w:val="superscript"/>
              </w:rPr>
              <w:t>(3)</w:t>
            </w:r>
          </w:p>
        </w:tc>
        <w:tc>
          <w:tcPr>
            <w:tcW w:w="100" w:type="dxa"/>
            <w:vAlign w:val="bottom"/>
          </w:tcPr>
          <w:p>
            <w:pPr>
              <w:spacing w:after="0"/>
              <w:rPr>
                <w:sz w:val="13"/>
                <w:szCs w:val="13"/>
                <w:color w:val="auto"/>
              </w:rPr>
            </w:pPr>
          </w:p>
        </w:tc>
        <w:tc>
          <w:tcPr>
            <w:tcW w:w="116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6"/>
              </w:rPr>
              <w:t>Final</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3"/>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87"/>
              </w:rPr>
              <w:t>Balance</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94"/>
              <w:spacing w:after="0" w:line="216" w:lineRule="exact"/>
              <w:rPr>
                <w:sz w:val="20"/>
                <w:szCs w:val="20"/>
                <w:color w:val="auto"/>
              </w:rPr>
            </w:pPr>
            <w:r>
              <w:rPr>
                <w:rFonts w:ascii="Arial" w:cs="Arial" w:eastAsia="Arial" w:hAnsi="Arial"/>
                <w:sz w:val="16"/>
                <w:szCs w:val="16"/>
                <w:b w:val="1"/>
                <w:bCs w:val="1"/>
                <w:color w:val="auto"/>
                <w:w w:val="83"/>
              </w:rPr>
              <w:t>Value</w:t>
            </w:r>
            <w:r>
              <w:rPr>
                <w:rFonts w:ascii="Arial" w:cs="Arial" w:eastAsia="Arial" w:hAnsi="Arial"/>
                <w:sz w:val="21"/>
                <w:szCs w:val="21"/>
                <w:b w:val="1"/>
                <w:bCs w:val="1"/>
                <w:i w:val="1"/>
                <w:iCs w:val="1"/>
                <w:color w:val="auto"/>
                <w:w w:val="83"/>
                <w:vertAlign w:val="superscript"/>
              </w:rPr>
              <w:t>(1)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ind w:left="60"/>
              <w:spacing w:after="0" w:line="216" w:lineRule="exact"/>
              <w:rPr>
                <w:sz w:val="20"/>
                <w:szCs w:val="20"/>
                <w:color w:val="auto"/>
              </w:rPr>
            </w:pPr>
            <w:r>
              <w:rPr>
                <w:rFonts w:ascii="Arial" w:cs="Arial" w:eastAsia="Arial" w:hAnsi="Arial"/>
                <w:sz w:val="16"/>
                <w:szCs w:val="16"/>
                <w:b w:val="1"/>
                <w:bCs w:val="1"/>
                <w:color w:val="auto"/>
              </w:rPr>
              <w:t>Commitments</w:t>
            </w:r>
            <w:r>
              <w:rPr>
                <w:rFonts w:ascii="Arial" w:cs="Arial" w:eastAsia="Arial" w:hAnsi="Arial"/>
                <w:sz w:val="21"/>
                <w:szCs w:val="21"/>
                <w:b w:val="1"/>
                <w:bCs w:val="1"/>
                <w:i w:val="1"/>
                <w:iCs w:val="1"/>
                <w:color w:val="auto"/>
                <w:vertAlign w:val="superscript"/>
              </w:rPr>
              <w:t>(2)</w:t>
            </w: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5"/>
              </w:rPr>
              <w:t>Maturity</w:t>
            </w:r>
            <w:r>
              <w:rPr>
                <w:rFonts w:ascii="Arial" w:cs="Arial" w:eastAsia="Arial" w:hAnsi="Arial"/>
                <w:sz w:val="21"/>
                <w:szCs w:val="21"/>
                <w:b w:val="1"/>
                <w:bCs w:val="1"/>
                <w:i w:val="1"/>
                <w:iCs w:val="1"/>
                <w:color w:val="auto"/>
                <w:w w:val="95"/>
                <w:vertAlign w:val="superscript"/>
              </w:rPr>
              <w:t>(4)</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040" w:type="dxa"/>
            <w:vAlign w:val="bottom"/>
            <w:gridSpan w:val="3"/>
            <w:shd w:val="clear" w:color="auto" w:fill="CCEEFF"/>
          </w:tcPr>
          <w:p>
            <w:pPr>
              <w:spacing w:after="0" w:line="169" w:lineRule="exact"/>
              <w:rPr>
                <w:sz w:val="20"/>
                <w:szCs w:val="20"/>
                <w:color w:val="auto"/>
              </w:rPr>
            </w:pPr>
            <w:r>
              <w:rPr>
                <w:rFonts w:ascii="Arial" w:cs="Arial" w:eastAsia="Arial" w:hAnsi="Arial"/>
                <w:sz w:val="18"/>
                <w:szCs w:val="18"/>
                <w:color w:val="auto"/>
              </w:rPr>
              <w:t>Forum Convention Center Mortgage</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5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88"/>
              </w:rPr>
              <w:t>Senior Secured</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400,045</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9/18/2025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Loan</w:t>
            </w:r>
          </w:p>
        </w:tc>
        <w:tc>
          <w:tcPr>
            <w:tcW w:w="20" w:type="dxa"/>
            <w:vAlign w:val="bottom"/>
            <w:shd w:val="clear" w:color="auto" w:fill="CCEEFF"/>
          </w:tcPr>
          <w:p>
            <w:pPr>
              <w:spacing w:after="0"/>
              <w:rPr>
                <w:sz w:val="19"/>
                <w:szCs w:val="19"/>
                <w:color w:val="auto"/>
              </w:rPr>
            </w:pPr>
          </w:p>
        </w:tc>
        <w:tc>
          <w:tcPr>
            <w:tcW w:w="154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460" w:type="dxa"/>
            <w:vAlign w:val="bottom"/>
            <w:gridSpan w:val="2"/>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20" w:type="dxa"/>
            <w:vAlign w:val="bottom"/>
            <w:gridSpan w:val="4"/>
          </w:tcPr>
          <w:p>
            <w:pPr>
              <w:spacing w:after="0"/>
              <w:rPr>
                <w:sz w:val="20"/>
                <w:szCs w:val="20"/>
                <w:color w:val="auto"/>
              </w:rPr>
            </w:pPr>
            <w:r>
              <w:rPr>
                <w:rFonts w:ascii="Arial" w:cs="Arial" w:eastAsia="Arial" w:hAnsi="Arial"/>
                <w:sz w:val="18"/>
                <w:szCs w:val="18"/>
                <w:color w:val="auto"/>
              </w:rPr>
              <w:t>Chelsea Piers Mortgage Loan</w:t>
            </w:r>
          </w:p>
        </w:tc>
        <w:tc>
          <w:tcPr>
            <w:tcW w:w="20" w:type="dxa"/>
            <w:vAlign w:val="bottom"/>
          </w:tcPr>
          <w:p>
            <w:pPr>
              <w:spacing w:after="0"/>
              <w:rPr>
                <w:sz w:val="19"/>
                <w:szCs w:val="19"/>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Senior Secured</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64,880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15,000</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8/31/2027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Amended and Restated ROV Loan</w:t>
            </w:r>
          </w:p>
        </w:tc>
        <w:tc>
          <w:tcPr>
            <w:tcW w:w="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20" w:type="dxa"/>
            <w:vAlign w:val="bottom"/>
            <w:gridSpan w:val="4"/>
          </w:tcPr>
          <w:p>
            <w:pPr>
              <w:ind w:left="220"/>
              <w:spacing w:after="0" w:line="230" w:lineRule="exact"/>
              <w:rPr>
                <w:sz w:val="20"/>
                <w:szCs w:val="20"/>
                <w:color w:val="auto"/>
              </w:rPr>
            </w:pPr>
            <w:r>
              <w:rPr>
                <w:rFonts w:ascii="Arial" w:cs="Arial" w:eastAsia="Arial" w:hAnsi="Arial"/>
                <w:sz w:val="18"/>
                <w:szCs w:val="18"/>
                <w:color w:val="auto"/>
              </w:rPr>
              <w:t xml:space="preserve">ROV Term Loan </w:t>
            </w:r>
            <w:r>
              <w:rPr>
                <w:rFonts w:ascii="Arial" w:cs="Arial" w:eastAsia="Arial" w:hAnsi="Arial"/>
                <w:sz w:val="23"/>
                <w:szCs w:val="23"/>
                <w:color w:val="auto"/>
                <w:vertAlign w:val="superscript"/>
              </w:rPr>
              <w:t>(5)</w:t>
            </w:r>
          </w:p>
        </w:tc>
        <w:tc>
          <w:tcPr>
            <w:tcW w:w="20" w:type="dxa"/>
            <w:vAlign w:val="bottom"/>
          </w:tcPr>
          <w:p>
            <w:pPr>
              <w:spacing w:after="0"/>
              <w:rPr>
                <w:sz w:val="19"/>
                <w:szCs w:val="19"/>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Senior Secured</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71,796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9.0 %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1/24/2027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20" w:type="dxa"/>
            <w:vAlign w:val="bottom"/>
            <w:gridSpan w:val="4"/>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ROV Credit Facility </w:t>
            </w:r>
            <w:r>
              <w:rPr>
                <w:rFonts w:ascii="Arial" w:cs="Arial" w:eastAsia="Arial" w:hAnsi="Arial"/>
                <w:sz w:val="23"/>
                <w:szCs w:val="23"/>
                <w:color w:val="auto"/>
                <w:vertAlign w:val="superscript"/>
              </w:rPr>
              <w:t>(5)</w:t>
            </w:r>
          </w:p>
        </w:tc>
        <w:tc>
          <w:tcPr>
            <w:tcW w:w="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Senior Secured</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 + 2.75%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1/24/2027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gridSpan w:val="4"/>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535,000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536,721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40,000</w:t>
            </w:r>
          </w:p>
        </w:tc>
        <w:tc>
          <w:tcPr>
            <w:tcW w:w="8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7.8 %</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ind w:left="220" w:hanging="212"/>
        <w:spacing w:after="0"/>
        <w:tabs>
          <w:tab w:leader="none" w:pos="220" w:val="left"/>
        </w:tabs>
        <w:numPr>
          <w:ilvl w:val="0"/>
          <w:numId w:val="88"/>
        </w:numPr>
        <w:rPr>
          <w:rFonts w:ascii="Arial" w:cs="Arial" w:eastAsia="Arial" w:hAnsi="Arial"/>
          <w:sz w:val="14"/>
          <w:szCs w:val="14"/>
          <w:i w:val="1"/>
          <w:iCs w:val="1"/>
          <w:color w:val="auto"/>
        </w:rPr>
      </w:pPr>
      <w:r>
        <w:rPr>
          <w:rFonts w:ascii="Arial" w:cs="Arial" w:eastAsia="Arial" w:hAnsi="Arial"/>
          <w:sz w:val="14"/>
          <w:szCs w:val="14"/>
          <w:i w:val="1"/>
          <w:iCs w:val="1"/>
          <w:color w:val="auto"/>
        </w:rPr>
        <w:t>Carrying value is net of unamortized loan origination costs and allowance for credit losses.</w:t>
      </w:r>
    </w:p>
    <w:p>
      <w:pPr>
        <w:spacing w:after="0" w:line="1" w:lineRule="exact"/>
        <w:rPr>
          <w:rFonts w:ascii="Arial" w:cs="Arial" w:eastAsia="Arial" w:hAnsi="Arial"/>
          <w:sz w:val="14"/>
          <w:szCs w:val="14"/>
          <w:i w:val="1"/>
          <w:iCs w:val="1"/>
          <w:color w:val="auto"/>
        </w:rPr>
      </w:pPr>
    </w:p>
    <w:p>
      <w:pPr>
        <w:ind w:left="220" w:hanging="212"/>
        <w:spacing w:after="0"/>
        <w:tabs>
          <w:tab w:leader="none" w:pos="220" w:val="left"/>
        </w:tabs>
        <w:numPr>
          <w:ilvl w:val="0"/>
          <w:numId w:val="88"/>
        </w:numPr>
        <w:rPr>
          <w:rFonts w:ascii="Arial" w:cs="Arial" w:eastAsia="Arial" w:hAnsi="Arial"/>
          <w:sz w:val="14"/>
          <w:szCs w:val="14"/>
          <w:i w:val="1"/>
          <w:iCs w:val="1"/>
          <w:color w:val="auto"/>
        </w:rPr>
      </w:pPr>
      <w:r>
        <w:rPr>
          <w:rFonts w:ascii="Arial" w:cs="Arial" w:eastAsia="Arial" w:hAnsi="Arial"/>
          <w:sz w:val="14"/>
          <w:szCs w:val="14"/>
          <w:i w:val="1"/>
          <w:iCs w:val="1"/>
          <w:color w:val="auto"/>
        </w:rPr>
        <w:t>Our future funding commitments are subject to our borrowers' compliance with the financial covenants and other applicable provisions of each respective loan agreement.</w:t>
      </w:r>
    </w:p>
    <w:p>
      <w:pPr>
        <w:spacing w:after="0" w:line="1" w:lineRule="exact"/>
        <w:rPr>
          <w:rFonts w:ascii="Arial" w:cs="Arial" w:eastAsia="Arial" w:hAnsi="Arial"/>
          <w:sz w:val="14"/>
          <w:szCs w:val="14"/>
          <w:i w:val="1"/>
          <w:iCs w:val="1"/>
          <w:color w:val="auto"/>
        </w:rPr>
      </w:pPr>
    </w:p>
    <w:p>
      <w:pPr>
        <w:ind w:left="220" w:hanging="212"/>
        <w:spacing w:after="0"/>
        <w:tabs>
          <w:tab w:leader="none" w:pos="220" w:val="left"/>
        </w:tabs>
        <w:numPr>
          <w:ilvl w:val="0"/>
          <w:numId w:val="88"/>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current interest rate per annum. The interest rate of the Forum Convention Center Mortgage Loan is subject to a 2.0% annual escalation.</w:t>
      </w:r>
    </w:p>
    <w:p>
      <w:pPr>
        <w:spacing w:after="0" w:line="1" w:lineRule="exact"/>
        <w:rPr>
          <w:rFonts w:ascii="Arial" w:cs="Arial" w:eastAsia="Arial" w:hAnsi="Arial"/>
          <w:sz w:val="14"/>
          <w:szCs w:val="14"/>
          <w:i w:val="1"/>
          <w:iCs w:val="1"/>
          <w:color w:val="auto"/>
        </w:rPr>
      </w:pPr>
    </w:p>
    <w:p>
      <w:pPr>
        <w:ind w:left="220" w:hanging="212"/>
        <w:spacing w:after="0"/>
        <w:tabs>
          <w:tab w:leader="none" w:pos="220" w:val="left"/>
        </w:tabs>
        <w:numPr>
          <w:ilvl w:val="0"/>
          <w:numId w:val="88"/>
        </w:numPr>
        <w:rPr>
          <w:rFonts w:ascii="Arial" w:cs="Arial" w:eastAsia="Arial" w:hAnsi="Arial"/>
          <w:sz w:val="14"/>
          <w:szCs w:val="14"/>
          <w:i w:val="1"/>
          <w:iCs w:val="1"/>
          <w:color w:val="auto"/>
        </w:rPr>
      </w:pPr>
      <w:r>
        <w:rPr>
          <w:rFonts w:ascii="Arial" w:cs="Arial" w:eastAsia="Arial" w:hAnsi="Arial"/>
          <w:sz w:val="14"/>
          <w:szCs w:val="14"/>
          <w:i w:val="1"/>
          <w:iCs w:val="1"/>
          <w:color w:val="auto"/>
        </w:rPr>
        <w:t>Final maturity assumes all extension options are exercised; however, our loans may be repaid, subject to certain conditions, prior to such date.</w:t>
      </w:r>
    </w:p>
    <w:p>
      <w:pPr>
        <w:spacing w:after="0" w:line="1" w:lineRule="exact"/>
        <w:rPr>
          <w:rFonts w:ascii="Arial" w:cs="Arial" w:eastAsia="Arial" w:hAnsi="Arial"/>
          <w:sz w:val="14"/>
          <w:szCs w:val="14"/>
          <w:i w:val="1"/>
          <w:iCs w:val="1"/>
          <w:color w:val="auto"/>
        </w:rPr>
      </w:pPr>
    </w:p>
    <w:p>
      <w:pPr>
        <w:ind w:left="220" w:hanging="212"/>
        <w:spacing w:after="0"/>
        <w:tabs>
          <w:tab w:leader="none" w:pos="220" w:val="left"/>
        </w:tabs>
        <w:numPr>
          <w:ilvl w:val="0"/>
          <w:numId w:val="88"/>
        </w:numPr>
        <w:rPr>
          <w:rFonts w:ascii="Arial" w:cs="Arial" w:eastAsia="Arial" w:hAnsi="Arial"/>
          <w:sz w:val="14"/>
          <w:szCs w:val="14"/>
          <w:i w:val="1"/>
          <w:iCs w:val="1"/>
          <w:color w:val="auto"/>
        </w:rPr>
      </w:pPr>
      <w:r>
        <w:rPr>
          <w:rFonts w:ascii="Arial" w:cs="Arial" w:eastAsia="Arial" w:hAnsi="Arial"/>
          <w:sz w:val="14"/>
          <w:szCs w:val="14"/>
          <w:i w:val="1"/>
          <w:iCs w:val="1"/>
          <w:color w:val="auto"/>
        </w:rPr>
        <w:t>On October 4, 2021, the ROV Term Loan was repaid in full and the Amended and Restated ROV Loan, including the ROV Credit Facility, was terminated.</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8" w:name="page119"/>
    <w:bookmarkEnd w:id="1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 Allowance for Credit Losses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ASC 326</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January 1, 2020, we adopted ASC 326, and, as a result, we are required to estimate and record non-cash expected credit losses related to our historical and any future investments in sales-type leases, lease financing receivables and loans. Upon adoption we elected to use the modified retrospective approach, and recorded a $309.4 million cumulative adjustment, representing a 2.88% CECL allowance. Such amount was recorded as a cumulative-effect adjustment to our opening balance sheet with a reduction in our Investments in leases - sales-type and a corresponding charge to retained earnings. Periods prior to the adoption date that are presented for comparative purposes are not adjusted.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the year ended December 31, 2021, we recognized a $19.6 million decrease in our allowance for credit losses primarily driven by (i) the decrease in the short-term reasonable and supportable period probability of default, or R&amp;S Period PD, of our tenants or borrowers and their parent guarantors as a result of an improvement in their economic outlook due to the reopening of all of their gaming operations and relative performance of such operations during 2021, (ii) the decrease in the long-term reasonable and supportable period probability of default, or Long-Term Period PD, due to an upgrade of the credit rating of the senior secured debt used to determine the Long-Term Period PD for one of our tenants during 2021 and (iii) the decrease in the R&amp;S Period PD and loss given default, or LGD, as a result of standard annual updates that were made to the inputs and assumptions in the model that we utilize to estimate our CECL allowance. This decrease was partially offset by an increase in the existing amortized cost balances subject to the CECL allowance.</w:t>
      </w:r>
    </w:p>
    <w:p>
      <w:pPr>
        <w:spacing w:after="0" w:line="11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year ended December 31, 2020, we recognized a $244.5 million increase in our allowance for credit losses primarily driven by the increase in investment balances subject to CECL. Specifically, the increase was primarily attributable to (i) the increase in investment balances resulting from the Eldorado Transaction, which includes (A) an initial CECL allowance on our $1.8 billion investment in the MTA Properties, (B) an additional CECL allowance on our aggregate $1.4 billion increased investment in the Las Vegas Master Lease Agreement as a result of the CPLV Additional Rent Acquisition and HLV Additional Rent Acquisition and (C) an additional CECL allowance on the $333.4 million increased balance of our existing Caesars Lease Agreements as a result of the mark to fair value in connection with the reassessment of lease classification, (ii) an increase related to our initial investment in JACK Cleveland/Thistledown and the ROV Loan in January 2020, (iii) an increase in the R&amp;S Period PD of Caesars as a result of the Eldorado/Caesars Merger and (iv) an increase in the Long-term Period PD of our tenants due to downgrades on certain of the credit ratings of our tenants’ senior secured debt in connection with the COVID-19 pandemic. The credit loss standard does not require retrospective application and as such there is no corresponding charge for the years ended December 31, 2019.</w:t>
      </w:r>
    </w:p>
    <w:p>
      <w:pPr>
        <w:spacing w:after="0" w:line="13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2021 and 2020, and since our formation date on October 6, 2017, all of our Lease Agreements and loan investments are current in payment of their obligations to us and no investments are on non-accrual status.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detail the allowance for credit losses as of December 31, 2021 and December 31, 2020:</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5"/>
          </w:tcPr>
          <w:p>
            <w:pPr>
              <w:ind w:left="880"/>
              <w:spacing w:after="0"/>
              <w:rPr>
                <w:sz w:val="20"/>
                <w:szCs w:val="20"/>
                <w:color w:val="auto"/>
              </w:rPr>
            </w:pPr>
            <w:r>
              <w:rPr>
                <w:rFonts w:ascii="Arial" w:cs="Arial" w:eastAsia="Arial" w:hAnsi="Arial"/>
                <w:sz w:val="16"/>
                <w:szCs w:val="16"/>
                <w:b w:val="1"/>
                <w:bCs w:val="1"/>
                <w:color w:val="auto"/>
              </w:rPr>
              <w:t>December 31, 2021</w:t>
            </w:r>
          </w:p>
        </w:tc>
        <w:tc>
          <w:tcPr>
            <w:tcW w:w="1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Amortized Cost</w:t>
            </w:r>
          </w:p>
        </w:tc>
        <w:tc>
          <w:tcPr>
            <w:tcW w:w="180" w:type="dxa"/>
            <w:vAlign w:val="bottom"/>
          </w:tcPr>
          <w:p>
            <w:pPr>
              <w:spacing w:after="0"/>
              <w:rPr>
                <w:sz w:val="13"/>
                <w:szCs w:val="13"/>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 xml:space="preserve">Allowance </w:t>
            </w:r>
            <w:r>
              <w:rPr>
                <w:rFonts w:ascii="Arial" w:cs="Arial" w:eastAsia="Arial" w:hAnsi="Arial"/>
                <w:sz w:val="21"/>
                <w:szCs w:val="21"/>
                <w:b w:val="1"/>
                <w:bCs w:val="1"/>
                <w:color w:val="auto"/>
                <w:vertAlign w:val="superscript"/>
              </w:rPr>
              <w:t>(1)</w:t>
            </w:r>
          </w:p>
        </w:tc>
        <w:tc>
          <w:tcPr>
            <w:tcW w:w="140" w:type="dxa"/>
            <w:vAlign w:val="bottom"/>
          </w:tcPr>
          <w:p>
            <w:pPr>
              <w:spacing w:after="0"/>
              <w:rPr>
                <w:sz w:val="13"/>
                <w:szCs w:val="13"/>
                <w:color w:val="auto"/>
              </w:rPr>
            </w:pPr>
          </w:p>
        </w:tc>
        <w:tc>
          <w:tcPr>
            <w:tcW w:w="14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Net Investment</w:t>
            </w:r>
          </w:p>
        </w:tc>
        <w:tc>
          <w:tcPr>
            <w:tcW w:w="1920" w:type="dxa"/>
            <w:vAlign w:val="bottom"/>
          </w:tcPr>
          <w:p>
            <w:pPr>
              <w:jc w:val="right"/>
              <w:ind w:right="173"/>
              <w:spacing w:after="0" w:line="158" w:lineRule="exact"/>
              <w:rPr>
                <w:sz w:val="20"/>
                <w:szCs w:val="20"/>
                <w:color w:val="auto"/>
              </w:rPr>
            </w:pPr>
            <w:r>
              <w:rPr>
                <w:rFonts w:ascii="Arial" w:cs="Arial" w:eastAsia="Arial" w:hAnsi="Arial"/>
                <w:sz w:val="16"/>
                <w:szCs w:val="16"/>
                <w:b w:val="1"/>
                <w:bCs w:val="1"/>
                <w:color w:val="auto"/>
              </w:rPr>
              <w:t>Allowance as a %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920" w:type="dxa"/>
            <w:vAlign w:val="bottom"/>
          </w:tcPr>
          <w:p>
            <w:pPr>
              <w:jc w:val="right"/>
              <w:ind w:right="333"/>
              <w:spacing w:after="0" w:line="175" w:lineRule="exact"/>
              <w:rPr>
                <w:sz w:val="20"/>
                <w:szCs w:val="20"/>
                <w:color w:val="auto"/>
              </w:rPr>
            </w:pPr>
            <w:r>
              <w:rPr>
                <w:rFonts w:ascii="Arial" w:cs="Arial" w:eastAsia="Arial" w:hAnsi="Arial"/>
                <w:sz w:val="16"/>
                <w:szCs w:val="16"/>
                <w:b w:val="1"/>
                <w:bCs w:val="1"/>
                <w:color w:val="auto"/>
              </w:rPr>
              <w:t>Amortized Cost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leases - sales-type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13,571,516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(434,852)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13,136,664</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Investments in leases - financing receivables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2,735,948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(91,124)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2,644,824</w:t>
            </w: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3.33 %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loans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498,775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498,002</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6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assets - sales-type sub-leases</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280,510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273,970</w:t>
            </w:r>
          </w:p>
        </w:tc>
        <w:tc>
          <w:tcPr>
            <w:tcW w:w="10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17,086,749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(533,289)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16,553,460</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580"/>
              <w:spacing w:after="0"/>
              <w:rPr>
                <w:sz w:val="20"/>
                <w:szCs w:val="20"/>
                <w:color w:val="auto"/>
              </w:rPr>
            </w:pPr>
            <w:r>
              <w:rPr>
                <w:rFonts w:ascii="Arial" w:cs="Arial" w:eastAsia="Arial" w:hAnsi="Arial"/>
                <w:sz w:val="18"/>
                <w:szCs w:val="18"/>
                <w:color w:val="auto"/>
              </w:rPr>
              <w:t>F - 37</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9" w:name="page120"/>
    <w:bookmarkEnd w:id="1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5"/>
          </w:tcPr>
          <w:p>
            <w:pPr>
              <w:ind w:left="840"/>
              <w:spacing w:after="0"/>
              <w:rPr>
                <w:sz w:val="20"/>
                <w:szCs w:val="20"/>
                <w:color w:val="auto"/>
              </w:rPr>
            </w:pPr>
            <w:r>
              <w:rPr>
                <w:rFonts w:ascii="Arial" w:cs="Arial" w:eastAsia="Arial" w:hAnsi="Arial"/>
                <w:sz w:val="16"/>
                <w:szCs w:val="16"/>
                <w:b w:val="1"/>
                <w:bCs w:val="1"/>
                <w:color w:val="auto"/>
              </w:rPr>
              <w:t>December 31, 2020</w:t>
            </w:r>
          </w:p>
        </w:tc>
        <w:tc>
          <w:tcPr>
            <w:tcW w:w="1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Amortized Cost</w:t>
            </w:r>
          </w:p>
        </w:tc>
        <w:tc>
          <w:tcPr>
            <w:tcW w:w="220" w:type="dxa"/>
            <w:vAlign w:val="bottom"/>
          </w:tcPr>
          <w:p>
            <w:pPr>
              <w:spacing w:after="0"/>
              <w:rPr>
                <w:sz w:val="13"/>
                <w:szCs w:val="13"/>
                <w:color w:val="auto"/>
              </w:rPr>
            </w:pPr>
          </w:p>
        </w:tc>
        <w:tc>
          <w:tcPr>
            <w:tcW w:w="13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Allowance</w:t>
            </w:r>
          </w:p>
        </w:tc>
        <w:tc>
          <w:tcPr>
            <w:tcW w:w="140" w:type="dxa"/>
            <w:vAlign w:val="bottom"/>
          </w:tcPr>
          <w:p>
            <w:pPr>
              <w:spacing w:after="0"/>
              <w:rPr>
                <w:sz w:val="13"/>
                <w:szCs w:val="13"/>
                <w:color w:val="auto"/>
              </w:rPr>
            </w:pPr>
          </w:p>
        </w:tc>
        <w:tc>
          <w:tcPr>
            <w:tcW w:w="14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Net Investment</w:t>
            </w:r>
          </w:p>
        </w:tc>
        <w:tc>
          <w:tcPr>
            <w:tcW w:w="1920" w:type="dxa"/>
            <w:vAlign w:val="bottom"/>
          </w:tcPr>
          <w:p>
            <w:pPr>
              <w:jc w:val="right"/>
              <w:ind w:right="173"/>
              <w:spacing w:after="0" w:line="158" w:lineRule="exact"/>
              <w:rPr>
                <w:sz w:val="20"/>
                <w:szCs w:val="20"/>
                <w:color w:val="auto"/>
              </w:rPr>
            </w:pPr>
            <w:r>
              <w:rPr>
                <w:rFonts w:ascii="Arial" w:cs="Arial" w:eastAsia="Arial" w:hAnsi="Arial"/>
                <w:sz w:val="16"/>
                <w:szCs w:val="16"/>
                <w:b w:val="1"/>
                <w:bCs w:val="1"/>
                <w:color w:val="auto"/>
              </w:rPr>
              <w:t>Allowance as a %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920" w:type="dxa"/>
            <w:vAlign w:val="bottom"/>
          </w:tcPr>
          <w:p>
            <w:pPr>
              <w:jc w:val="right"/>
              <w:ind w:right="333"/>
              <w:spacing w:after="0" w:line="175" w:lineRule="exact"/>
              <w:rPr>
                <w:sz w:val="20"/>
                <w:szCs w:val="20"/>
                <w:color w:val="auto"/>
              </w:rPr>
            </w:pPr>
            <w:r>
              <w:rPr>
                <w:rFonts w:ascii="Arial" w:cs="Arial" w:eastAsia="Arial" w:hAnsi="Arial"/>
                <w:sz w:val="16"/>
                <w:szCs w:val="16"/>
                <w:b w:val="1"/>
                <w:bCs w:val="1"/>
                <w:color w:val="auto"/>
              </w:rPr>
              <w:t>Amortized Cost</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leases - sales-type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13,481,845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13,027,644</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Investments in leases - financing receivables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2,709,520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(90,958)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2,618,562</w:t>
            </w: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3.36 %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loans</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536,721</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6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assets - sales-type sub-leases</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284,376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277,482</w:t>
            </w:r>
          </w:p>
        </w:tc>
        <w:tc>
          <w:tcPr>
            <w:tcW w:w="10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17,014,288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(553,879)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16,460,409</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ind w:right="20" w:firstLine="8"/>
        <w:spacing w:after="0" w:line="255" w:lineRule="auto"/>
        <w:tabs>
          <w:tab w:leader="none" w:pos="221" w:val="left"/>
        </w:tabs>
        <w:numPr>
          <w:ilvl w:val="0"/>
          <w:numId w:val="89"/>
        </w:numPr>
        <w:rPr>
          <w:rFonts w:ascii="Arial" w:cs="Arial" w:eastAsia="Arial" w:hAnsi="Arial"/>
          <w:sz w:val="14"/>
          <w:szCs w:val="14"/>
          <w:i w:val="1"/>
          <w:iCs w:val="1"/>
          <w:color w:val="auto"/>
        </w:rPr>
      </w:pPr>
      <w:r>
        <w:rPr>
          <w:rFonts w:ascii="Arial" w:cs="Arial" w:eastAsia="Arial" w:hAnsi="Arial"/>
          <w:sz w:val="14"/>
          <w:szCs w:val="14"/>
          <w:i w:val="1"/>
          <w:iCs w:val="1"/>
          <w:color w:val="auto"/>
        </w:rPr>
        <w:t>The total allowance excludes the CECL allowance for unfunded loan commitments. As of December 31, 2021, such allowance is $1.0 million and is recorded in Other liabilities. As of December 31, 2020, there was no CECL allowance related to unfunded loan commitments.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chart reflects the roll-forward of the allowance for credit losses on our real estate portfolio for the year ended December 31, 2021 and 2020: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130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67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520" w:type="dxa"/>
            <w:vAlign w:val="bottom"/>
          </w:tcPr>
          <w:p>
            <w:pPr>
              <w:spacing w:after="0"/>
              <w:rPr>
                <w:sz w:val="14"/>
                <w:szCs w:val="14"/>
                <w:color w:val="auto"/>
              </w:rPr>
            </w:pPr>
          </w:p>
        </w:tc>
        <w:tc>
          <w:tcPr>
            <w:tcW w:w="1660" w:type="dxa"/>
            <w:vAlign w:val="bottom"/>
          </w:tcPr>
          <w:p>
            <w:pPr>
              <w:jc w:val="right"/>
              <w:ind w:right="852"/>
              <w:spacing w:after="0" w:line="17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tcPr>
          <w:p>
            <w:pPr>
              <w:jc w:val="right"/>
              <w:ind w:right="851"/>
              <w:spacing w:after="0" w:line="172" w:lineRule="exact"/>
              <w:rPr>
                <w:sz w:val="20"/>
                <w:szCs w:val="20"/>
                <w:color w:val="auto"/>
              </w:rPr>
            </w:pPr>
            <w:r>
              <w:rPr>
                <w:rFonts w:ascii="Arial" w:cs="Arial" w:eastAsia="Arial" w:hAnsi="Arial"/>
                <w:sz w:val="16"/>
                <w:szCs w:val="16"/>
                <w:b w:val="1"/>
                <w:bCs w:val="1"/>
                <w:color w:val="auto"/>
                <w:w w:val="95"/>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58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Beginning Balance January 1,</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553,879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Initial allowance upon adoption</w:t>
            </w:r>
          </w:p>
        </w:tc>
        <w:tc>
          <w:tcPr>
            <w:tcW w:w="52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309,362</w:t>
            </w:r>
          </w:p>
        </w:tc>
      </w:tr>
      <w:tr>
        <w:trPr>
          <w:trHeight w:val="230"/>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allowance from current period investments</w:t>
            </w:r>
          </w:p>
        </w:tc>
        <w:tc>
          <w:tcPr>
            <w:tcW w:w="5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90,368</w:t>
            </w:r>
          </w:p>
        </w:tc>
      </w:tr>
      <w:tr>
        <w:trPr>
          <w:trHeight w:val="229"/>
        </w:trPr>
        <w:tc>
          <w:tcPr>
            <w:tcW w:w="2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Current period change in credit allowance</w:t>
            </w:r>
          </w:p>
        </w:tc>
        <w:tc>
          <w:tcPr>
            <w:tcW w:w="5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(21,279)</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154,149</w:t>
            </w:r>
          </w:p>
        </w:tc>
      </w:tr>
      <w:tr>
        <w:trPr>
          <w:trHeight w:val="230"/>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Charge-offs</w:t>
            </w:r>
          </w:p>
        </w:tc>
        <w:tc>
          <w:tcPr>
            <w:tcW w:w="5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Recoveries</w:t>
            </w:r>
          </w:p>
        </w:tc>
        <w:tc>
          <w:tcPr>
            <w:tcW w:w="52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7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Ending Balance December 31,</w:t>
            </w: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534,325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553,879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Quality Indicators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assess the credit quality of our investments through the credit ratings of the senior secured debt of the guarantors of our leases, as we believe that our Lease Agreements have a similar credit profile to a senior secured debt instrument. The credit quality indicators are reviewed by us on a quarterly basis as of quarter-end. In instances where the guarantor of one of our Lease Agreements does not have senior secured debt with a credit rating, we use either a comparable proxy company or the overall corporate credit rating, as applicable. We also use this credit rating to determine the Long-Term Period PD when estimating credit losses for each investment.</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detail the amortized cost basis of our investments by the credit quality indicator we assigned to each lease or loan guarantor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December 31, 2020:</w:t>
      </w:r>
    </w:p>
    <w:p>
      <w:pPr>
        <w:spacing w:after="0" w:line="90" w:lineRule="exact"/>
        <w:rPr>
          <w:sz w:val="20"/>
          <w:szCs w:val="20"/>
          <w:color w:val="auto"/>
        </w:rPr>
      </w:pPr>
    </w:p>
    <w:p>
      <w:pPr>
        <w:ind w:left="6040"/>
        <w:spacing w:after="0"/>
        <w:rPr>
          <w:sz w:val="20"/>
          <w:szCs w:val="20"/>
          <w:color w:val="auto"/>
        </w:rPr>
      </w:pPr>
      <w:r>
        <w:rPr>
          <w:rFonts w:ascii="Arial" w:cs="Arial" w:eastAsia="Arial" w:hAnsi="Arial"/>
          <w:sz w:val="16"/>
          <w:szCs w:val="16"/>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20320</wp:posOffset>
            </wp:positionV>
            <wp:extent cx="576897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4">
                      <a:extLst>
                        <a:ext uri="{28A0092B-C50C-407E-A947-70E740481C1C}"/>
                      </a:extLst>
                    </a:blip>
                    <a:srcRect/>
                    <a:stretch>
                      <a:fillRect/>
                    </a:stretch>
                  </pic:blipFill>
                  <pic:spPr bwMode="auto">
                    <a:xfrm>
                      <a:off x="0" y="0"/>
                      <a:ext cx="5768975" cy="8255"/>
                    </a:xfrm>
                    <a:prstGeom prst="rect">
                      <a:avLst/>
                    </a:prstGeom>
                    <a:noFill/>
                  </pic:spPr>
                </pic:pic>
              </a:graphicData>
            </a:graphic>
          </wp:anchor>
        </w:drawing>
      </w:r>
    </w:p>
    <w:p>
      <w:pPr>
        <w:spacing w:after="0" w:line="16" w:lineRule="exact"/>
        <w:rPr>
          <w:sz w:val="20"/>
          <w:szCs w:val="20"/>
          <w:color w:val="auto"/>
        </w:rPr>
      </w:pPr>
    </w:p>
    <w:p>
      <w:pPr>
        <w:ind w:left="20"/>
        <w:spacing w:after="0"/>
        <w:tabs>
          <w:tab w:leader="none" w:pos="2580" w:val="left"/>
          <w:tab w:leader="none" w:pos="3880" w:val="left"/>
          <w:tab w:leader="none" w:pos="5240" w:val="left"/>
          <w:tab w:leader="none" w:pos="6560" w:val="left"/>
          <w:tab w:leader="none" w:pos="7860" w:val="left"/>
          <w:tab w:leader="none" w:pos="9060" w:val="left"/>
          <w:tab w:leader="none" w:pos="10400" w:val="left"/>
        </w:tabs>
        <w:rPr>
          <w:sz w:val="20"/>
          <w:szCs w:val="20"/>
          <w:color w:val="auto"/>
        </w:rPr>
      </w:pPr>
      <w:r>
        <w:rPr>
          <w:rFonts w:ascii="Arial" w:cs="Arial" w:eastAsia="Arial" w:hAnsi="Arial"/>
          <w:sz w:val="14"/>
          <w:szCs w:val="14"/>
          <w:b w:val="1"/>
          <w:bCs w:val="1"/>
          <w:i w:val="1"/>
          <w:iCs w:val="1"/>
          <w:u w:val="single" w:color="auto"/>
          <w:color w:val="auto"/>
        </w:rPr>
        <w:t>(In thousands)</w:t>
      </w:r>
      <w:r>
        <w:rPr>
          <w:sz w:val="20"/>
          <w:szCs w:val="20"/>
          <w:color w:val="auto"/>
        </w:rPr>
        <w:tab/>
      </w:r>
      <w:r>
        <w:rPr>
          <w:rFonts w:ascii="Arial" w:cs="Arial" w:eastAsia="Arial" w:hAnsi="Arial"/>
          <w:sz w:val="16"/>
          <w:szCs w:val="16"/>
          <w:b w:val="1"/>
          <w:bCs w:val="1"/>
          <w:color w:val="auto"/>
        </w:rPr>
        <w:t>Ba2</w:t>
      </w:r>
      <w:r>
        <w:rPr>
          <w:sz w:val="20"/>
          <w:szCs w:val="20"/>
          <w:color w:val="auto"/>
        </w:rPr>
        <w:tab/>
      </w:r>
      <w:r>
        <w:rPr>
          <w:rFonts w:ascii="Arial" w:cs="Arial" w:eastAsia="Arial" w:hAnsi="Arial"/>
          <w:sz w:val="16"/>
          <w:szCs w:val="16"/>
          <w:b w:val="1"/>
          <w:bCs w:val="1"/>
          <w:color w:val="auto"/>
        </w:rPr>
        <w:t>Ba3</w:t>
      </w:r>
      <w:r>
        <w:rPr>
          <w:sz w:val="20"/>
          <w:szCs w:val="20"/>
          <w:color w:val="auto"/>
        </w:rPr>
        <w:tab/>
      </w:r>
      <w:r>
        <w:rPr>
          <w:rFonts w:ascii="Arial" w:cs="Arial" w:eastAsia="Arial" w:hAnsi="Arial"/>
          <w:sz w:val="16"/>
          <w:szCs w:val="16"/>
          <w:b w:val="1"/>
          <w:bCs w:val="1"/>
          <w:color w:val="auto"/>
        </w:rPr>
        <w:t>B1</w:t>
      </w:r>
      <w:r>
        <w:rPr>
          <w:sz w:val="20"/>
          <w:szCs w:val="20"/>
          <w:color w:val="auto"/>
        </w:rPr>
        <w:tab/>
      </w:r>
      <w:r>
        <w:rPr>
          <w:rFonts w:ascii="Arial" w:cs="Arial" w:eastAsia="Arial" w:hAnsi="Arial"/>
          <w:sz w:val="16"/>
          <w:szCs w:val="16"/>
          <w:b w:val="1"/>
          <w:bCs w:val="1"/>
          <w:color w:val="auto"/>
        </w:rPr>
        <w:t>B2</w:t>
      </w:r>
      <w:r>
        <w:rPr>
          <w:sz w:val="20"/>
          <w:szCs w:val="20"/>
          <w:color w:val="auto"/>
        </w:rPr>
        <w:tab/>
      </w:r>
      <w:r>
        <w:rPr>
          <w:rFonts w:ascii="Arial" w:cs="Arial" w:eastAsia="Arial" w:hAnsi="Arial"/>
          <w:sz w:val="16"/>
          <w:szCs w:val="16"/>
          <w:b w:val="1"/>
          <w:bCs w:val="1"/>
          <w:color w:val="auto"/>
        </w:rPr>
        <w:t>B3</w:t>
      </w:r>
      <w:r>
        <w:rPr>
          <w:sz w:val="20"/>
          <w:szCs w:val="20"/>
          <w:color w:val="auto"/>
        </w:rPr>
        <w:tab/>
      </w:r>
      <w:r>
        <w:rPr>
          <w:rFonts w:ascii="Arial" w:cs="Arial" w:eastAsia="Arial" w:hAnsi="Arial"/>
          <w:sz w:val="16"/>
          <w:szCs w:val="16"/>
          <w:b w:val="1"/>
          <w:bCs w:val="1"/>
          <w:color w:val="auto"/>
        </w:rPr>
        <w:t>N/A</w:t>
      </w:r>
      <w:r>
        <w:rPr>
          <w:rFonts w:ascii="Arial" w:cs="Arial" w:eastAsia="Arial" w:hAnsi="Arial"/>
          <w:sz w:val="21"/>
          <w:szCs w:val="21"/>
          <w:b w:val="1"/>
          <w:bCs w:val="1"/>
          <w:i w:val="1"/>
          <w:iCs w:val="1"/>
          <w:color w:val="auto"/>
          <w:vertAlign w:val="superscript"/>
        </w:rPr>
        <w:t>(1)</w:t>
      </w:r>
      <w:r>
        <w:rPr>
          <w:sz w:val="20"/>
          <w:szCs w:val="20"/>
          <w:color w:val="auto"/>
        </w:rPr>
        <w:tab/>
      </w:r>
      <w:r>
        <w:rPr>
          <w:rFonts w:ascii="Arial" w:cs="Arial" w:eastAsia="Arial" w:hAnsi="Arial"/>
          <w:sz w:val="15"/>
          <w:szCs w:val="15"/>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5918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5">
                      <a:extLst>
                        <a:ext uri="{28A0092B-C50C-407E-A947-70E740481C1C}"/>
                      </a:extLst>
                    </a:blip>
                    <a:srcRect/>
                    <a:stretch>
                      <a:fillRect/>
                    </a:stretch>
                  </pic:blipFill>
                  <pic:spPr bwMode="auto">
                    <a:xfrm>
                      <a:off x="0" y="0"/>
                      <a:ext cx="7132320" cy="59182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p>
      <w:pPr>
        <w:ind w:left="20" w:right="240"/>
        <w:spacing w:after="0" w:line="244" w:lineRule="auto"/>
        <w:rPr>
          <w:sz w:val="20"/>
          <w:szCs w:val="20"/>
          <w:color w:val="auto"/>
        </w:rPr>
      </w:pPr>
      <w:r>
        <w:rPr>
          <w:rFonts w:ascii="Arial" w:cs="Arial" w:eastAsia="Arial" w:hAnsi="Arial"/>
          <w:sz w:val="15"/>
          <w:szCs w:val="15"/>
          <w:color w:val="auto"/>
        </w:rPr>
        <w:t>Investments in leases - sales-type and financing receivable, Investments in loans, Other assets and Other</w:t>
      </w:r>
    </w:p>
    <w:p>
      <w:pPr>
        <w:spacing w:after="0" w:line="1" w:lineRule="exact"/>
        <w:rPr>
          <w:sz w:val="20"/>
          <w:szCs w:val="20"/>
          <w:color w:val="auto"/>
        </w:rPr>
      </w:pPr>
    </w:p>
    <w:p>
      <w:pPr>
        <w:ind w:left="20"/>
        <w:spacing w:after="0"/>
        <w:tabs>
          <w:tab w:leader="none" w:pos="2160" w:val="left"/>
        </w:tabs>
        <w:rPr>
          <w:sz w:val="20"/>
          <w:szCs w:val="20"/>
          <w:color w:val="auto"/>
        </w:rPr>
      </w:pPr>
      <w:r>
        <w:rPr>
          <w:rFonts w:ascii="Arial" w:cs="Arial" w:eastAsia="Arial" w:hAnsi="Arial"/>
          <w:sz w:val="13"/>
          <w:szCs w:val="13"/>
          <w:color w:val="auto"/>
        </w:rPr>
        <w:t>liabilities</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360" w:val="left"/>
          <w:tab w:leader="none" w:pos="880" w:val="left"/>
          <w:tab w:leader="none" w:pos="1660" w:val="left"/>
          <w:tab w:leader="none" w:pos="2000" w:val="left"/>
          <w:tab w:leader="none" w:pos="3000" w:val="left"/>
          <w:tab w:leader="none" w:pos="3520" w:val="left"/>
          <w:tab w:leader="none" w:pos="4300" w:val="left"/>
          <w:tab w:leader="none" w:pos="4820" w:val="left"/>
          <w:tab w:leader="none" w:pos="5600" w:val="left"/>
          <w:tab w:leader="none" w:pos="6200" w:val="left"/>
          <w:tab w:leader="none" w:pos="6880" w:val="left"/>
          <w:tab w:leader="none" w:pos="726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951,033</w:t>
        <w:tab/>
        <w:t>$</w:t>
        <w:tab/>
        <w:t>14,888,770</w:t>
        <w:tab/>
        <w:t>$</w:t>
      </w:r>
      <w:r>
        <w:rPr>
          <w:sz w:val="20"/>
          <w:szCs w:val="20"/>
          <w:color w:val="auto"/>
        </w:rPr>
        <w:tab/>
      </w:r>
      <w:r>
        <w:rPr>
          <w:rFonts w:ascii="Arial" w:cs="Arial" w:eastAsia="Arial" w:hAnsi="Arial"/>
          <w:sz w:val="18"/>
          <w:szCs w:val="18"/>
          <w:color w:val="auto"/>
        </w:rPr>
        <w:t>868,629</w:t>
        <w:tab/>
        <w:t>$</w:t>
      </w:r>
      <w:r>
        <w:rPr>
          <w:sz w:val="20"/>
          <w:szCs w:val="20"/>
          <w:color w:val="auto"/>
        </w:rPr>
        <w:tab/>
      </w:r>
      <w:r>
        <w:rPr>
          <w:rFonts w:ascii="Arial" w:cs="Arial" w:eastAsia="Arial" w:hAnsi="Arial"/>
          <w:sz w:val="18"/>
          <w:szCs w:val="18"/>
          <w:color w:val="auto"/>
        </w:rPr>
        <w:t>279,579</w:t>
        <w:tab/>
        <w:t>$</w:t>
      </w:r>
      <w:r>
        <w:rPr>
          <w:sz w:val="20"/>
          <w:szCs w:val="20"/>
          <w:color w:val="auto"/>
        </w:rPr>
        <w:tab/>
      </w:r>
      <w:r>
        <w:rPr>
          <w:rFonts w:ascii="Arial" w:cs="Arial" w:eastAsia="Arial" w:hAnsi="Arial"/>
          <w:sz w:val="18"/>
          <w:szCs w:val="18"/>
          <w:color w:val="auto"/>
        </w:rPr>
        <w:t>98,739</w:t>
        <w:tab/>
        <w:t>$</w:t>
      </w:r>
      <w:r>
        <w:rPr>
          <w:sz w:val="20"/>
          <w:szCs w:val="20"/>
          <w:color w:val="auto"/>
        </w:rPr>
        <w:tab/>
      </w:r>
      <w:r>
        <w:rPr>
          <w:rFonts w:ascii="Arial" w:cs="Arial" w:eastAsia="Arial" w:hAnsi="Arial"/>
          <w:sz w:val="15"/>
          <w:szCs w:val="15"/>
          <w:color w:val="auto"/>
        </w:rPr>
        <w:t>17,086,749</w:t>
      </w:r>
    </w:p>
    <w:p>
      <w:pPr>
        <w:spacing w:after="0" w:line="200" w:lineRule="exact"/>
        <w:rPr>
          <w:sz w:val="20"/>
          <w:szCs w:val="20"/>
          <w:color w:val="auto"/>
        </w:rPr>
      </w:pPr>
    </w:p>
    <w:p>
      <w:pPr>
        <w:sectPr>
          <w:pgSz w:w="11900" w:h="16838" w:orient="portrait"/>
          <w:cols w:equalWidth="0" w:num="2">
            <w:col w:w="2360" w:space="720"/>
            <w:col w:w="8160"/>
          </w:cols>
          <w:pgMar w:left="320" w:top="179" w:right="339"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120" w:name="page121"/>
    <w:bookmarkEnd w:id="1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w w:val="90"/>
              </w:rPr>
              <w:t>December 31, 2020</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Pr>
          <w:p>
            <w:pPr>
              <w:spacing w:after="0"/>
              <w:rPr>
                <w:sz w:val="14"/>
                <w:szCs w:val="14"/>
                <w:color w:val="auto"/>
              </w:rPr>
            </w:pPr>
          </w:p>
        </w:tc>
        <w:tc>
          <w:tcPr>
            <w:tcW w:w="1300" w:type="dxa"/>
            <w:vAlign w:val="bottom"/>
            <w:gridSpan w:val="3"/>
          </w:tcPr>
          <w:p>
            <w:pPr>
              <w:ind w:left="180"/>
              <w:spacing w:after="0" w:line="172" w:lineRule="exact"/>
              <w:rPr>
                <w:sz w:val="20"/>
                <w:szCs w:val="20"/>
                <w:color w:val="auto"/>
              </w:rPr>
            </w:pPr>
            <w:r>
              <w:rPr>
                <w:rFonts w:ascii="Arial" w:cs="Arial" w:eastAsia="Arial" w:hAnsi="Arial"/>
                <w:sz w:val="16"/>
                <w:szCs w:val="16"/>
                <w:b w:val="1"/>
                <w:bCs w:val="1"/>
                <w:color w:val="auto"/>
              </w:rPr>
              <w:t>Ba2</w:t>
            </w:r>
          </w:p>
        </w:tc>
        <w:tc>
          <w:tcPr>
            <w:tcW w:w="1220" w:type="dxa"/>
            <w:vAlign w:val="bottom"/>
            <w:gridSpan w:val="3"/>
          </w:tcPr>
          <w:p>
            <w:pPr>
              <w:ind w:left="160"/>
              <w:spacing w:after="0" w:line="172" w:lineRule="exact"/>
              <w:rPr>
                <w:sz w:val="20"/>
                <w:szCs w:val="20"/>
                <w:color w:val="auto"/>
              </w:rPr>
            </w:pPr>
            <w:r>
              <w:rPr>
                <w:rFonts w:ascii="Arial" w:cs="Arial" w:eastAsia="Arial" w:hAnsi="Arial"/>
                <w:sz w:val="16"/>
                <w:szCs w:val="16"/>
                <w:b w:val="1"/>
                <w:bCs w:val="1"/>
                <w:color w:val="auto"/>
              </w:rPr>
              <w:t>Ba3</w:t>
            </w:r>
          </w:p>
        </w:tc>
        <w:tc>
          <w:tcPr>
            <w:tcW w:w="1020" w:type="dxa"/>
            <w:vAlign w:val="bottom"/>
          </w:tcPr>
          <w:p>
            <w:pPr>
              <w:jc w:val="right"/>
              <w:ind w:right="455"/>
              <w:spacing w:after="0" w:line="172" w:lineRule="exact"/>
              <w:rPr>
                <w:sz w:val="20"/>
                <w:szCs w:val="20"/>
                <w:color w:val="auto"/>
              </w:rPr>
            </w:pPr>
            <w:r>
              <w:rPr>
                <w:rFonts w:ascii="Arial" w:cs="Arial" w:eastAsia="Arial" w:hAnsi="Arial"/>
                <w:sz w:val="16"/>
                <w:szCs w:val="16"/>
                <w:b w:val="1"/>
                <w:bCs w:val="1"/>
                <w:color w:val="auto"/>
              </w:rPr>
              <w:t>B1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2"/>
          </w:tcPr>
          <w:p>
            <w:pPr>
              <w:ind w:left="200"/>
              <w:spacing w:after="0" w:line="172" w:lineRule="exact"/>
              <w:rPr>
                <w:sz w:val="20"/>
                <w:szCs w:val="20"/>
                <w:color w:val="auto"/>
              </w:rPr>
            </w:pPr>
            <w:r>
              <w:rPr>
                <w:rFonts w:ascii="Arial" w:cs="Arial" w:eastAsia="Arial" w:hAnsi="Arial"/>
                <w:sz w:val="16"/>
                <w:szCs w:val="16"/>
                <w:b w:val="1"/>
                <w:bCs w:val="1"/>
                <w:color w:val="auto"/>
              </w:rPr>
              <w:t>B2</w:t>
            </w:r>
          </w:p>
        </w:tc>
        <w:tc>
          <w:tcPr>
            <w:tcW w:w="320" w:type="dxa"/>
            <w:vAlign w:val="bottom"/>
          </w:tcPr>
          <w:p>
            <w:pPr>
              <w:spacing w:after="0"/>
              <w:rPr>
                <w:sz w:val="14"/>
                <w:szCs w:val="14"/>
                <w:color w:val="auto"/>
              </w:rPr>
            </w:pPr>
          </w:p>
        </w:tc>
        <w:tc>
          <w:tcPr>
            <w:tcW w:w="980" w:type="dxa"/>
            <w:vAlign w:val="bottom"/>
            <w:gridSpan w:val="2"/>
          </w:tcPr>
          <w:p>
            <w:pPr>
              <w:ind w:left="200"/>
              <w:spacing w:after="0" w:line="172" w:lineRule="exact"/>
              <w:rPr>
                <w:sz w:val="20"/>
                <w:szCs w:val="20"/>
                <w:color w:val="auto"/>
              </w:rPr>
            </w:pPr>
            <w:r>
              <w:rPr>
                <w:rFonts w:ascii="Arial" w:cs="Arial" w:eastAsia="Arial" w:hAnsi="Arial"/>
                <w:sz w:val="16"/>
                <w:szCs w:val="16"/>
                <w:b w:val="1"/>
                <w:bCs w:val="1"/>
                <w:color w:val="auto"/>
              </w:rPr>
              <w:t>B3</w:t>
            </w:r>
          </w:p>
        </w:tc>
        <w:tc>
          <w:tcPr>
            <w:tcW w:w="260" w:type="dxa"/>
            <w:vAlign w:val="bottom"/>
          </w:tcPr>
          <w:p>
            <w:pPr>
              <w:spacing w:after="0"/>
              <w:rPr>
                <w:sz w:val="14"/>
                <w:szCs w:val="14"/>
                <w:color w:val="auto"/>
              </w:rPr>
            </w:pPr>
          </w:p>
        </w:tc>
        <w:tc>
          <w:tcPr>
            <w:tcW w:w="1040" w:type="dxa"/>
            <w:vAlign w:val="bottom"/>
            <w:gridSpan w:val="2"/>
          </w:tcPr>
          <w:p>
            <w:pPr>
              <w:ind w:left="140"/>
              <w:spacing w:after="0" w:line="172" w:lineRule="exact"/>
              <w:rPr>
                <w:sz w:val="20"/>
                <w:szCs w:val="20"/>
                <w:color w:val="auto"/>
              </w:rPr>
            </w:pPr>
            <w:r>
              <w:rPr>
                <w:rFonts w:ascii="Arial" w:cs="Arial" w:eastAsia="Arial" w:hAnsi="Arial"/>
                <w:sz w:val="15"/>
                <w:szCs w:val="15"/>
                <w:b w:val="1"/>
                <w:bCs w:val="1"/>
                <w:color w:val="auto"/>
              </w:rPr>
              <w:t>N/A</w:t>
            </w:r>
            <w:r>
              <w:rPr>
                <w:rFonts w:ascii="Arial" w:cs="Arial" w:eastAsia="Arial" w:hAnsi="Arial"/>
                <w:sz w:val="19"/>
                <w:szCs w:val="19"/>
                <w:b w:val="1"/>
                <w:bCs w:val="1"/>
                <w:i w:val="1"/>
                <w:iCs w:val="1"/>
                <w:color w:val="auto"/>
                <w:vertAlign w:val="superscript"/>
              </w:rPr>
              <w:t>(1)</w:t>
            </w:r>
          </w:p>
        </w:tc>
        <w:tc>
          <w:tcPr>
            <w:tcW w:w="260" w:type="dxa"/>
            <w:vAlign w:val="bottom"/>
          </w:tcPr>
          <w:p>
            <w:pPr>
              <w:spacing w:after="0"/>
              <w:rPr>
                <w:sz w:val="14"/>
                <w:szCs w:val="14"/>
                <w:color w:val="auto"/>
              </w:rPr>
            </w:pPr>
          </w:p>
        </w:tc>
        <w:tc>
          <w:tcPr>
            <w:tcW w:w="1020" w:type="dxa"/>
            <w:vAlign w:val="bottom"/>
          </w:tcPr>
          <w:p>
            <w:pPr>
              <w:jc w:val="right"/>
              <w:ind w:right="375"/>
              <w:spacing w:after="0" w:line="17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214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w w:val="89"/>
              </w:rPr>
              <w:t>Investments in leases - sales-</w:t>
            </w: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0"/>
              </w:rPr>
              <w:t>type and financing receivable</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3"/>
            <w:vMerge w:val="restart"/>
            <w:shd w:val="clear" w:color="auto" w:fill="CCEEFF"/>
          </w:tcPr>
          <w:p>
            <w:pPr>
              <w:ind w:left="660"/>
              <w:spacing w:after="0"/>
              <w:rPr>
                <w:sz w:val="20"/>
                <w:szCs w:val="20"/>
                <w:color w:val="auto"/>
              </w:rPr>
            </w:pPr>
            <w:r>
              <w:rPr>
                <w:rFonts w:ascii="Arial" w:cs="Arial" w:eastAsia="Arial" w:hAnsi="Arial"/>
                <w:sz w:val="18"/>
                <w:szCs w:val="18"/>
                <w:color w:val="auto"/>
              </w:rPr>
              <w:t>—  $</w:t>
            </w:r>
          </w:p>
        </w:tc>
        <w:tc>
          <w:tcPr>
            <w:tcW w:w="1220" w:type="dxa"/>
            <w:vAlign w:val="bottom"/>
            <w:gridSpan w:val="3"/>
            <w:vMerge w:val="restart"/>
            <w:shd w:val="clear" w:color="auto" w:fill="CCEEFF"/>
          </w:tcPr>
          <w:p>
            <w:pPr>
              <w:ind w:left="640"/>
              <w:spacing w:after="0"/>
              <w:rPr>
                <w:sz w:val="20"/>
                <w:szCs w:val="20"/>
                <w:color w:val="auto"/>
              </w:rPr>
            </w:pPr>
            <w:r>
              <w:rPr>
                <w:rFonts w:ascii="Arial" w:cs="Arial" w:eastAsia="Arial" w:hAnsi="Arial"/>
                <w:sz w:val="18"/>
                <w:szCs w:val="18"/>
                <w:color w:val="auto"/>
              </w:rPr>
              <w:t>—  $</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15,733,402</w:t>
            </w:r>
          </w:p>
        </w:tc>
        <w:tc>
          <w:tcPr>
            <w:tcW w:w="4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934,628</w:t>
            </w:r>
          </w:p>
        </w:tc>
        <w:tc>
          <w:tcPr>
            <w:tcW w:w="8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281,246</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65,012</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17,014,288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Investments in loans</w:t>
            </w:r>
          </w:p>
        </w:tc>
        <w:tc>
          <w:tcPr>
            <w:tcW w:w="280" w:type="dxa"/>
            <w:vAlign w:val="bottom"/>
            <w:vMerge w:val="continue"/>
            <w:shd w:val="clear" w:color="auto" w:fill="CCEEFF"/>
          </w:tcPr>
          <w:p>
            <w:pPr>
              <w:spacing w:after="0"/>
              <w:rPr>
                <w:sz w:val="19"/>
                <w:szCs w:val="19"/>
                <w:color w:val="auto"/>
              </w:rPr>
            </w:pPr>
          </w:p>
        </w:tc>
        <w:tc>
          <w:tcPr>
            <w:tcW w:w="1300" w:type="dxa"/>
            <w:vAlign w:val="bottom"/>
            <w:gridSpan w:val="3"/>
            <w:vMerge w:val="continue"/>
            <w:shd w:val="clear" w:color="auto" w:fill="CCEEFF"/>
          </w:tcPr>
          <w:p>
            <w:pPr>
              <w:spacing w:after="0"/>
              <w:rPr>
                <w:sz w:val="19"/>
                <w:szCs w:val="19"/>
                <w:color w:val="auto"/>
              </w:rPr>
            </w:pPr>
          </w:p>
        </w:tc>
        <w:tc>
          <w:tcPr>
            <w:tcW w:w="1220" w:type="dxa"/>
            <w:vAlign w:val="bottom"/>
            <w:gridSpan w:val="3"/>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ind w:left="340" w:hanging="332"/>
        <w:spacing w:after="0" w:line="255" w:lineRule="auto"/>
        <w:tabs>
          <w:tab w:leader="none" w:pos="332" w:val="left"/>
        </w:tabs>
        <w:numPr>
          <w:ilvl w:val="0"/>
          <w:numId w:val="90"/>
        </w:numPr>
        <w:rPr>
          <w:rFonts w:ascii="Arial" w:cs="Arial" w:eastAsia="Arial" w:hAnsi="Arial"/>
          <w:sz w:val="14"/>
          <w:szCs w:val="14"/>
          <w:i w:val="1"/>
          <w:iCs w:val="1"/>
          <w:color w:val="auto"/>
        </w:rPr>
      </w:pPr>
      <w:r>
        <w:rPr>
          <w:rFonts w:ascii="Arial" w:cs="Arial" w:eastAsia="Arial" w:hAnsi="Arial"/>
          <w:sz w:val="14"/>
          <w:szCs w:val="14"/>
          <w:i w:val="1"/>
          <w:iCs w:val="1"/>
          <w:color w:val="auto"/>
        </w:rPr>
        <w:t>We estimate the CECL allowance for the Chelsea Piers Mortgage Loan and Great Wolf Mezzanine Loan using a traditional commercial real estate model based on standardized credit metrics to estimate potential losses.</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 Other Assets and Other Liabilities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other assets as of December 31, 2021 and 2020:</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00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6"/>
                <w:szCs w:val="16"/>
                <w:color w:val="auto"/>
              </w:rPr>
            </w:pPr>
          </w:p>
        </w:tc>
        <w:tc>
          <w:tcPr>
            <w:tcW w:w="192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 2021</w:t>
            </w:r>
          </w:p>
        </w:tc>
        <w:tc>
          <w:tcPr>
            <w:tcW w:w="240" w:type="dxa"/>
            <w:vAlign w:val="bottom"/>
          </w:tcPr>
          <w:p>
            <w:pPr>
              <w:spacing w:after="0"/>
              <w:rPr>
                <w:sz w:val="16"/>
                <w:szCs w:val="16"/>
                <w:color w:val="auto"/>
              </w:rPr>
            </w:pPr>
          </w:p>
        </w:tc>
        <w:tc>
          <w:tcPr>
            <w:tcW w:w="1800" w:type="dxa"/>
            <w:vAlign w:val="bottom"/>
          </w:tcPr>
          <w:p>
            <w:pPr>
              <w:jc w:val="right"/>
              <w:ind w:right="271"/>
              <w:spacing w:after="0"/>
              <w:rPr>
                <w:sz w:val="20"/>
                <w:szCs w:val="20"/>
                <w:color w:val="auto"/>
              </w:rPr>
            </w:pPr>
            <w:r>
              <w:rPr>
                <w:rFonts w:ascii="Arial" w:cs="Arial" w:eastAsia="Arial" w:hAnsi="Arial"/>
                <w:sz w:val="16"/>
                <w:szCs w:val="16"/>
                <w:b w:val="1"/>
                <w:bCs w:val="1"/>
                <w:color w:val="auto"/>
                <w:w w:val="98"/>
              </w:rPr>
              <w:t>December 31, 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23"/>
        </w:trPr>
        <w:tc>
          <w:tcPr>
            <w:tcW w:w="7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Sales-type sub-leases, net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277,482</w:t>
            </w:r>
          </w:p>
        </w:tc>
      </w:tr>
      <w:tr>
        <w:trPr>
          <w:trHeight w:val="230"/>
        </w:trPr>
        <w:tc>
          <w:tcPr>
            <w:tcW w:w="7000" w:type="dxa"/>
            <w:vAlign w:val="bottom"/>
            <w:gridSpan w:val="3"/>
          </w:tcPr>
          <w:p>
            <w:pPr>
              <w:ind w:left="20"/>
              <w:spacing w:after="0"/>
              <w:rPr>
                <w:sz w:val="20"/>
                <w:szCs w:val="20"/>
                <w:color w:val="auto"/>
              </w:rPr>
            </w:pPr>
            <w:r>
              <w:rPr>
                <w:rFonts w:ascii="Arial" w:cs="Arial" w:eastAsia="Arial" w:hAnsi="Arial"/>
                <w:sz w:val="18"/>
                <w:szCs w:val="18"/>
                <w:color w:val="auto"/>
              </w:rPr>
              <w:t>Property and equipment used in operations, net</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68,515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69,204</w:t>
            </w:r>
          </w:p>
        </w:tc>
      </w:tr>
      <w:tr>
        <w:trPr>
          <w:trHeight w:val="229"/>
        </w:trPr>
        <w:tc>
          <w:tcPr>
            <w:tcW w:w="7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Debt financing costs</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8,879</w:t>
            </w:r>
          </w:p>
        </w:tc>
      </w:tr>
      <w:tr>
        <w:trPr>
          <w:trHeight w:val="229"/>
        </w:trPr>
        <w:tc>
          <w:tcPr>
            <w:tcW w:w="7000" w:type="dxa"/>
            <w:vAlign w:val="bottom"/>
            <w:gridSpan w:val="3"/>
          </w:tcPr>
          <w:p>
            <w:pPr>
              <w:ind w:left="20"/>
              <w:spacing w:after="0"/>
              <w:rPr>
                <w:sz w:val="20"/>
                <w:szCs w:val="20"/>
                <w:color w:val="auto"/>
              </w:rPr>
            </w:pPr>
            <w:r>
              <w:rPr>
                <w:rFonts w:ascii="Arial" w:cs="Arial" w:eastAsia="Arial" w:hAnsi="Arial"/>
                <w:sz w:val="18"/>
                <w:szCs w:val="18"/>
                <w:color w:val="auto"/>
              </w:rPr>
              <w:t>Deferred acquisition costs</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24,690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1,788</w:t>
            </w:r>
          </w:p>
        </w:tc>
      </w:tr>
      <w:tr>
        <w:trPr>
          <w:trHeight w:val="230"/>
        </w:trPr>
        <w:tc>
          <w:tcPr>
            <w:tcW w:w="7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Right of use assets</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17,507</w:t>
            </w:r>
          </w:p>
        </w:tc>
      </w:tr>
      <w:tr>
        <w:trPr>
          <w:trHeight w:val="229"/>
        </w:trPr>
        <w:tc>
          <w:tcPr>
            <w:tcW w:w="7000" w:type="dxa"/>
            <w:vAlign w:val="bottom"/>
            <w:gridSpan w:val="3"/>
          </w:tcPr>
          <w:p>
            <w:pPr>
              <w:ind w:left="20"/>
              <w:spacing w:after="0"/>
              <w:rPr>
                <w:sz w:val="20"/>
                <w:szCs w:val="20"/>
                <w:color w:val="auto"/>
              </w:rPr>
            </w:pPr>
            <w:r>
              <w:rPr>
                <w:rFonts w:ascii="Arial" w:cs="Arial" w:eastAsia="Arial" w:hAnsi="Arial"/>
                <w:sz w:val="18"/>
                <w:szCs w:val="18"/>
                <w:color w:val="auto"/>
              </w:rPr>
              <w:t>Tenant receivable for property taxes</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5,032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3,384</w:t>
            </w:r>
          </w:p>
        </w:tc>
      </w:tr>
      <w:tr>
        <w:trPr>
          <w:trHeight w:val="230"/>
        </w:trPr>
        <w:tc>
          <w:tcPr>
            <w:tcW w:w="7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w:t>
            </w:r>
          </w:p>
        </w:tc>
      </w:tr>
      <w:tr>
        <w:trPr>
          <w:trHeight w:val="229"/>
        </w:trPr>
        <w:tc>
          <w:tcPr>
            <w:tcW w:w="7000" w:type="dxa"/>
            <w:vAlign w:val="bottom"/>
            <w:gridSpan w:val="3"/>
          </w:tcPr>
          <w:p>
            <w:pPr>
              <w:ind w:left="20"/>
              <w:spacing w:after="0"/>
              <w:rPr>
                <w:sz w:val="20"/>
                <w:szCs w:val="20"/>
                <w:color w:val="auto"/>
              </w:rPr>
            </w:pPr>
            <w:r>
              <w:rPr>
                <w:rFonts w:ascii="Arial" w:cs="Arial" w:eastAsia="Arial" w:hAnsi="Arial"/>
                <w:sz w:val="18"/>
                <w:szCs w:val="18"/>
                <w:color w:val="auto"/>
              </w:rPr>
              <w:t>Interest receivable</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2,780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2,746</w:t>
            </w:r>
          </w:p>
        </w:tc>
      </w:tr>
      <w:tr>
        <w:trPr>
          <w:trHeight w:val="230"/>
        </w:trPr>
        <w:tc>
          <w:tcPr>
            <w:tcW w:w="7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Forward swap asset</w:t>
            </w: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00" w:type="dxa"/>
            <w:vAlign w:val="bottom"/>
            <w:gridSpan w:val="3"/>
          </w:tcPr>
          <w:p>
            <w:pPr>
              <w:ind w:left="20"/>
              <w:spacing w:after="0"/>
              <w:rPr>
                <w:sz w:val="20"/>
                <w:szCs w:val="20"/>
                <w:color w:val="auto"/>
              </w:rPr>
            </w:pPr>
            <w:r>
              <w:rPr>
                <w:rFonts w:ascii="Arial" w:cs="Arial" w:eastAsia="Arial" w:hAnsi="Arial"/>
                <w:sz w:val="18"/>
                <w:szCs w:val="18"/>
                <w:color w:val="auto"/>
              </w:rPr>
              <w:t>Other receivables</w:t>
            </w: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803</w:t>
            </w:r>
          </w:p>
        </w:tc>
      </w:tr>
      <w:tr>
        <w:trPr>
          <w:trHeight w:val="230"/>
        </w:trPr>
        <w:tc>
          <w:tcPr>
            <w:tcW w:w="7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w:t>
            </w:r>
          </w:p>
        </w:tc>
      </w:tr>
      <w:tr>
        <w:trPr>
          <w:trHeight w:val="223"/>
        </w:trPr>
        <w:tc>
          <w:tcPr>
            <w:tcW w:w="20" w:type="dxa"/>
            <w:vAlign w:val="bottom"/>
          </w:tcPr>
          <w:p>
            <w:pPr>
              <w:spacing w:after="0"/>
              <w:rPr>
                <w:sz w:val="19"/>
                <w:szCs w:val="19"/>
                <w:color w:val="auto"/>
              </w:rPr>
            </w:pPr>
          </w:p>
        </w:tc>
        <w:tc>
          <w:tcPr>
            <w:tcW w:w="6980" w:type="dxa"/>
            <w:vAlign w:val="bottom"/>
            <w:gridSpan w:val="2"/>
          </w:tcPr>
          <w:p>
            <w:pPr>
              <w:ind w:left="200"/>
              <w:spacing w:after="0"/>
              <w:rPr>
                <w:sz w:val="20"/>
                <w:szCs w:val="20"/>
                <w:color w:val="auto"/>
              </w:rPr>
            </w:pPr>
            <w:r>
              <w:rPr>
                <w:rFonts w:ascii="Arial" w:cs="Arial" w:eastAsia="Arial" w:hAnsi="Arial"/>
                <w:sz w:val="18"/>
                <w:szCs w:val="18"/>
                <w:color w:val="auto"/>
              </w:rPr>
              <w:t>Total other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424,693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386,530</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w:t>
      </w:r>
    </w:p>
    <w:p>
      <w:pPr>
        <w:spacing w:after="0" w:line="40" w:lineRule="exact"/>
        <w:rPr>
          <w:sz w:val="20"/>
          <w:szCs w:val="20"/>
          <w:color w:val="auto"/>
        </w:rPr>
      </w:pPr>
    </w:p>
    <w:p>
      <w:pPr>
        <w:ind w:firstLine="8"/>
        <w:spacing w:after="0" w:line="273" w:lineRule="auto"/>
        <w:tabs>
          <w:tab w:leader="none" w:pos="208" w:val="left"/>
        </w:tabs>
        <w:numPr>
          <w:ilvl w:val="0"/>
          <w:numId w:val="91"/>
        </w:numPr>
        <w:rPr>
          <w:rFonts w:ascii="Arial" w:cs="Arial" w:eastAsia="Arial" w:hAnsi="Arial"/>
          <w:sz w:val="14"/>
          <w:szCs w:val="14"/>
          <w:i w:val="1"/>
          <w:iCs w:val="1"/>
          <w:color w:val="0000FF"/>
        </w:rPr>
      </w:pPr>
      <w:hyperlink w:anchor="page118">
        <w:r>
          <w:rPr>
            <w:rFonts w:ascii="Arial" w:cs="Arial" w:eastAsia="Arial" w:hAnsi="Arial"/>
            <w:sz w:val="14"/>
            <w:szCs w:val="14"/>
            <w:i w:val="1"/>
            <w:iCs w:val="1"/>
            <w:color w:val="auto"/>
          </w:rPr>
          <w:t xml:space="preserve">As of December 31, 2021 and December 31, 2020, sales-type sub-leases are net of $6.5 million and $6.9 million of Allowance for credit losses, respectively. Refer to </w:t>
        </w:r>
        <w:r>
          <w:rPr>
            <w:rFonts w:ascii="Arial" w:cs="Arial" w:eastAsia="Arial" w:hAnsi="Arial"/>
            <w:sz w:val="14"/>
            <w:szCs w:val="14"/>
            <w:i w:val="1"/>
            <w:iCs w:val="1"/>
            <w:u w:val="single" w:color="auto"/>
            <w:color w:val="0000FF"/>
          </w:rPr>
          <w:t>Note 5 - Allowance for</w:t>
        </w:r>
      </w:hyperlink>
      <w:r>
        <w:rPr>
          <w:rFonts w:ascii="Arial" w:cs="Arial" w:eastAsia="Arial" w:hAnsi="Arial"/>
          <w:sz w:val="14"/>
          <w:szCs w:val="14"/>
          <w:i w:val="1"/>
          <w:iCs w:val="1"/>
          <w:color w:val="auto"/>
        </w:rPr>
        <w:t xml:space="preserve"> </w:t>
      </w:r>
      <w:hyperlink w:anchor="page118">
        <w:r>
          <w:rPr>
            <w:rFonts w:ascii="Arial" w:cs="Arial" w:eastAsia="Arial" w:hAnsi="Arial"/>
            <w:sz w:val="14"/>
            <w:szCs w:val="14"/>
            <w:i w:val="1"/>
            <w:iCs w:val="1"/>
            <w:u w:val="single" w:color="auto"/>
            <w:color w:val="0000FF"/>
          </w:rPr>
          <w:t>Credit Losses</w:t>
        </w:r>
        <w:r>
          <w:rPr>
            <w:rFonts w:ascii="Arial" w:cs="Arial" w:eastAsia="Arial" w:hAnsi="Arial"/>
            <w:sz w:val="14"/>
            <w:szCs w:val="14"/>
            <w:i w:val="1"/>
            <w:iCs w:val="1"/>
            <w:color w:val="0000FF"/>
          </w:rPr>
          <w:t xml:space="preserve"> </w:t>
        </w:r>
        <w:r>
          <w:rPr>
            <w:rFonts w:ascii="Arial" w:cs="Arial" w:eastAsia="Arial" w:hAnsi="Arial"/>
            <w:sz w:val="14"/>
            <w:szCs w:val="14"/>
            <w:i w:val="1"/>
            <w:iCs w:val="1"/>
            <w:color w:val="000000"/>
          </w:rPr>
          <w:t>for further details.</w:t>
        </w:r>
      </w:hyperlink>
    </w:p>
    <w:p>
      <w:pPr>
        <w:spacing w:after="0" w:line="124" w:lineRule="exact"/>
        <w:rPr>
          <w:rFonts w:ascii="Arial" w:cs="Arial" w:eastAsia="Arial" w:hAnsi="Arial"/>
          <w:sz w:val="14"/>
          <w:szCs w:val="14"/>
          <w:i w:val="1"/>
          <w:iCs w:val="1"/>
          <w:color w:val="auto"/>
        </w:rPr>
      </w:pPr>
    </w:p>
    <w:p>
      <w:pPr>
        <w:ind w:right="20"/>
        <w:spacing w:after="0" w:line="277" w:lineRule="auto"/>
        <w:rPr>
          <w:sz w:val="20"/>
          <w:szCs w:val="20"/>
          <w:color w:val="auto"/>
        </w:rPr>
      </w:pPr>
      <w:r>
        <w:rPr>
          <w:rFonts w:ascii="Arial" w:cs="Arial" w:eastAsia="Arial" w:hAnsi="Arial"/>
          <w:sz w:val="18"/>
          <w:szCs w:val="18"/>
          <w:color w:val="auto"/>
        </w:rPr>
        <w:t>Property and equipment used in operations, included within other assets, is primarily attributable to the land, building and improvements of our golf operations and consists of the following as of December 31, 2021 and 2020:</w:t>
      </w:r>
    </w:p>
    <w:p>
      <w:pPr>
        <w:spacing w:after="0" w:line="149" w:lineRule="exact"/>
        <w:rPr>
          <w:rFonts w:ascii="Arial" w:cs="Arial" w:eastAsia="Arial" w:hAnsi="Arial"/>
          <w:sz w:val="14"/>
          <w:szCs w:val="14"/>
          <w:i w:val="1"/>
          <w:iCs w:val="1"/>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10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w w:val="91"/>
              </w:rPr>
              <w:t>December 31, 2021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59,115</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00" w:type="dxa"/>
            <w:vAlign w:val="bottom"/>
            <w:gridSpan w:val="4"/>
          </w:tcPr>
          <w:p>
            <w:pPr>
              <w:spacing w:after="0"/>
              <w:rPr>
                <w:sz w:val="20"/>
                <w:szCs w:val="20"/>
                <w:color w:val="auto"/>
              </w:rPr>
            </w:pPr>
            <w:r>
              <w:rPr>
                <w:rFonts w:ascii="Arial" w:cs="Arial" w:eastAsia="Arial" w:hAnsi="Arial"/>
                <w:sz w:val="18"/>
                <w:szCs w:val="18"/>
                <w:color w:val="auto"/>
              </w:rPr>
              <w:t>Buildings and improvements</w:t>
            </w: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14,880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14,697</w:t>
            </w:r>
          </w:p>
        </w:tc>
        <w:tc>
          <w:tcPr>
            <w:tcW w:w="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7,020</w:t>
            </w:r>
          </w:p>
        </w:tc>
        <w:tc>
          <w:tcPr>
            <w:tcW w:w="4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80" w:type="dxa"/>
            <w:vAlign w:val="bottom"/>
            <w:gridSpan w:val="3"/>
          </w:tcPr>
          <w:p>
            <w:pPr>
              <w:ind w:left="180"/>
              <w:spacing w:after="0"/>
              <w:rPr>
                <w:sz w:val="20"/>
                <w:szCs w:val="20"/>
                <w:color w:val="auto"/>
              </w:rPr>
            </w:pPr>
            <w:r>
              <w:rPr>
                <w:rFonts w:ascii="Arial" w:cs="Arial" w:eastAsia="Arial" w:hAnsi="Arial"/>
                <w:sz w:val="18"/>
                <w:szCs w:val="18"/>
                <w:color w:val="auto"/>
              </w:rPr>
              <w:t>Total property and equipment used in operations</w:t>
            </w: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83,144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80,832</w:t>
            </w:r>
          </w:p>
        </w:tc>
        <w:tc>
          <w:tcPr>
            <w:tcW w:w="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(11,628)</w:t>
            </w:r>
          </w:p>
        </w:tc>
        <w:tc>
          <w:tcPr>
            <w:tcW w:w="4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80" w:type="dxa"/>
            <w:vAlign w:val="bottom"/>
            <w:gridSpan w:val="3"/>
          </w:tcPr>
          <w:p>
            <w:pPr>
              <w:ind w:left="180"/>
              <w:spacing w:after="0"/>
              <w:rPr>
                <w:sz w:val="20"/>
                <w:szCs w:val="20"/>
                <w:color w:val="auto"/>
              </w:rPr>
            </w:pPr>
            <w:r>
              <w:rPr>
                <w:rFonts w:ascii="Arial" w:cs="Arial" w:eastAsia="Arial" w:hAnsi="Arial"/>
                <w:sz w:val="18"/>
                <w:szCs w:val="18"/>
                <w:color w:val="auto"/>
              </w:rPr>
              <w:t>Total property and equipment used in operations, net</w:t>
            </w: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68,515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69,204</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49"/>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w w:val="95"/>
              </w:rPr>
              <w:t>Year Ended December 31,</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72"/>
        </w:trPr>
        <w:tc>
          <w:tcPr>
            <w:tcW w:w="20" w:type="dxa"/>
            <w:vAlign w:val="bottom"/>
          </w:tcPr>
          <w:p>
            <w:pPr>
              <w:spacing w:after="0"/>
              <w:rPr>
                <w:sz w:val="14"/>
                <w:szCs w:val="14"/>
                <w:color w:val="auto"/>
              </w:rPr>
            </w:pPr>
          </w:p>
        </w:tc>
        <w:tc>
          <w:tcPr>
            <w:tcW w:w="5100" w:type="dxa"/>
            <w:vAlign w:val="bottom"/>
            <w:gridSpan w:val="4"/>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Pr>
          <w:p>
            <w:pPr>
              <w:spacing w:after="0"/>
              <w:rPr>
                <w:sz w:val="14"/>
                <w:szCs w:val="14"/>
                <w:color w:val="auto"/>
              </w:rPr>
            </w:pPr>
          </w:p>
        </w:tc>
        <w:tc>
          <w:tcPr>
            <w:tcW w:w="1660" w:type="dxa"/>
            <w:vAlign w:val="bottom"/>
          </w:tcPr>
          <w:p>
            <w:pPr>
              <w:jc w:val="right"/>
              <w:ind w:right="633"/>
              <w:spacing w:after="0" w:line="17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tcPr>
          <w:p>
            <w:pPr>
              <w:jc w:val="right"/>
              <w:ind w:right="612"/>
              <w:spacing w:after="0" w:line="172"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Pr>
          <w:p>
            <w:pPr>
              <w:jc w:val="right"/>
              <w:ind w:right="712"/>
              <w:spacing w:after="0" w:line="172" w:lineRule="exact"/>
              <w:rPr>
                <w:sz w:val="20"/>
                <w:szCs w:val="20"/>
                <w:color w:val="auto"/>
              </w:rPr>
            </w:pPr>
            <w:r>
              <w:rPr>
                <w:rFonts w:ascii="Arial" w:cs="Arial" w:eastAsia="Arial" w:hAnsi="Arial"/>
                <w:sz w:val="16"/>
                <w:szCs w:val="16"/>
                <w:b w:val="1"/>
                <w:bCs w:val="1"/>
                <w:color w:val="auto"/>
              </w:rPr>
              <w:t>2019</w:t>
            </w:r>
          </w:p>
        </w:tc>
        <w:tc>
          <w:tcPr>
            <w:tcW w:w="4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w:t>
            </w:r>
          </w:p>
        </w:tc>
        <w:tc>
          <w:tcPr>
            <w:tcW w:w="40" w:type="dxa"/>
            <w:vAlign w:val="bottom"/>
            <w:tcBorders>
              <w:left w:val="single" w:sz="8" w:color="CCEEFF"/>
            </w:tcBorders>
          </w:tcPr>
          <w:p>
            <w:pPr>
              <w:spacing w:after="0"/>
              <w:rPr>
                <w:sz w:val="19"/>
                <w:szCs w:val="19"/>
                <w:color w:val="auto"/>
              </w:rPr>
            </w:pPr>
          </w:p>
        </w:tc>
      </w:tr>
      <w:tr>
        <w:trPr>
          <w:trHeight w:val="904"/>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gridSpan w:val="3"/>
          </w:tcPr>
          <w:p>
            <w:pPr>
              <w:jc w:val="right"/>
              <w:ind w:right="1340"/>
              <w:spacing w:after="0"/>
              <w:rPr>
                <w:sz w:val="20"/>
                <w:szCs w:val="20"/>
                <w:color w:val="auto"/>
              </w:rPr>
            </w:pPr>
            <w:r>
              <w:rPr>
                <w:rFonts w:ascii="Arial" w:cs="Arial" w:eastAsia="Arial" w:hAnsi="Arial"/>
                <w:sz w:val="18"/>
                <w:szCs w:val="18"/>
                <w:color w:val="auto"/>
              </w:rPr>
              <w:t>F - 39</w:t>
            </w: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rFonts w:ascii="Arial" w:cs="Arial" w:eastAsia="Arial" w:hAnsi="Arial"/>
          <w:sz w:val="14"/>
          <w:szCs w:val="14"/>
          <w:i w:val="1"/>
          <w:iCs w:val="1"/>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1" w:name="page122"/>
    <w:bookmarkEnd w:id="1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Liabilities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other liabilities as of December 31, 2021 and 2020: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9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6"/>
                <w:szCs w:val="16"/>
                <w:color w:val="auto"/>
              </w:rPr>
            </w:pPr>
          </w:p>
        </w:tc>
        <w:tc>
          <w:tcPr>
            <w:tcW w:w="192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 2021</w:t>
            </w:r>
          </w:p>
        </w:tc>
        <w:tc>
          <w:tcPr>
            <w:tcW w:w="240" w:type="dxa"/>
            <w:vAlign w:val="bottom"/>
          </w:tcPr>
          <w:p>
            <w:pPr>
              <w:spacing w:after="0"/>
              <w:rPr>
                <w:sz w:val="16"/>
                <w:szCs w:val="16"/>
                <w:color w:val="auto"/>
              </w:rPr>
            </w:pPr>
          </w:p>
        </w:tc>
        <w:tc>
          <w:tcPr>
            <w:tcW w:w="1820" w:type="dxa"/>
            <w:vAlign w:val="bottom"/>
          </w:tcPr>
          <w:p>
            <w:pPr>
              <w:jc w:val="right"/>
              <w:ind w:right="291"/>
              <w:spacing w:after="0"/>
              <w:rPr>
                <w:sz w:val="20"/>
                <w:szCs w:val="20"/>
                <w:color w:val="auto"/>
              </w:rPr>
            </w:pPr>
            <w:r>
              <w:rPr>
                <w:rFonts w:ascii="Arial" w:cs="Arial" w:eastAsia="Arial" w:hAnsi="Arial"/>
                <w:sz w:val="16"/>
                <w:szCs w:val="16"/>
                <w:b w:val="1"/>
                <w:bCs w:val="1"/>
                <w:color w:val="auto"/>
                <w:w w:val="98"/>
              </w:rPr>
              <w:t>December 31,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sub-lease liabilities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284,376</w:t>
            </w:r>
          </w:p>
        </w:tc>
      </w:tr>
      <w:tr>
        <w:trPr>
          <w:trHeight w:val="229"/>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Deferred financing liability</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73,600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73,600</w:t>
            </w:r>
          </w:p>
        </w:tc>
      </w:tr>
      <w:tr>
        <w:trPr>
          <w:trHeight w:val="230"/>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17,507</w:t>
            </w:r>
          </w:p>
        </w:tc>
      </w:tr>
      <w:tr>
        <w:trPr>
          <w:trHeight w:val="229"/>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3,879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3,533</w:t>
            </w:r>
          </w:p>
        </w:tc>
      </w:tr>
      <w:tr>
        <w:trPr>
          <w:trHeight w:val="229"/>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CECL allowance for unfunded loan commitments</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Derivative liability</w:t>
            </w:r>
          </w:p>
        </w:tc>
        <w:tc>
          <w:tcPr>
            <w:tcW w:w="24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92,521</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98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other liabilities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375,837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471,537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 Debt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detail our debt obligations as of December 31, 2021 and 2020: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140" w:type="dxa"/>
            <w:vAlign w:val="bottom"/>
            <w:gridSpan w:val="3"/>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7"/>
          </w:tcPr>
          <w:p>
            <w:pPr>
              <w:jc w:val="center"/>
              <w:spacing w:after="0"/>
              <w:rPr>
                <w:sz w:val="20"/>
                <w:szCs w:val="20"/>
                <w:color w:val="auto"/>
              </w:rPr>
            </w:pPr>
            <w:r>
              <w:rPr>
                <w:rFonts w:ascii="Arial" w:cs="Arial" w:eastAsia="Arial" w:hAnsi="Arial"/>
                <w:sz w:val="16"/>
                <w:szCs w:val="16"/>
                <w:b w:val="1"/>
                <w:bCs w:val="1"/>
                <w:color w:val="auto"/>
                <w:w w:val="91"/>
              </w:rPr>
              <w:t>December 31, 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4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Description of Debt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360"/>
              <w:spacing w:after="0" w:line="155" w:lineRule="exact"/>
              <w:rPr>
                <w:sz w:val="20"/>
                <w:szCs w:val="20"/>
                <w:color w:val="auto"/>
              </w:rPr>
            </w:pPr>
            <w:r>
              <w:rPr>
                <w:rFonts w:ascii="Arial" w:cs="Arial" w:eastAsia="Arial" w:hAnsi="Arial"/>
                <w:sz w:val="16"/>
                <w:szCs w:val="16"/>
                <w:b w:val="1"/>
                <w:bCs w:val="1"/>
                <w:color w:val="auto"/>
                <w:w w:val="96"/>
              </w:rPr>
              <w:t>Final</w:t>
            </w:r>
          </w:p>
        </w:tc>
        <w:tc>
          <w:tcPr>
            <w:tcW w:w="60" w:type="dxa"/>
            <w:vAlign w:val="bottom"/>
          </w:tcPr>
          <w:p>
            <w:pPr>
              <w:spacing w:after="0"/>
              <w:rPr>
                <w:sz w:val="13"/>
                <w:szCs w:val="13"/>
                <w:color w:val="auto"/>
              </w:rPr>
            </w:pPr>
          </w:p>
        </w:tc>
        <w:tc>
          <w:tcPr>
            <w:tcW w:w="1160" w:type="dxa"/>
            <w:vAlign w:val="bottom"/>
            <w:gridSpan w:val="3"/>
            <w:vMerge w:val="restart"/>
          </w:tcPr>
          <w:p>
            <w:pPr>
              <w:jc w:val="center"/>
              <w:ind w:right="180"/>
              <w:spacing w:after="0"/>
              <w:rPr>
                <w:sz w:val="20"/>
                <w:szCs w:val="20"/>
                <w:color w:val="auto"/>
              </w:rPr>
            </w:pPr>
            <w:r>
              <w:rPr>
                <w:rFonts w:ascii="Arial" w:cs="Arial" w:eastAsia="Arial" w:hAnsi="Arial"/>
                <w:sz w:val="16"/>
                <w:szCs w:val="16"/>
                <w:b w:val="1"/>
                <w:bCs w:val="1"/>
                <w:color w:val="auto"/>
                <w:w w:val="92"/>
              </w:rPr>
              <w:t>Interest Rate</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restart"/>
          </w:tcPr>
          <w:p>
            <w:pPr>
              <w:jc w:val="right"/>
              <w:ind w:right="380"/>
              <w:spacing w:after="0"/>
              <w:rPr>
                <w:sz w:val="20"/>
                <w:szCs w:val="20"/>
                <w:color w:val="auto"/>
              </w:rPr>
            </w:pPr>
            <w:r>
              <w:rPr>
                <w:rFonts w:ascii="Arial" w:cs="Arial" w:eastAsia="Arial" w:hAnsi="Arial"/>
                <w:sz w:val="16"/>
                <w:szCs w:val="16"/>
                <w:b w:val="1"/>
                <w:bCs w:val="1"/>
                <w:color w:val="auto"/>
                <w:w w:val="88"/>
              </w:rPr>
              <w:t>Face Value</w:t>
            </w:r>
          </w:p>
        </w:tc>
        <w:tc>
          <w:tcPr>
            <w:tcW w:w="1360" w:type="dxa"/>
            <w:vAlign w:val="bottom"/>
            <w:gridSpan w:val="4"/>
            <w:vMerge w:val="restart"/>
          </w:tcPr>
          <w:p>
            <w:pPr>
              <w:ind w:left="60"/>
              <w:spacing w:after="0"/>
              <w:rPr>
                <w:sz w:val="20"/>
                <w:szCs w:val="20"/>
                <w:color w:val="auto"/>
              </w:rPr>
            </w:pPr>
            <w:r>
              <w:rPr>
                <w:rFonts w:ascii="Arial" w:cs="Arial" w:eastAsia="Arial" w:hAnsi="Arial"/>
                <w:sz w:val="16"/>
                <w:szCs w:val="16"/>
                <w:b w:val="1"/>
                <w:bCs w:val="1"/>
                <w:color w:val="auto"/>
                <w:w w:val="97"/>
              </w:rPr>
              <w:t>Carrying Value</w:t>
            </w:r>
            <w:r>
              <w:rPr>
                <w:rFonts w:ascii="Arial" w:cs="Arial" w:eastAsia="Arial" w:hAnsi="Arial"/>
                <w:sz w:val="23"/>
                <w:szCs w:val="23"/>
                <w:i w:val="1"/>
                <w:iCs w:val="1"/>
                <w:color w:val="auto"/>
                <w:w w:val="97"/>
                <w:vertAlign w:val="superscript"/>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rPr>
              <w:t>Maturity</w:t>
            </w:r>
          </w:p>
        </w:tc>
        <w:tc>
          <w:tcPr>
            <w:tcW w:w="60" w:type="dxa"/>
            <w:vAlign w:val="bottom"/>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36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6020" w:type="dxa"/>
            <w:vAlign w:val="bottom"/>
            <w:tcBorders>
              <w:top w:val="single" w:sz="8" w:color="auto"/>
            </w:tcBorders>
            <w:gridSpan w:val="2"/>
            <w:shd w:val="clear" w:color="auto" w:fill="CCEEFF"/>
          </w:tcPr>
          <w:p>
            <w:pPr>
              <w:spacing w:after="0" w:line="223" w:lineRule="exact"/>
              <w:rPr>
                <w:sz w:val="20"/>
                <w:szCs w:val="20"/>
                <w:color w:val="auto"/>
              </w:rPr>
            </w:pPr>
            <w:r>
              <w:rPr>
                <w:rFonts w:ascii="Arial" w:cs="Arial" w:eastAsia="Arial" w:hAnsi="Arial"/>
                <w:sz w:val="18"/>
                <w:szCs w:val="18"/>
                <w:color w:val="auto"/>
              </w:rPr>
              <w:t xml:space="preserve">Secured Revolving Credit Facility </w:t>
            </w:r>
            <w:r>
              <w:rPr>
                <w:rFonts w:ascii="Arial" w:cs="Arial" w:eastAsia="Arial" w:hAnsi="Arial"/>
                <w:sz w:val="23"/>
                <w:szCs w:val="23"/>
                <w:i w:val="1"/>
                <w:iCs w:val="1"/>
                <w:color w:val="auto"/>
                <w:vertAlign w:val="superscript"/>
              </w:rPr>
              <w:t>(2)</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1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center"/>
              <w:ind w:right="75"/>
              <w:spacing w:after="0"/>
              <w:rPr>
                <w:sz w:val="20"/>
                <w:szCs w:val="20"/>
                <w:color w:val="auto"/>
              </w:rPr>
            </w:pPr>
            <w:r>
              <w:rPr>
                <w:rFonts w:ascii="Arial" w:cs="Arial" w:eastAsia="Arial" w:hAnsi="Arial"/>
                <w:sz w:val="18"/>
                <w:szCs w:val="18"/>
                <w:color w:val="auto"/>
                <w:w w:val="93"/>
              </w:rPr>
              <w:t>L + 2.00%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gridSpan w:val="2"/>
            <w:shd w:val="clear" w:color="auto" w:fill="CCEEFF"/>
          </w:tcPr>
          <w:p>
            <w:pPr>
              <w:jc w:val="right"/>
              <w:ind w:right="175"/>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40" w:type="dxa"/>
            <w:vAlign w:val="bottom"/>
            <w:gridSpan w:val="3"/>
          </w:tcPr>
          <w:p>
            <w:pPr>
              <w:spacing w:after="0" w:line="230" w:lineRule="exact"/>
              <w:rPr>
                <w:sz w:val="20"/>
                <w:szCs w:val="20"/>
                <w:color w:val="auto"/>
              </w:rPr>
            </w:pPr>
            <w:r>
              <w:rPr>
                <w:rFonts w:ascii="Arial" w:cs="Arial" w:eastAsia="Arial" w:hAnsi="Arial"/>
                <w:sz w:val="18"/>
                <w:szCs w:val="18"/>
                <w:color w:val="auto"/>
              </w:rPr>
              <w:t xml:space="preserve">Senior Unsecured Notes </w:t>
            </w:r>
            <w:r>
              <w:rPr>
                <w:rFonts w:ascii="Arial" w:cs="Arial" w:eastAsia="Arial" w:hAnsi="Arial"/>
                <w:sz w:val="23"/>
                <w:szCs w:val="23"/>
                <w:i w:val="1"/>
                <w:iCs w:val="1"/>
                <w:color w:val="auto"/>
                <w:vertAlign w:val="superscript"/>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1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2025 Notes</w:t>
            </w:r>
          </w:p>
        </w:tc>
        <w:tc>
          <w:tcPr>
            <w:tcW w:w="9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1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3.500%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742,677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40" w:type="dxa"/>
            <w:vAlign w:val="bottom"/>
            <w:gridSpan w:val="3"/>
          </w:tcPr>
          <w:p>
            <w:pPr>
              <w:ind w:left="220"/>
              <w:spacing w:after="0"/>
              <w:rPr>
                <w:sz w:val="20"/>
                <w:szCs w:val="20"/>
                <w:color w:val="auto"/>
              </w:rPr>
            </w:pPr>
            <w:r>
              <w:rPr>
                <w:rFonts w:ascii="Arial" w:cs="Arial" w:eastAsia="Arial" w:hAnsi="Arial"/>
                <w:sz w:val="18"/>
                <w:szCs w:val="18"/>
                <w:color w:val="auto"/>
              </w:rPr>
              <w:t>2026 Notes</w:t>
            </w:r>
          </w:p>
        </w:tc>
        <w:tc>
          <w:tcPr>
            <w:tcW w:w="980" w:type="dxa"/>
            <w:vAlign w:val="bottom"/>
            <w:gridSpan w:val="3"/>
          </w:tcPr>
          <w:p>
            <w:pPr>
              <w:jc w:val="center"/>
              <w:spacing w:after="0"/>
              <w:rPr>
                <w:sz w:val="20"/>
                <w:szCs w:val="20"/>
                <w:color w:val="auto"/>
              </w:rPr>
            </w:pPr>
            <w:r>
              <w:rPr>
                <w:rFonts w:ascii="Arial" w:cs="Arial" w:eastAsia="Arial" w:hAnsi="Arial"/>
                <w:sz w:val="18"/>
                <w:szCs w:val="18"/>
                <w:color w:val="auto"/>
                <w:w w:val="89"/>
              </w:rPr>
              <w:t>2026</w:t>
            </w:r>
          </w:p>
        </w:tc>
        <w:tc>
          <w:tcPr>
            <w:tcW w:w="100" w:type="dxa"/>
            <w:vAlign w:val="bottom"/>
          </w:tcPr>
          <w:p>
            <w:pPr>
              <w:spacing w:after="0"/>
              <w:rPr>
                <w:sz w:val="19"/>
                <w:szCs w:val="19"/>
                <w:color w:val="auto"/>
              </w:rPr>
            </w:pPr>
          </w:p>
        </w:tc>
        <w:tc>
          <w:tcPr>
            <w:tcW w:w="1120" w:type="dxa"/>
            <w:vAlign w:val="bottom"/>
            <w:gridSpan w:val="3"/>
          </w:tcPr>
          <w:p>
            <w:pPr>
              <w:jc w:val="center"/>
              <w:spacing w:after="0"/>
              <w:rPr>
                <w:sz w:val="20"/>
                <w:szCs w:val="20"/>
                <w:color w:val="auto"/>
              </w:rPr>
            </w:pPr>
            <w:r>
              <w:rPr>
                <w:rFonts w:ascii="Arial" w:cs="Arial" w:eastAsia="Arial" w:hAnsi="Arial"/>
                <w:sz w:val="18"/>
                <w:szCs w:val="18"/>
                <w:color w:val="auto"/>
                <w:w w:val="91"/>
              </w:rPr>
              <w:t>4.250%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1,250,000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1,235,972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1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2027 Notes</w:t>
            </w:r>
          </w:p>
        </w:tc>
        <w:tc>
          <w:tcPr>
            <w:tcW w:w="9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2027</w:t>
            </w:r>
          </w:p>
        </w:tc>
        <w:tc>
          <w:tcPr>
            <w:tcW w:w="1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3.750%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741,409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40" w:type="dxa"/>
            <w:vAlign w:val="bottom"/>
            <w:gridSpan w:val="3"/>
          </w:tcPr>
          <w:p>
            <w:pPr>
              <w:ind w:left="220"/>
              <w:spacing w:after="0"/>
              <w:rPr>
                <w:sz w:val="20"/>
                <w:szCs w:val="20"/>
                <w:color w:val="auto"/>
              </w:rPr>
            </w:pPr>
            <w:r>
              <w:rPr>
                <w:rFonts w:ascii="Arial" w:cs="Arial" w:eastAsia="Arial" w:hAnsi="Arial"/>
                <w:sz w:val="18"/>
                <w:szCs w:val="18"/>
                <w:color w:val="auto"/>
              </w:rPr>
              <w:t>2029 Notes</w:t>
            </w:r>
          </w:p>
        </w:tc>
        <w:tc>
          <w:tcPr>
            <w:tcW w:w="980" w:type="dxa"/>
            <w:vAlign w:val="bottom"/>
            <w:gridSpan w:val="3"/>
          </w:tcPr>
          <w:p>
            <w:pPr>
              <w:jc w:val="center"/>
              <w:spacing w:after="0"/>
              <w:rPr>
                <w:sz w:val="20"/>
                <w:szCs w:val="20"/>
                <w:color w:val="auto"/>
              </w:rPr>
            </w:pPr>
            <w:r>
              <w:rPr>
                <w:rFonts w:ascii="Arial" w:cs="Arial" w:eastAsia="Arial" w:hAnsi="Arial"/>
                <w:sz w:val="18"/>
                <w:szCs w:val="18"/>
                <w:color w:val="auto"/>
                <w:w w:val="89"/>
              </w:rPr>
              <w:t>2029</w:t>
            </w:r>
          </w:p>
        </w:tc>
        <w:tc>
          <w:tcPr>
            <w:tcW w:w="100" w:type="dxa"/>
            <w:vAlign w:val="bottom"/>
          </w:tcPr>
          <w:p>
            <w:pPr>
              <w:spacing w:after="0"/>
              <w:rPr>
                <w:sz w:val="19"/>
                <w:szCs w:val="19"/>
                <w:color w:val="auto"/>
              </w:rPr>
            </w:pPr>
          </w:p>
        </w:tc>
        <w:tc>
          <w:tcPr>
            <w:tcW w:w="1120" w:type="dxa"/>
            <w:vAlign w:val="bottom"/>
            <w:gridSpan w:val="3"/>
          </w:tcPr>
          <w:p>
            <w:pPr>
              <w:jc w:val="center"/>
              <w:spacing w:after="0"/>
              <w:rPr>
                <w:sz w:val="20"/>
                <w:szCs w:val="20"/>
                <w:color w:val="auto"/>
              </w:rPr>
            </w:pPr>
            <w:r>
              <w:rPr>
                <w:rFonts w:ascii="Arial" w:cs="Arial" w:eastAsia="Arial" w:hAnsi="Arial"/>
                <w:sz w:val="18"/>
                <w:szCs w:val="18"/>
                <w:color w:val="auto"/>
                <w:w w:val="91"/>
              </w:rPr>
              <w:t>4.625%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987,331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1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2030 Notes</w:t>
            </w:r>
          </w:p>
        </w:tc>
        <w:tc>
          <w:tcPr>
            <w:tcW w:w="9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2030</w:t>
            </w:r>
          </w:p>
        </w:tc>
        <w:tc>
          <w:tcPr>
            <w:tcW w:w="1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4.125%</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987,134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Total Debt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4,750,000</w:t>
            </w:r>
          </w:p>
        </w:tc>
        <w:tc>
          <w:tcPr>
            <w:tcW w:w="100" w:type="dxa"/>
            <w:vAlign w:val="bottom"/>
          </w:tcPr>
          <w:p>
            <w:pPr>
              <w:spacing w:after="0"/>
              <w:rPr>
                <w:sz w:val="19"/>
                <w:szCs w:val="19"/>
                <w:color w:val="auto"/>
              </w:rPr>
            </w:pPr>
          </w:p>
        </w:tc>
        <w:tc>
          <w:tcPr>
            <w:tcW w:w="380" w:type="dxa"/>
            <w:vAlign w:val="bottom"/>
            <w:tcBorders>
              <w:bottom w:val="single" w:sz="8" w:color="auto"/>
            </w:tcBorders>
            <w:gridSpan w:val="2"/>
          </w:tcPr>
          <w:p>
            <w:pPr>
              <w:jc w:val="right"/>
              <w:ind w:right="175"/>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4,694,523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6140" w:type="dxa"/>
            <w:vAlign w:val="bottom"/>
            <w:gridSpan w:val="3"/>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7"/>
          </w:tcPr>
          <w:p>
            <w:pPr>
              <w:jc w:val="right"/>
              <w:ind w:right="400"/>
              <w:spacing w:after="0"/>
              <w:rPr>
                <w:sz w:val="20"/>
                <w:szCs w:val="20"/>
                <w:color w:val="auto"/>
              </w:rPr>
            </w:pPr>
            <w:r>
              <w:rPr>
                <w:rFonts w:ascii="Arial" w:cs="Arial" w:eastAsia="Arial" w:hAnsi="Arial"/>
                <w:sz w:val="16"/>
                <w:szCs w:val="16"/>
                <w:b w:val="1"/>
                <w:bCs w:val="1"/>
                <w:color w:val="auto"/>
              </w:rPr>
              <w:t>December 31, 2020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4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Description of Debt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spacing w:after="0" w:line="155" w:lineRule="exact"/>
              <w:rPr>
                <w:sz w:val="20"/>
                <w:szCs w:val="20"/>
                <w:color w:val="auto"/>
              </w:rPr>
            </w:pPr>
            <w:r>
              <w:rPr>
                <w:rFonts w:ascii="Arial" w:cs="Arial" w:eastAsia="Arial" w:hAnsi="Arial"/>
                <w:sz w:val="16"/>
                <w:szCs w:val="16"/>
                <w:b w:val="1"/>
                <w:bCs w:val="1"/>
                <w:color w:val="auto"/>
                <w:w w:val="96"/>
              </w:rPr>
              <w:t>Final</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4"/>
              </w:rPr>
              <w:t>Interest Rate</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restart"/>
          </w:tcPr>
          <w:p>
            <w:pPr>
              <w:jc w:val="right"/>
              <w:ind w:right="260"/>
              <w:spacing w:after="0"/>
              <w:rPr>
                <w:sz w:val="20"/>
                <w:szCs w:val="20"/>
                <w:color w:val="auto"/>
              </w:rPr>
            </w:pPr>
            <w:r>
              <w:rPr>
                <w:rFonts w:ascii="Arial" w:cs="Arial" w:eastAsia="Arial" w:hAnsi="Arial"/>
                <w:sz w:val="16"/>
                <w:szCs w:val="16"/>
                <w:b w:val="1"/>
                <w:bCs w:val="1"/>
                <w:color w:val="auto"/>
              </w:rPr>
              <w:t>Face Value</w:t>
            </w:r>
          </w:p>
        </w:tc>
        <w:tc>
          <w:tcPr>
            <w:tcW w:w="100" w:type="dxa"/>
            <w:vAlign w:val="bottom"/>
          </w:tcPr>
          <w:p>
            <w:pPr>
              <w:spacing w:after="0"/>
              <w:rPr>
                <w:sz w:val="13"/>
                <w:szCs w:val="13"/>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2"/>
              </w:rPr>
              <w:t>Carrying Value</w:t>
            </w:r>
            <w:r>
              <w:rPr>
                <w:rFonts w:ascii="Arial" w:cs="Arial" w:eastAsia="Arial" w:hAnsi="Arial"/>
                <w:sz w:val="23"/>
                <w:szCs w:val="23"/>
                <w:i w:val="1"/>
                <w:iCs w:val="1"/>
                <w:color w:val="auto"/>
                <w:w w:val="92"/>
                <w:vertAlign w:val="superscript"/>
              </w:rPr>
              <w:t>(1)</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6140" w:type="dxa"/>
            <w:vAlign w:val="bottom"/>
            <w:tcBorders>
              <w:bottom w:val="single" w:sz="8" w:color="auto"/>
            </w:tcBorders>
            <w:gridSpan w:val="3"/>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Maturity</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gridSpan w:val="2"/>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VICI PropCo Senior Secured Credit Facilities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40" w:type="dxa"/>
            <w:vAlign w:val="bottom"/>
            <w:gridSpan w:val="3"/>
          </w:tcPr>
          <w:p>
            <w:pPr>
              <w:ind w:left="200"/>
              <w:spacing w:after="0" w:line="230" w:lineRule="exact"/>
              <w:rPr>
                <w:sz w:val="20"/>
                <w:szCs w:val="20"/>
                <w:color w:val="auto"/>
              </w:rPr>
            </w:pPr>
            <w:r>
              <w:rPr>
                <w:rFonts w:ascii="Arial" w:cs="Arial" w:eastAsia="Arial" w:hAnsi="Arial"/>
                <w:sz w:val="18"/>
                <w:szCs w:val="18"/>
                <w:color w:val="auto"/>
              </w:rPr>
              <w:t xml:space="preserve">Secured Revolving Credit Facility </w:t>
            </w:r>
            <w:r>
              <w:rPr>
                <w:rFonts w:ascii="Arial" w:cs="Arial" w:eastAsia="Arial" w:hAnsi="Arial"/>
                <w:sz w:val="23"/>
                <w:szCs w:val="23"/>
                <w:i w:val="1"/>
                <w:iCs w:val="1"/>
                <w:color w:val="auto"/>
                <w:vertAlign w:val="superscript"/>
              </w:rPr>
              <w:t>(2)</w:t>
            </w:r>
          </w:p>
        </w:tc>
        <w:tc>
          <w:tcPr>
            <w:tcW w:w="980" w:type="dxa"/>
            <w:vAlign w:val="bottom"/>
            <w:gridSpan w:val="3"/>
          </w:tcPr>
          <w:p>
            <w:pPr>
              <w:jc w:val="center"/>
              <w:ind w:left="290"/>
              <w:spacing w:after="0"/>
              <w:rPr>
                <w:sz w:val="20"/>
                <w:szCs w:val="20"/>
                <w:color w:val="auto"/>
              </w:rPr>
            </w:pPr>
            <w:r>
              <w:rPr>
                <w:rFonts w:ascii="Arial" w:cs="Arial" w:eastAsia="Arial" w:hAnsi="Arial"/>
                <w:sz w:val="18"/>
                <w:szCs w:val="18"/>
                <w:color w:val="auto"/>
                <w:w w:val="89"/>
              </w:rPr>
              <w:t>2024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3"/>
              </w:rPr>
              <w:t>L + 2.00%</w:t>
            </w:r>
          </w:p>
        </w:tc>
        <w:tc>
          <w:tcPr>
            <w:tcW w:w="280" w:type="dxa"/>
            <w:vAlign w:val="bottom"/>
            <w:gridSpan w:val="3"/>
          </w:tcPr>
          <w:p>
            <w:pPr>
              <w:jc w:val="center"/>
              <w:ind w:lef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140" w:type="dxa"/>
            <w:vAlign w:val="bottom"/>
            <w:gridSpan w:val="3"/>
            <w:shd w:val="clear" w:color="auto" w:fill="CCEEFF"/>
          </w:tcPr>
          <w:p>
            <w:pPr>
              <w:ind w:left="200"/>
              <w:spacing w:after="0" w:line="230" w:lineRule="exact"/>
              <w:rPr>
                <w:sz w:val="20"/>
                <w:szCs w:val="20"/>
                <w:color w:val="auto"/>
              </w:rPr>
            </w:pPr>
            <w:r>
              <w:rPr>
                <w:rFonts w:ascii="Arial" w:cs="Arial" w:eastAsia="Arial" w:hAnsi="Arial"/>
                <w:sz w:val="18"/>
                <w:szCs w:val="18"/>
                <w:color w:val="auto"/>
              </w:rPr>
              <w:t xml:space="preserve">Term Loan B Facility </w:t>
            </w:r>
            <w:r>
              <w:rPr>
                <w:rFonts w:ascii="Arial" w:cs="Arial" w:eastAsia="Arial" w:hAnsi="Arial"/>
                <w:sz w:val="23"/>
                <w:szCs w:val="23"/>
                <w:i w:val="1"/>
                <w:iCs w:val="1"/>
                <w:color w:val="auto"/>
                <w:vertAlign w:val="superscript"/>
              </w:rPr>
              <w:t>(4)</w:t>
            </w:r>
          </w:p>
        </w:tc>
        <w:tc>
          <w:tcPr>
            <w:tcW w:w="980" w:type="dxa"/>
            <w:vAlign w:val="bottom"/>
            <w:gridSpan w:val="3"/>
            <w:shd w:val="clear" w:color="auto" w:fill="CCEEFF"/>
          </w:tcPr>
          <w:p>
            <w:pPr>
              <w:jc w:val="center"/>
              <w:ind w:left="290"/>
              <w:spacing w:after="0"/>
              <w:rPr>
                <w:sz w:val="20"/>
                <w:szCs w:val="20"/>
                <w:color w:val="auto"/>
              </w:rPr>
            </w:pPr>
            <w:r>
              <w:rPr>
                <w:rFonts w:ascii="Arial" w:cs="Arial" w:eastAsia="Arial" w:hAnsi="Arial"/>
                <w:sz w:val="18"/>
                <w:szCs w:val="18"/>
                <w:color w:val="auto"/>
                <w:w w:val="89"/>
              </w:rPr>
              <w:t>2024</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L + 1.75%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2,080,974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40" w:type="dxa"/>
            <w:vAlign w:val="bottom"/>
            <w:gridSpan w:val="3"/>
          </w:tcPr>
          <w:p>
            <w:pPr>
              <w:spacing w:after="0" w:line="230" w:lineRule="exact"/>
              <w:rPr>
                <w:sz w:val="20"/>
                <w:szCs w:val="20"/>
                <w:color w:val="auto"/>
              </w:rPr>
            </w:pPr>
            <w:r>
              <w:rPr>
                <w:rFonts w:ascii="Arial" w:cs="Arial" w:eastAsia="Arial" w:hAnsi="Arial"/>
                <w:sz w:val="18"/>
                <w:szCs w:val="18"/>
                <w:color w:val="auto"/>
              </w:rPr>
              <w:t xml:space="preserve">Senior Unsecured Notes </w:t>
            </w:r>
            <w:r>
              <w:rPr>
                <w:rFonts w:ascii="Arial" w:cs="Arial" w:eastAsia="Arial" w:hAnsi="Arial"/>
                <w:sz w:val="23"/>
                <w:szCs w:val="23"/>
                <w:i w:val="1"/>
                <w:iCs w:val="1"/>
                <w:color w:val="auto"/>
                <w:vertAlign w:val="superscript"/>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1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2025 Notes</w:t>
            </w:r>
          </w:p>
        </w:tc>
        <w:tc>
          <w:tcPr>
            <w:tcW w:w="980" w:type="dxa"/>
            <w:vAlign w:val="bottom"/>
            <w:gridSpan w:val="3"/>
            <w:shd w:val="clear" w:color="auto" w:fill="CCEEFF"/>
          </w:tcPr>
          <w:p>
            <w:pPr>
              <w:jc w:val="center"/>
              <w:ind w:left="290"/>
              <w:spacing w:after="0"/>
              <w:rPr>
                <w:sz w:val="20"/>
                <w:szCs w:val="20"/>
                <w:color w:val="auto"/>
              </w:rPr>
            </w:pPr>
            <w:r>
              <w:rPr>
                <w:rFonts w:ascii="Arial" w:cs="Arial" w:eastAsia="Arial" w:hAnsi="Arial"/>
                <w:sz w:val="18"/>
                <w:szCs w:val="18"/>
                <w:color w:val="auto"/>
                <w:w w:val="89"/>
              </w:rPr>
              <w:t>2025</w:t>
            </w:r>
          </w:p>
        </w:tc>
        <w:tc>
          <w:tcPr>
            <w:tcW w:w="1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center"/>
              <w:ind w:left="230"/>
              <w:spacing w:after="0"/>
              <w:rPr>
                <w:sz w:val="20"/>
                <w:szCs w:val="20"/>
                <w:color w:val="auto"/>
              </w:rPr>
            </w:pPr>
            <w:r>
              <w:rPr>
                <w:rFonts w:ascii="Arial" w:cs="Arial" w:eastAsia="Arial" w:hAnsi="Arial"/>
                <w:sz w:val="18"/>
                <w:szCs w:val="18"/>
                <w:color w:val="auto"/>
                <w:w w:val="91"/>
              </w:rPr>
              <w:t>3.500%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740,333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40" w:type="dxa"/>
            <w:vAlign w:val="bottom"/>
            <w:gridSpan w:val="3"/>
          </w:tcPr>
          <w:p>
            <w:pPr>
              <w:ind w:left="220"/>
              <w:spacing w:after="0"/>
              <w:rPr>
                <w:sz w:val="20"/>
                <w:szCs w:val="20"/>
                <w:color w:val="auto"/>
              </w:rPr>
            </w:pPr>
            <w:r>
              <w:rPr>
                <w:rFonts w:ascii="Arial" w:cs="Arial" w:eastAsia="Arial" w:hAnsi="Arial"/>
                <w:sz w:val="18"/>
                <w:szCs w:val="18"/>
                <w:color w:val="auto"/>
              </w:rPr>
              <w:t>2026 Notes</w:t>
            </w:r>
          </w:p>
        </w:tc>
        <w:tc>
          <w:tcPr>
            <w:tcW w:w="980" w:type="dxa"/>
            <w:vAlign w:val="bottom"/>
            <w:gridSpan w:val="3"/>
          </w:tcPr>
          <w:p>
            <w:pPr>
              <w:jc w:val="center"/>
              <w:ind w:left="290"/>
              <w:spacing w:after="0"/>
              <w:rPr>
                <w:sz w:val="20"/>
                <w:szCs w:val="20"/>
                <w:color w:val="auto"/>
              </w:rPr>
            </w:pPr>
            <w:r>
              <w:rPr>
                <w:rFonts w:ascii="Arial" w:cs="Arial" w:eastAsia="Arial" w:hAnsi="Arial"/>
                <w:sz w:val="18"/>
                <w:szCs w:val="18"/>
                <w:color w:val="auto"/>
                <w:w w:val="89"/>
              </w:rPr>
              <w:t>2026</w:t>
            </w:r>
          </w:p>
        </w:tc>
        <w:tc>
          <w:tcPr>
            <w:tcW w:w="100" w:type="dxa"/>
            <w:vAlign w:val="bottom"/>
          </w:tcPr>
          <w:p>
            <w:pPr>
              <w:spacing w:after="0"/>
              <w:rPr>
                <w:sz w:val="19"/>
                <w:szCs w:val="19"/>
                <w:color w:val="auto"/>
              </w:rPr>
            </w:pPr>
          </w:p>
        </w:tc>
        <w:tc>
          <w:tcPr>
            <w:tcW w:w="1120" w:type="dxa"/>
            <w:vAlign w:val="bottom"/>
            <w:gridSpan w:val="3"/>
          </w:tcPr>
          <w:p>
            <w:pPr>
              <w:jc w:val="center"/>
              <w:ind w:left="230"/>
              <w:spacing w:after="0"/>
              <w:rPr>
                <w:sz w:val="20"/>
                <w:szCs w:val="20"/>
                <w:color w:val="auto"/>
              </w:rPr>
            </w:pPr>
            <w:r>
              <w:rPr>
                <w:rFonts w:ascii="Arial" w:cs="Arial" w:eastAsia="Arial" w:hAnsi="Arial"/>
                <w:sz w:val="18"/>
                <w:szCs w:val="18"/>
                <w:color w:val="auto"/>
                <w:w w:val="91"/>
              </w:rPr>
              <w:t>4.250%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1,250,000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1,233,119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1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2027 Notes</w:t>
            </w:r>
          </w:p>
        </w:tc>
        <w:tc>
          <w:tcPr>
            <w:tcW w:w="980" w:type="dxa"/>
            <w:vAlign w:val="bottom"/>
            <w:gridSpan w:val="3"/>
            <w:shd w:val="clear" w:color="auto" w:fill="CCEEFF"/>
          </w:tcPr>
          <w:p>
            <w:pPr>
              <w:jc w:val="center"/>
              <w:ind w:left="290"/>
              <w:spacing w:after="0"/>
              <w:rPr>
                <w:sz w:val="20"/>
                <w:szCs w:val="20"/>
                <w:color w:val="auto"/>
              </w:rPr>
            </w:pPr>
            <w:r>
              <w:rPr>
                <w:rFonts w:ascii="Arial" w:cs="Arial" w:eastAsia="Arial" w:hAnsi="Arial"/>
                <w:sz w:val="18"/>
                <w:szCs w:val="18"/>
                <w:color w:val="auto"/>
                <w:w w:val="89"/>
              </w:rPr>
              <w:t>2027</w:t>
            </w:r>
          </w:p>
        </w:tc>
        <w:tc>
          <w:tcPr>
            <w:tcW w:w="1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center"/>
              <w:ind w:left="230"/>
              <w:spacing w:after="0"/>
              <w:rPr>
                <w:sz w:val="20"/>
                <w:szCs w:val="20"/>
                <w:color w:val="auto"/>
              </w:rPr>
            </w:pPr>
            <w:r>
              <w:rPr>
                <w:rFonts w:ascii="Arial" w:cs="Arial" w:eastAsia="Arial" w:hAnsi="Arial"/>
                <w:sz w:val="18"/>
                <w:szCs w:val="18"/>
                <w:color w:val="auto"/>
                <w:w w:val="91"/>
              </w:rPr>
              <w:t>3.750%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739,733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40" w:type="dxa"/>
            <w:vAlign w:val="bottom"/>
            <w:gridSpan w:val="3"/>
          </w:tcPr>
          <w:p>
            <w:pPr>
              <w:ind w:left="220"/>
              <w:spacing w:after="0"/>
              <w:rPr>
                <w:sz w:val="20"/>
                <w:szCs w:val="20"/>
                <w:color w:val="auto"/>
              </w:rPr>
            </w:pPr>
            <w:r>
              <w:rPr>
                <w:rFonts w:ascii="Arial" w:cs="Arial" w:eastAsia="Arial" w:hAnsi="Arial"/>
                <w:sz w:val="18"/>
                <w:szCs w:val="18"/>
                <w:color w:val="auto"/>
              </w:rPr>
              <w:t>2029 Notes</w:t>
            </w:r>
          </w:p>
        </w:tc>
        <w:tc>
          <w:tcPr>
            <w:tcW w:w="980" w:type="dxa"/>
            <w:vAlign w:val="bottom"/>
            <w:gridSpan w:val="3"/>
          </w:tcPr>
          <w:p>
            <w:pPr>
              <w:jc w:val="center"/>
              <w:ind w:left="290"/>
              <w:spacing w:after="0"/>
              <w:rPr>
                <w:sz w:val="20"/>
                <w:szCs w:val="20"/>
                <w:color w:val="auto"/>
              </w:rPr>
            </w:pPr>
            <w:r>
              <w:rPr>
                <w:rFonts w:ascii="Arial" w:cs="Arial" w:eastAsia="Arial" w:hAnsi="Arial"/>
                <w:sz w:val="18"/>
                <w:szCs w:val="18"/>
                <w:color w:val="auto"/>
                <w:w w:val="89"/>
              </w:rPr>
              <w:t>2029</w:t>
            </w:r>
          </w:p>
        </w:tc>
        <w:tc>
          <w:tcPr>
            <w:tcW w:w="100" w:type="dxa"/>
            <w:vAlign w:val="bottom"/>
          </w:tcPr>
          <w:p>
            <w:pPr>
              <w:spacing w:after="0"/>
              <w:rPr>
                <w:sz w:val="19"/>
                <w:szCs w:val="19"/>
                <w:color w:val="auto"/>
              </w:rPr>
            </w:pPr>
          </w:p>
        </w:tc>
        <w:tc>
          <w:tcPr>
            <w:tcW w:w="1120" w:type="dxa"/>
            <w:vAlign w:val="bottom"/>
            <w:gridSpan w:val="3"/>
          </w:tcPr>
          <w:p>
            <w:pPr>
              <w:jc w:val="center"/>
              <w:ind w:left="230"/>
              <w:spacing w:after="0"/>
              <w:rPr>
                <w:sz w:val="20"/>
                <w:szCs w:val="20"/>
                <w:color w:val="auto"/>
              </w:rPr>
            </w:pPr>
            <w:r>
              <w:rPr>
                <w:rFonts w:ascii="Arial" w:cs="Arial" w:eastAsia="Arial" w:hAnsi="Arial"/>
                <w:sz w:val="18"/>
                <w:szCs w:val="18"/>
                <w:color w:val="auto"/>
                <w:w w:val="91"/>
              </w:rPr>
              <w:t>4.625%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985,730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1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2030 Notes</w:t>
            </w:r>
          </w:p>
        </w:tc>
        <w:tc>
          <w:tcPr>
            <w:tcW w:w="100" w:type="dxa"/>
            <w:vAlign w:val="bottom"/>
            <w:shd w:val="clear" w:color="auto" w:fill="CCEEFF"/>
          </w:tcPr>
          <w:p>
            <w:pPr>
              <w:spacing w:after="0"/>
              <w:rPr>
                <w:sz w:val="19"/>
                <w:szCs w:val="19"/>
                <w:color w:val="auto"/>
              </w:rPr>
            </w:pPr>
          </w:p>
        </w:tc>
        <w:tc>
          <w:tcPr>
            <w:tcW w:w="140" w:type="dxa"/>
            <w:vAlign w:val="bottom"/>
            <w:shd w:val="clear" w:color="auto" w:fill="BFE4FF"/>
          </w:tcPr>
          <w:p>
            <w:pPr>
              <w:spacing w:after="0"/>
              <w:rPr>
                <w:sz w:val="19"/>
                <w:szCs w:val="19"/>
                <w:color w:val="auto"/>
              </w:rPr>
            </w:pPr>
          </w:p>
        </w:tc>
        <w:tc>
          <w:tcPr>
            <w:tcW w:w="740" w:type="dxa"/>
            <w:vAlign w:val="bottom"/>
            <w:shd w:val="clear" w:color="auto" w:fill="CCEEFF"/>
          </w:tcPr>
          <w:p>
            <w:pPr>
              <w:jc w:val="center"/>
              <w:ind w:left="57"/>
              <w:spacing w:after="0"/>
              <w:rPr>
                <w:sz w:val="20"/>
                <w:szCs w:val="20"/>
                <w:color w:val="auto"/>
              </w:rPr>
            </w:pPr>
            <w:r>
              <w:rPr>
                <w:rFonts w:ascii="Arial" w:cs="Arial" w:eastAsia="Arial" w:hAnsi="Arial"/>
                <w:sz w:val="18"/>
                <w:szCs w:val="18"/>
                <w:color w:val="auto"/>
                <w:w w:val="89"/>
              </w:rPr>
              <w:t>2030</w:t>
            </w:r>
          </w:p>
        </w:tc>
        <w:tc>
          <w:tcPr>
            <w:tcW w:w="10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center"/>
              <w:ind w:left="230"/>
              <w:spacing w:after="0"/>
              <w:rPr>
                <w:sz w:val="20"/>
                <w:szCs w:val="20"/>
                <w:color w:val="auto"/>
              </w:rPr>
            </w:pPr>
            <w:r>
              <w:rPr>
                <w:rFonts w:ascii="Arial" w:cs="Arial" w:eastAsia="Arial" w:hAnsi="Arial"/>
                <w:sz w:val="18"/>
                <w:szCs w:val="18"/>
                <w:color w:val="auto"/>
                <w:w w:val="91"/>
              </w:rPr>
              <w:t>4.125%</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985,643</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Total Debt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6,850,000</w:t>
            </w:r>
          </w:p>
        </w:tc>
        <w:tc>
          <w:tcPr>
            <w:tcW w:w="10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6,765,532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w:t>
      </w:r>
    </w:p>
    <w:p>
      <w:pPr>
        <w:ind w:left="320" w:hanging="312"/>
        <w:spacing w:after="0"/>
        <w:tabs>
          <w:tab w:leader="none" w:pos="320" w:val="left"/>
        </w:tabs>
        <w:numPr>
          <w:ilvl w:val="0"/>
          <w:numId w:val="92"/>
        </w:numPr>
        <w:rPr>
          <w:rFonts w:ascii="Arial" w:cs="Arial" w:eastAsia="Arial" w:hAnsi="Arial"/>
          <w:sz w:val="14"/>
          <w:szCs w:val="14"/>
          <w:i w:val="1"/>
          <w:iCs w:val="1"/>
          <w:color w:val="auto"/>
        </w:rPr>
      </w:pPr>
      <w:r>
        <w:rPr>
          <w:rFonts w:ascii="Arial" w:cs="Arial" w:eastAsia="Arial" w:hAnsi="Arial"/>
          <w:sz w:val="14"/>
          <w:szCs w:val="14"/>
          <w:i w:val="1"/>
          <w:iCs w:val="1"/>
          <w:color w:val="auto"/>
        </w:rPr>
        <w:t>Carrying value is net of original issue discount and unamortized debt issuance costs incurred in conjunction with debt.</w:t>
      </w:r>
    </w:p>
    <w:p>
      <w:pPr>
        <w:spacing w:after="0" w:line="1" w:lineRule="exact"/>
        <w:rPr>
          <w:rFonts w:ascii="Arial" w:cs="Arial" w:eastAsia="Arial" w:hAnsi="Arial"/>
          <w:sz w:val="14"/>
          <w:szCs w:val="14"/>
          <w:i w:val="1"/>
          <w:iCs w:val="1"/>
          <w:color w:val="auto"/>
        </w:rPr>
      </w:pPr>
    </w:p>
    <w:p>
      <w:pPr>
        <w:jc w:val="both"/>
        <w:ind w:left="340" w:hanging="332"/>
        <w:spacing w:after="0" w:line="241" w:lineRule="auto"/>
        <w:tabs>
          <w:tab w:leader="none" w:pos="332" w:val="left"/>
        </w:tabs>
        <w:numPr>
          <w:ilvl w:val="0"/>
          <w:numId w:val="92"/>
        </w:numPr>
        <w:rPr>
          <w:rFonts w:ascii="Arial" w:cs="Arial" w:eastAsia="Arial" w:hAnsi="Arial"/>
          <w:sz w:val="14"/>
          <w:szCs w:val="14"/>
          <w:i w:val="1"/>
          <w:iCs w:val="1"/>
          <w:color w:val="auto"/>
        </w:rPr>
      </w:pPr>
      <w:r>
        <w:rPr>
          <w:rFonts w:ascii="Arial" w:cs="Arial" w:eastAsia="Arial" w:hAnsi="Arial"/>
          <w:sz w:val="14"/>
          <w:szCs w:val="14"/>
          <w:i w:val="1"/>
          <w:iCs w:val="1"/>
          <w:color w:val="auto"/>
        </w:rPr>
        <w:t>The commitment fee under the Secured Revolving Credit Facility was calculated on a leverage-based pricing grid with a range of 0.375% to 0.5%, in each case depending on our total net debt to adjusted total assets ratio. Subsequent to year end, on February 8, 2022, we terminated the Secured Revolving Credit Facility (including the first priority lien on substantially all of VICI PropCo’s and its existing and subsequently acquired wholly owned material domestic restricted subsidiaries’ material assets) and the Existing Credit Agreement, and entered into the Credit Agreement providing for the Credit Facilities, as described below.</w:t>
      </w:r>
    </w:p>
    <w:p>
      <w:pPr>
        <w:spacing w:after="0" w:line="1" w:lineRule="exact"/>
        <w:rPr>
          <w:rFonts w:ascii="Arial" w:cs="Arial" w:eastAsia="Arial" w:hAnsi="Arial"/>
          <w:sz w:val="14"/>
          <w:szCs w:val="14"/>
          <w:i w:val="1"/>
          <w:iCs w:val="1"/>
          <w:color w:val="auto"/>
        </w:rPr>
      </w:pPr>
    </w:p>
    <w:p>
      <w:pPr>
        <w:ind w:left="320" w:hanging="312"/>
        <w:spacing w:after="0"/>
        <w:tabs>
          <w:tab w:leader="none" w:pos="320" w:val="left"/>
        </w:tabs>
        <w:numPr>
          <w:ilvl w:val="0"/>
          <w:numId w:val="92"/>
        </w:numPr>
        <w:rPr>
          <w:rFonts w:ascii="Arial" w:cs="Arial" w:eastAsia="Arial" w:hAnsi="Arial"/>
          <w:sz w:val="14"/>
          <w:szCs w:val="14"/>
          <w:i w:val="1"/>
          <w:iCs w:val="1"/>
          <w:color w:val="auto"/>
        </w:rPr>
      </w:pPr>
      <w:r>
        <w:rPr>
          <w:rFonts w:ascii="Arial" w:cs="Arial" w:eastAsia="Arial" w:hAnsi="Arial"/>
          <w:sz w:val="14"/>
          <w:szCs w:val="14"/>
          <w:i w:val="1"/>
          <w:iCs w:val="1"/>
          <w:color w:val="auto"/>
        </w:rPr>
        <w:t>Interest is payable semi-annually.</w:t>
      </w:r>
    </w:p>
    <w:p>
      <w:pPr>
        <w:spacing w:after="0" w:line="1" w:lineRule="exact"/>
        <w:rPr>
          <w:rFonts w:ascii="Arial" w:cs="Arial" w:eastAsia="Arial" w:hAnsi="Arial"/>
          <w:sz w:val="14"/>
          <w:szCs w:val="14"/>
          <w:i w:val="1"/>
          <w:iCs w:val="1"/>
          <w:color w:val="auto"/>
        </w:rPr>
      </w:pPr>
    </w:p>
    <w:p>
      <w:pPr>
        <w:ind w:left="340" w:hanging="332"/>
        <w:spacing w:after="0" w:line="255" w:lineRule="auto"/>
        <w:tabs>
          <w:tab w:leader="none" w:pos="332" w:val="left"/>
        </w:tabs>
        <w:numPr>
          <w:ilvl w:val="0"/>
          <w:numId w:val="92"/>
        </w:numPr>
        <w:rPr>
          <w:rFonts w:ascii="Arial" w:cs="Arial" w:eastAsia="Arial" w:hAnsi="Arial"/>
          <w:sz w:val="14"/>
          <w:szCs w:val="14"/>
          <w:i w:val="1"/>
          <w:iCs w:val="1"/>
          <w:color w:val="auto"/>
        </w:rPr>
      </w:pPr>
      <w:r>
        <w:rPr>
          <w:rFonts w:ascii="Arial" w:cs="Arial" w:eastAsia="Arial" w:hAnsi="Arial"/>
          <w:sz w:val="14"/>
          <w:szCs w:val="14"/>
          <w:i w:val="1"/>
          <w:iCs w:val="1"/>
          <w:color w:val="auto"/>
        </w:rPr>
        <w:t>The Term Loan B Facility was repaid in full on September 15, 2021 using the proceeds from the settlement of the June 2020 Forward Sale Agreement and the September 2021 equity offering and all of our outstanding interest rate swap agreements were subsequently unwound and settled.</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2" w:name="page123"/>
    <w:bookmarkEnd w:id="1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schedule of future minimum payments of our debt obligations as of December 31, 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340" w:type="dxa"/>
            <w:vAlign w:val="bottom"/>
            <w:gridSpan w:val="2"/>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300" w:type="dxa"/>
            <w:vAlign w:val="bottom"/>
          </w:tcPr>
          <w:p>
            <w:pPr>
              <w:spacing w:after="0"/>
              <w:rPr>
                <w:sz w:val="16"/>
                <w:szCs w:val="16"/>
                <w:color w:val="auto"/>
              </w:rPr>
            </w:pPr>
          </w:p>
        </w:tc>
        <w:tc>
          <w:tcPr>
            <w:tcW w:w="2580" w:type="dxa"/>
            <w:vAlign w:val="bottom"/>
          </w:tcPr>
          <w:p>
            <w:pPr>
              <w:jc w:val="right"/>
              <w:ind w:right="391"/>
              <w:spacing w:after="0"/>
              <w:rPr>
                <w:sz w:val="20"/>
                <w:szCs w:val="20"/>
                <w:color w:val="auto"/>
              </w:rPr>
            </w:pPr>
            <w:r>
              <w:rPr>
                <w:rFonts w:ascii="Arial" w:cs="Arial" w:eastAsia="Arial" w:hAnsi="Arial"/>
                <w:sz w:val="16"/>
                <w:szCs w:val="16"/>
                <w:b w:val="1"/>
                <w:bCs w:val="1"/>
                <w:color w:val="auto"/>
              </w:rPr>
              <w:t>Future Minimum Payments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7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r>
      <w:tr>
        <w:trPr>
          <w:trHeight w:val="223"/>
        </w:trPr>
        <w:tc>
          <w:tcPr>
            <w:tcW w:w="1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73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00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7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7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00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7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750,000</w:t>
            </w:r>
          </w:p>
        </w:tc>
      </w:tr>
      <w:tr>
        <w:trPr>
          <w:trHeight w:val="229"/>
        </w:trPr>
        <w:tc>
          <w:tcPr>
            <w:tcW w:w="1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7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w:t>
            </w:r>
          </w:p>
        </w:tc>
      </w:tr>
      <w:tr>
        <w:trPr>
          <w:trHeight w:val="230"/>
        </w:trPr>
        <w:tc>
          <w:tcPr>
            <w:tcW w:w="20" w:type="dxa"/>
            <w:vAlign w:val="bottom"/>
            <w:tcBorders>
              <w:bottom w:val="single" w:sz="8" w:color="CCEEFF"/>
            </w:tcBorders>
          </w:tcPr>
          <w:p>
            <w:pPr>
              <w:spacing w:after="0"/>
              <w:rPr>
                <w:sz w:val="19"/>
                <w:szCs w:val="19"/>
                <w:color w:val="auto"/>
              </w:rPr>
            </w:pPr>
          </w:p>
        </w:tc>
        <w:tc>
          <w:tcPr>
            <w:tcW w:w="8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2,750,000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minimum repayments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4,750,000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7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5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Unsecured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November 2019 Senior Unsecured Notes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November 26, 2019, the Operating Partnership and the Co-Issuer (together with the Operating Partnership, the “Issuers”), our wholly owned subsidiaries, issued (i) $1,250.0 million in aggregate principal amount of 4.250% 2026 Notes, which mature on December 1, 2026, and (ii) $1,000.0 million in aggregate principal amount of 4.625% 2029 Notes, which mature on December 1, 2029, under separate indentures, each dated as of November 26, 2019, among the Issuers, the subsidiary guarantors party thereto and UMB Bank, National Association, as trustee (the “Trustee”). We used a portion of the net proceeds of the offering to repay in full the $1.55 billion mortgage financing of Caesars Palace Las Vegas, and pay certain fees and expenses including the net prepayment penalty of $55.4 million. On January 24, 2020, the remaining net proceeds were used to pay for a portion of the purchase price of the JACK Cleveland/Thistledown Acquisition.</w:t>
      </w:r>
    </w:p>
    <w:p>
      <w:pPr>
        <w:spacing w:after="0" w:line="1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Interest on the November 2019 Senior Unsecured Notes is payable semi-annually in cash in arrears on June 1 and December 1 of each year. The 2026 Notes and 2029 Notes are redeemable at our option, in whole or in part, at any time on or after December 1, 2022 and December 1, 2024, respectively, at the redemption prices set forth in the respective indenture. We may redeem some or all of the 2026 Notes or the 2029 Notes prior to such respective dates at a price equal to 100% of the principal amount thereof plus a “make-whole” premium. Prior to December 1, 2022, we may redeem up to 40% of the aggregate principal amount of the 2026 Notes or the 2029 Notes using the proceeds of certain equity offerings at the redemption price set forth in the respective indenture.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February 2020 Senior Unsecured Notes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February 5, 2020, the Issuers issued (i) $750.0 million in aggregate principal amount of 3.500% 2025 Notes, which mature on February 15, 2025, (ii) $750.0 million in aggregate principal amount of 3.750% 2027 Notes, which mature on February 15, 2027, and (iii) $1,000.0 million in aggregate principal amount of 4.125% 2030 Notes, which mature on August 15, 2030, under separate indentures, each dated as of February 5, 2020, among the Issuers, the subsidiary guarantors party thereto and the Trustee. We placed $2.0 billion of the net proceeds of the offering into escrow pending the consummation of the Eldorado Transaction (which was subsequently released from escrow and used to fund a portion of the purchase price of the Eldorado Transaction on July 20, 2020), and used the remaining net proceeds from the 2025 Notes, together with cash on hand, to redeem in full the outstanding $498.5 million in aggregate principal amount of the Second Lien Notes plus the Second Lien Notes Applicable Premium (as defined in the Second Lien Notes indenture), for a total redemption cost of approximately $537.5 million.</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Interest on the February 2020 Senior Unsecured Notes is payable semi-annually in cash in arrears on February 15 and August 15 of each year. The 2025 Notes, 2027 Notes and 2030 Notes are redeemable at our option, in whole or in part, at any time on or after February 15, 2022, February 15, 2023, and February 15, 2025, respectively, at the redemption prices set forth in the respective indenture. We may redeem some or all of the 2025 Notes, 2027 Notes or 2030 Notes prior to such respective dates at a price equal to 100% of the principal amount thereof plus a “make-whole” premium. Prior to February 15, 2022, with respect to the 2025 Notes, and February 15, 2023, with respect to the 2027 Notes and 2030 Notes, we may redeem up to 40% of the aggregate principal amount of the 2025 Notes, 2027 Notes or 2030 Notes using the proceeds of certain equity offerings at the redemption price set forth in the respective indenture.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3" w:name="page124"/>
    <w:bookmarkEnd w:id="1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 and Financial Covenants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Until February 8, 2022, the November 2019 Senior Unsecured Notes and the February 2020 Senior Unsecured Notes (together, the “Senior Unsecured Notes”) were fully and unconditionally guaranteed, jointly and severally, on a senior unsecured basis by each existing and future direct and indirect wholly owned material domestic subsidiary of the Operating Partnership that incurs or guarantees certain bank indebtedness or any other material capital market indebtedness, other than certain excluded subsidiaries and the Co-Issuer. All subsidiary guarantees were released upon the execution of the Credit Agreement on February 8, 2022.</w:t>
      </w:r>
    </w:p>
    <w:p>
      <w:pPr>
        <w:spacing w:after="0" w:line="134" w:lineRule="exact"/>
        <w:rPr>
          <w:sz w:val="20"/>
          <w:szCs w:val="20"/>
          <w:color w:val="auto"/>
        </w:rPr>
      </w:pPr>
    </w:p>
    <w:p>
      <w:pPr>
        <w:jc w:val="both"/>
        <w:ind w:right="2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The Operating Partnership and its subsidiaries represent our “Real Property Business” segment, with the “Golf Course Business” segment corresponding to the portion of our business operated through entities that are not direct or indirect subsidiaries of the Operating Partnership or obligors of the Senior Unsecured Notes. Refer to </w:t>
      </w:r>
      <w:hyperlink w:anchor="page138">
        <w:r>
          <w:rPr>
            <w:rFonts w:ascii="Arial" w:cs="Arial" w:eastAsia="Arial" w:hAnsi="Arial"/>
            <w:sz w:val="18"/>
            <w:szCs w:val="18"/>
            <w:u w:val="single" w:color="auto"/>
            <w:color w:val="0000FF"/>
          </w:rPr>
          <w:t>Note 15 - Segment Information</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 about our segments.</w:t>
      </w:r>
    </w:p>
    <w:p>
      <w:pPr>
        <w:spacing w:after="0" w:line="13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respective indentures for the Senior Unsecured Notes each contain covenants that limit the Issuers’ and their restricted subsidiaries’ ability to, among other things: (i) incur additional debt; (ii) pay dividends on or make other distributions in respect of their capital stock or make other restricted payments;</w:t>
      </w:r>
    </w:p>
    <w:p>
      <w:pPr>
        <w:jc w:val="both"/>
        <w:ind w:firstLine="8"/>
        <w:spacing w:after="0" w:line="281" w:lineRule="auto"/>
        <w:tabs>
          <w:tab w:leader="none" w:pos="361" w:val="left"/>
        </w:tabs>
        <w:numPr>
          <w:ilvl w:val="0"/>
          <w:numId w:val="93"/>
        </w:numPr>
        <w:rPr>
          <w:rFonts w:ascii="Arial" w:cs="Arial" w:eastAsia="Arial" w:hAnsi="Arial"/>
          <w:sz w:val="16"/>
          <w:szCs w:val="16"/>
          <w:color w:val="auto"/>
        </w:rPr>
      </w:pPr>
      <w:r>
        <w:rPr>
          <w:rFonts w:ascii="Arial" w:cs="Arial" w:eastAsia="Arial" w:hAnsi="Arial"/>
          <w:sz w:val="16"/>
          <w:szCs w:val="16"/>
          <w:color w:val="auto"/>
        </w:rPr>
        <w:t>make certain investments; (iv) sell certain assets; (v) create or permit to exist dividend and/or payment restrictions affecting their restricted subsidiaries; (vi) create liens on certain assets to secure debt; (vii) consolidate, merge, sell or otherwise dispose of all or substantially all of their assets;</w:t>
      </w:r>
    </w:p>
    <w:p>
      <w:pPr>
        <w:spacing w:after="0" w:line="1" w:lineRule="exact"/>
        <w:rPr>
          <w:rFonts w:ascii="Arial" w:cs="Arial" w:eastAsia="Arial" w:hAnsi="Arial"/>
          <w:sz w:val="16"/>
          <w:szCs w:val="16"/>
          <w:color w:val="auto"/>
        </w:rPr>
      </w:pPr>
    </w:p>
    <w:p>
      <w:pPr>
        <w:jc w:val="both"/>
        <w:ind w:firstLine="8"/>
        <w:spacing w:after="0" w:line="269" w:lineRule="auto"/>
        <w:tabs>
          <w:tab w:leader="none" w:pos="416" w:val="left"/>
        </w:tabs>
        <w:numPr>
          <w:ilvl w:val="0"/>
          <w:numId w:val="94"/>
        </w:numPr>
        <w:rPr>
          <w:rFonts w:ascii="Arial" w:cs="Arial" w:eastAsia="Arial" w:hAnsi="Arial"/>
          <w:sz w:val="17"/>
          <w:szCs w:val="17"/>
          <w:color w:val="auto"/>
        </w:rPr>
      </w:pPr>
      <w:r>
        <w:rPr>
          <w:rFonts w:ascii="Arial" w:cs="Arial" w:eastAsia="Arial" w:hAnsi="Arial"/>
          <w:sz w:val="17"/>
          <w:szCs w:val="17"/>
          <w:color w:val="auto"/>
        </w:rPr>
        <w:t>enter into certain transactions with their affiliates; and (ix) designate their subsidiaries as unrestricted subsidiaries. These covenants are subject to a number of exceptions and qualifications, including the ability to declare or pay any cash dividend or make any cash distribution to VICI to the extent necessary for VICI to fund a dividend or distribution by VICI that it believes is necessary to maintain its status as a REIT or to avoid payment of any tax for any calendar year that could be avoided by reason of such distribution, and the ability to make certain restricted payments not to exceed 95% of our cumulative Funds From Operations (as defined in the Senior Unsecured Notes indentures), plus the aggregate net proceeds from (i) the sale of certain equity interests in, (ii) capital contributions to, and (iii) certain convertible indebtedness of the Operating Partnership. As of December 31, 2021, the restricted net assets of the Operating Partnership were approximately $7.4 billion.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Unsecured Credit Facilities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Subsequent to year end, in February 2022, the Operating Partnership entered into the Credit Agreement providing for (i) the Revolving Credit Facility in the amount of $2.5 billion scheduled to mature on March 31, 2026 and (ii) the Delayed Draw Term Loan in the amount of $1.0 billion scheduled to mature on March 31, 2025. The Revolving Credit Facility includes two six-month maturity extension options and the Delayed Draw Term Loan includes two twelve-month extension options, in each case, the exercise of which is subject to customary conditions and the payment of an extension fee of 0.0625% on the extended commitments, in the case of each six-month extension of the Revolving Credit Facility, and 0.125% on the extended term loans, in the case of each twelve-month extension of the Delayed Draw Term Loan. The Credit Facilities include the option to increase the revolving loan commitments by up to $1.0 billion and increase the delayed draw term loan commitments or add one or more new tranches of term loans by up to $1.0 billion in the aggregate, in each case, to the extent that any one or more lenders (from the syndicate or otherwise) agree to provide such additional credit extensions.</w:t>
      </w:r>
    </w:p>
    <w:p>
      <w:pPr>
        <w:spacing w:after="0" w:line="11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Borrowings under the Credit Facilities will bear interest, at the Operating Partnership’s option, (i) with respect to the Revolving Credit Facility, at a rate based on SOFR (including a credit spread adjustment) plus a margin ranging from 0.775% to 1.325% or a base rate plus a margin ranging from 0.00% to 0.325%, in each case, with the actual margin determined according to the Operating Partnership’s debt ratings, and (ii) with respect to the Delayed Draw Term Loan, at a rate based on SOFR (including a credit spread adjustment) plus a margin ranging from 0.85% to 1.60% or a base rate plus a margin ranging from 0.00% to 0.60%, in each case, with the actual margin determined according to the Operating Partnership’s debt ratings. The base rate is the highest of</w:t>
      </w:r>
    </w:p>
    <w:p>
      <w:pPr>
        <w:spacing w:after="0" w:line="2" w:lineRule="exact"/>
        <w:rPr>
          <w:sz w:val="20"/>
          <w:szCs w:val="20"/>
          <w:color w:val="auto"/>
        </w:rPr>
      </w:pPr>
    </w:p>
    <w:p>
      <w:pPr>
        <w:jc w:val="both"/>
        <w:ind w:firstLine="8"/>
        <w:spacing w:after="0" w:line="277" w:lineRule="auto"/>
        <w:tabs>
          <w:tab w:leader="none" w:pos="221"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prime rate of interest last quoted by the Wall Street Journal in the U.S. then in effect, (ii) the NYFRB rate from time to time plus 0.5% and (iii) the SOFR rate for a one-month interest period plus 1.0%, subject in each case to a floor of 1.0%. In addition, the Revolving Credit Facility requires the payment of a facility fee ranging from 0.15% to 0.375% (depending on the Operating Partnership’s debt rating) of total revolving commitments.</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terms of the Credit Agreement, the Operating Partnership is subject to, among other things, customary covenants and the maintenance of various financial covenants. The Credit Agreement is consistent with certain tax-related requirements related to security for the Company’s debt. If the MGP Transactions Bridge Facility and/or the Venetian Acquisition Bridge Facility (each as described below) is funded and remains outstanding for 90 days, then the Credit Facilities are required to be secured on a second priority basis with the same collateral securing the MGP Transactions Bridge Facility for so long as the MGP Transactions Bridge Facility remains outstanding.</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4" w:name="page125"/>
    <w:bookmarkEnd w:id="1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18, 2022, we drew on the Revolving Credit Facility in the amount of $600.0 million to fund a portion of the purchase price of the Venetian Acquisition.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Facilities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December 2017, VICI PropCo entered into a credit agreement (as amended, amended and restated and otherwise modified, the “Existing Credit Agreement”), which was subsequently amended and restated in May 2019 and amended in January 2020, comprised of a $2.2 billion Term Loan B Facility and a $1.0 billion Secured Revolving Credit Facility (the Term Loan B Facility and the Secured Revolving Credit Facility, as amended, are referred to together as the “Senior Secured Credit Facilities”). Pursuant to the Existing Credit Agreement, the Term Loan B Facility bore interest at a rate of LIBOR plus 1.75% and the Secured Revolving Credit Facility was subject to an interest rate based on a leverage-based pricing grid with a range of between 1.75% to 2.00% over LIBOR, or between 0.75% and 1.00% over the base rate, in each case depending on our total net debt to adjusted total assets ratio. The commitment fee payable under the Secured Revolving Credit Facility bore interest at a rate based on a leverage-based pricing grid with a range of between 0.375% to 0.50% depending on our total net debt to adjusted total assets ratio. The Secured Revolving Credit Facility also required the payment of a commitment fee of between 0.375% to 0.50% depending on our total net debt to adjusted total assets ratio. The Credit Agreement contained customary covenants and, with respect to the Secured Revolving Credit Facility, certain financial covenants.</w:t>
      </w:r>
    </w:p>
    <w:p>
      <w:pPr>
        <w:spacing w:after="0" w:line="13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Senior Secured Credit Facilities were secured by a first priority lien on substantially all of VICI PropCo’s material assets (and those of its existing and subsequently acquired wholly owned material domestic restricted subsidiaries), including mortgages on their respective real estate, subject to customary exclusions. VICI was not subject to the covenants of the Existing Credit Agreement nor was VICI a guarantor of the Senior Secured Credit Facilities.</w:t>
      </w:r>
    </w:p>
    <w:p>
      <w:pPr>
        <w:spacing w:after="0" w:line="95" w:lineRule="exact"/>
        <w:rPr>
          <w:sz w:val="20"/>
          <w:szCs w:val="20"/>
          <w:color w:val="auto"/>
        </w:rPr>
      </w:pPr>
    </w:p>
    <w:p>
      <w:pPr>
        <w:jc w:val="both"/>
        <w:spacing w:after="0" w:line="275" w:lineRule="auto"/>
        <w:rPr>
          <w:rFonts w:ascii="Arial" w:cs="Arial" w:eastAsia="Arial" w:hAnsi="Arial"/>
          <w:sz w:val="17"/>
          <w:szCs w:val="17"/>
          <w:color w:val="auto"/>
        </w:rPr>
      </w:pPr>
      <w:r>
        <w:rPr>
          <w:rFonts w:ascii="Arial" w:cs="Arial" w:eastAsia="Arial" w:hAnsi="Arial"/>
          <w:sz w:val="17"/>
          <w:szCs w:val="17"/>
          <w:color w:val="auto"/>
        </w:rPr>
        <w:t xml:space="preserve">On September 15, 2021, we used the proceeds from the settlement of the June 2020 Forward Sale Agreement, as defined in </w:t>
      </w:r>
      <w:hyperlink w:anchor="page132">
        <w:r>
          <w:rPr>
            <w:rFonts w:ascii="Arial" w:cs="Arial" w:eastAsia="Arial" w:hAnsi="Arial"/>
            <w:sz w:val="17"/>
            <w:szCs w:val="17"/>
            <w:u w:val="single" w:color="auto"/>
            <w:color w:val="0000FF"/>
          </w:rPr>
          <w:t>Note 11 - Stockholders Equity</w:t>
        </w:r>
      </w:hyperlink>
      <w:r>
        <w:rPr>
          <w:rFonts w:ascii="Arial" w:cs="Arial" w:eastAsia="Arial" w:hAnsi="Arial"/>
          <w:sz w:val="17"/>
          <w:szCs w:val="17"/>
          <w:color w:val="auto"/>
        </w:rPr>
        <w:t>, and the proceeds from the issuance of 65,000,000 shares of common stock from the September 2021 equity offering to repay in full the Term Loan B Facility, including outstanding accrued interest. In connection with the full repayment, we recognized a loss on extinguishment of debt of $15.6 million during the year ended December 31, 2021, representing the write-off of the remaining unamortized deferred financing costs. Following the repayment in full of the Term Loan B Facility, the Secured Revolving Credit Facility remained in effect pursuant to the Existing Credit Agreement.</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8, 2022, we terminated the Secured Revolving Credit Facility (including the first priority lien on substantially all of VICI PropCo’s material assets and those of its existing and subsequently acquired wholly owned material domestic restricted subsidiaries) and the Existing Credit Agreement, and entered into the Credit Agreement providing for the Credit Facilities, as described above.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Bridge Facilities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MGP Transactions Bridge Facility</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August 4, 2021, in connection with the MGP Transactions, VICI PropCo entered into a Commitment Letter (the “MGP Transactions Commitment Letter”) with Morgan Stanley Senior Funding, Inc., JPMorgan Chase Bank, N.A. and Citigroup Global Markets Inc. (collectively, the “MGP Transactions Bridge Lender”), pursuant to which, and subject to the terms and conditions set forth therein, the MGP Transactions Bridge Lender provided commitments in an amount up to $9.3 billion in the aggregate, consisting of a 364-day first lien secured bridge facility (the “MGP Transactions Bridge Facility”), for the purpose of providing a portion of the financing necessary to fund (i) the consideration to be paid in connection with the Redemption pursuant to the terms of the MGP Master Transaction Agreement, (ii) amounts to be paid in connection with offers to repurchase the MGP OP Notes pursuant to their respective indentures if the assumption of such notes by the Operating Partnership in the Mergers is unsuccessful and (iii) related fees and expenses. The commitment fee is equal to, (i) with respect to any commitments that remain outstanding on or prior to September 15, 2021, 0.25% of such commitments, (ii) with respect to any commitments that remain outstanding after September 15, 2021 and are terminated on or prior to August 4, 2022, 0.50% of such commitments, and (iii) with respect to any commitments that remain outstanding after August 4, 2022, 0.75% of such commitments. For the year ended December 31, 2021, we recognized $38.7 million of fees related to the MGP Transactions Bridge Facility in Interest expense on our Statement of Operations.</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Commitments and loans under the MGP Transactions Bridge Facility will be reduced or prepaid, as applicable, in part with the proceeds of certain incurrences of indebtedness, issuances of equity and asset sales. If we use the MGP Transactions Bridge Facility, funding is contingent on the satisfaction of certain customary conditions set forth in the MGP Transactions Commitment Letter, including, among others, (i) the execution and delivery of definitive documentation with respect to the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5" w:name="page126"/>
    <w:bookmarkEnd w:id="1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MGP Transactions Bridge Facility in accordance with the terms set forth in the MGP Transactions Commitment Letter and (ii) the consummation of the MGP Transactions in accordance with the MGP Master Transaction Agreement. Although we do not currently expect VICI PropCo to make any borrowings under the MGP Transactions Bridge Facility, there can be no assurance that such borrowings will not be made or that we will be able to incur alternative long-term debt financing in lieu of borrowings under the MGP Transactions Bridge Facility on favorable terms, or at all. Interest under the MGP Transactions Bridge Facility, if funded, will be calculated on a rate between (i) LIBOR plus 200 basis points and LIBOR plus 275 basis points or (ii) the base rate plus 100 basis points and the base rate plus 175 basis points, in each case depending on duration. The MGP Transactions Bridge Facility, if funded, will contain restrictive covenants and events of default substantially similar to those contained in the Senior Secured Credit Facilities. If we draw upon the MGP Transactions Bridge Facility, there can be no assurances that we would be able to refinance the MGP Transactions Bridge Facility on satisfactory terms, or at all.</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23, 2021, following the successful early tender results and participation of the Exchange Offers and Consent Solicitations, the execution of the MGP OP Supplemental Indentures and the elimination of the change of control covenants in connection therewith, $4,242.0 million in committed financing (representing the second tranche of the MGP Transactions Bridge Facility) was terminated in accordance with the terms of the MGP Transactions Commitment Letter.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Venetian Acquisition Bridge Facility</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March 2, 2021, in connection with the Venetian Acquisition, VICI PropCo entered into a Commitment Letter (the “Venetian Acquisition Commitment Letter”) with Deutsche Bank Securities Inc. and Deutsche Bank AG Cayman Islands Branch, and Morgan Stanley Senior Funding, Inc. (collectively, the “Venetian Acquisition Bridge Lender”), pursuant to which, and subject to the terms and conditions set forth therein, the Venetian Acquisition Bridge Lender has provided commitments in an amount up to $4.0 billion in the aggregate, consisting of a 364-day first lien secured bridge facility (the “Venetian Acquisition Bridge Facility”), for the purpose of providing a portion of the financing necessary to fund the consideration in connection with the Venetian PropCo Acquisition. On March 8, 2021, following the entry into the March 2021 Forward Sale Agreements, the commitments under the Venetian Acquisition Bridge Facility were reduced by $1,890.0 million. On December 13, 2021, the commitments under Venetian Bridge Acquisition Facility were reduced by an additional $1,410.0 million. As of December 31, 2021, $700.0 million of commitments under the Venetian Acquisition Bridge Facility remained outstanding. Subsequent to year end, on February 23, 2022, the remaining commitments under the Venetian Acquisition Bridge Facility were fully terminated in connection with the closing of the Venetian Acquisition. The Venetian Acquisition Bridge Facility was subject to a tiered commitment fee based on the period the commitment is outstanding and a structuring fee. For the year ended December 31, 2021, we recognized $16.4 million of fees related to the Venetian Acquisition Bridge Facility in Interest expense on our Statement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Eldorado Transaction Bridge Facilities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June 24, 2019, in connection with the Eldorado Transaction, VICI PropCo entered into a commitment letter with Deutsche Bank Securities Inc. and Deutsche Bank AG Cayman Islands Branch (collectively, the “Eldorado Transaction Bridge Lender”), pursuant to which and subject to the terms and conditions set forth therein, the Eldorado Transaction Bridge Lender agreed to provide (i) a 364-day first lien secured bridge facility of up to $3.3 billion in the aggregate and (ii) a 364-day second lien secured bridge facility of up to $1.5 billion in the aggregate (collectively the “Eldorado Transaction Bridge Facilities”), for the purpose of providing a portion of the financing necessary to fund the consideration to be paid pursuant to the terms of the Eldorado Transaction documents and related fees and expenses. Following the November 2019 Senior Unsecured Notes offering, the commitments under the Eldorado Transaction Bridge Facilities were reduced by $1.6 billion, to $3.2 billion. Following the February 2020 Senior Unsecured Notes offering, we placed $2.0 billion of the net proceeds of the offering into escrow pending the consummation of the Eldorado Transaction and the commitments under the Eldorado Transaction Bridge Facilities were further reduced by $2.0 billion to $1.2 billion. The Eldorado Transaction Bridge Facilities were subject to a tiered commitment fee based on the period the commitment is outstanding and a structuring fee. The structuring fee was equal to 0.10% of the total aggregate commitments at June 24, 2019 and was payable as such commitments were terminated. For the year ended December 31, 2020, we recognized $3.1 million of fees related to the Eldorado Transaction Bridge Facilities in Interest expense on our Statement of Operations. No such amount was recognized for the year ended December 31, 2021 as the Eldorado Transaction Bridge Facilities were fully terminated at our election in June 2020.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Lien Notes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Second Lien Notes were issued on October 6, 2017, pursuant to an indenture by and among VICI PropCo and its wholly owned subsidiary, VICI FC Inc., the subsidiary guarantors party thereto, and UMB Bank National Association, as trustee. On February 20, 2020, we used a portion of the proceeds from the issuance of the 2025 Notes, together with cash on hand, to</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6" w:name="page127"/>
    <w:bookmarkEnd w:id="1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redeem in full the Second Lien Notes at a redemption price of 100% of the principal amount of the Second Lien Notes then outstanding plus the Second Lien Notes Applicable Premium (as defined in the Second Lien Notes indenture), for a total redemption cost of $537.5 million. In connection with the full redemption, we recognized a loss on extinguishment of debt of $39.1 million during the year ended December 31, 2020.</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CPLV CMBS Debt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CPLV CMBS Debt was incurred on October 6, 2017 pursuant to a loan agreement, and was secured by a first priority lien on all of the assets of CPLV Property Owner LLC, as borrower. On November 26, 2019, we used the proceeds from the November 2019 Senior Unsecured Notes offering to repay in full the CPLV CMBS Debt. Due to the prepayment of the CPLV CMBS Debt, we recognized a loss on extinguishment of debt of $58.1 million during the year ended December 31, 2019, the majority of which related to the prepayment penalty.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Covenants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described above, our debt obligations are subject to certain customary financial and protective covenants that restrict the Operating Partnership, VICI PropCo and its subsidiaries’ ability to incur additional debt, sell certain asset and restrict certain payments, among other things. These covenants are subject to a number of exceptions and qualifications, including the ability to make restricted payments to maintain our REIT status. At December 31, 2021, we are in compliance with all financial covenants under our debt obligations.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 Derivatives</w:t>
      </w:r>
    </w:p>
    <w:p>
      <w:pPr>
        <w:spacing w:after="0" w:line="16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December 2021, we entered into a forward-starting interest rate swap agreement with a notional amount of $500.0 million to hedge against changes in future cash flows resulting from changes in interest rates from the trade date through the forecasted issuance date of $500.0 million of long-term debt. We hedged our exposure to the variability in future cash flows for a forecasted issuance of long-term debt over a maximum period ending December 2023. The forward-starting interest rate swap was designated as a cash-flow hedge. Subsequent to year-end, we entered into additional forward-starting interest rate swap agreements with an aggregate notional amount of $1.5 billion and fixed rates ranging from 1.6390% to 1.6900% and maturities ranging from May 2, 2027 to May 2, 2032. The additional forward-starting interest rate swap agreements continue to hedge our exposure to the variability in future cash flows for a forecasted issuance of long-term debt over a maximum period ending December 2023 and are designated as cash-flow hedges.</w:t>
      </w:r>
    </w:p>
    <w:p>
      <w:pPr>
        <w:spacing w:after="0" w:line="1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April 2018 and January 2019, we entered into six interest rate swap agreements with third party financial institutions having an aggregate notional amount of $2.0 billion. The interest rate swap transactions were designated as cash flow hedges that effectively fix the LIBOR component of the interest rate on a portion of the outstanding debt under the Term Loan B Facility at 2.8297%. On September 15, 2021, in connection with the full repayment of the Term Loan B Facility, we unwound and settled all of our outstanding interest rate swap agreements resulting in a cash payment of $66.9 million, inclusive of accrued interest of $2.7 million. As the Term Loan B Facility was repaid in full with proceeds from the issuance of 65,000,000 shares of common stock on September 14, 2021 and proceeds from the settlement of the June 2020 Forward Sale Agreement with no replacement debt, the full amount held in Other comprehensive income, $64.2 million, was immediately reclassified to Interest expense.</w:t>
      </w:r>
    </w:p>
    <w:p>
      <w:pPr>
        <w:spacing w:after="0" w:line="1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detail our outstanding interest rate derivatives that were designated as cash flow hedges of interest rate risk as of December 31, 2020 and 2021: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560" w:type="dxa"/>
            <w:vAlign w:val="bottom"/>
            <w:gridSpan w:val="3"/>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gridSpan w:val="4"/>
          </w:tcPr>
          <w:p>
            <w:pPr>
              <w:ind w:left="560"/>
              <w:spacing w:after="0"/>
              <w:rPr>
                <w:sz w:val="20"/>
                <w:szCs w:val="20"/>
                <w:color w:val="auto"/>
              </w:rPr>
            </w:pPr>
            <w:r>
              <w:rPr>
                <w:rFonts w:ascii="Arial" w:cs="Arial" w:eastAsia="Arial" w:hAnsi="Arial"/>
                <w:sz w:val="16"/>
                <w:szCs w:val="16"/>
                <w:b w:val="1"/>
                <w:bCs w:val="1"/>
                <w:color w:val="auto"/>
              </w:rPr>
              <w:t>December 31, 2021</w:t>
            </w: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Instrument</w:t>
            </w:r>
          </w:p>
        </w:tc>
        <w:tc>
          <w:tcPr>
            <w:tcW w:w="120" w:type="dxa"/>
            <w:vAlign w:val="bottom"/>
            <w:vMerge w:val="restart"/>
          </w:tcPr>
          <w:p>
            <w:pPr>
              <w:spacing w:after="0"/>
              <w:rPr>
                <w:sz w:val="13"/>
                <w:szCs w:val="13"/>
                <w:color w:val="auto"/>
              </w:rPr>
            </w:pPr>
          </w:p>
        </w:tc>
        <w:tc>
          <w:tcPr>
            <w:tcW w:w="1500" w:type="dxa"/>
            <w:vAlign w:val="bottom"/>
            <w:gridSpan w:val="2"/>
          </w:tcPr>
          <w:p>
            <w:pPr>
              <w:jc w:val="center"/>
              <w:ind w:right="120"/>
              <w:spacing w:after="0" w:line="155" w:lineRule="exact"/>
              <w:rPr>
                <w:sz w:val="20"/>
                <w:szCs w:val="20"/>
                <w:color w:val="auto"/>
              </w:rPr>
            </w:pPr>
            <w:r>
              <w:rPr>
                <w:rFonts w:ascii="Arial" w:cs="Arial" w:eastAsia="Arial" w:hAnsi="Arial"/>
                <w:sz w:val="16"/>
                <w:szCs w:val="16"/>
                <w:b w:val="1"/>
                <w:bCs w:val="1"/>
                <w:color w:val="auto"/>
                <w:w w:val="92"/>
              </w:rPr>
              <w:t>Number of</w:t>
            </w:r>
          </w:p>
        </w:tc>
        <w:tc>
          <w:tcPr>
            <w:tcW w:w="10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Fixed Rate</w:t>
            </w:r>
          </w:p>
        </w:tc>
        <w:tc>
          <w:tcPr>
            <w:tcW w:w="120" w:type="dxa"/>
            <w:vAlign w:val="bottom"/>
            <w:vMerge w:val="restart"/>
          </w:tcPr>
          <w:p>
            <w:pPr>
              <w:spacing w:after="0"/>
              <w:rPr>
                <w:sz w:val="13"/>
                <w:szCs w:val="13"/>
                <w:color w:val="auto"/>
              </w:rPr>
            </w:pPr>
          </w:p>
        </w:tc>
        <w:tc>
          <w:tcPr>
            <w:tcW w:w="12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Notional</w:t>
            </w:r>
          </w:p>
        </w:tc>
        <w:tc>
          <w:tcPr>
            <w:tcW w:w="100" w:type="dxa"/>
            <w:vAlign w:val="bottom"/>
            <w:vMerge w:val="restart"/>
          </w:tcPr>
          <w:p>
            <w:pPr>
              <w:spacing w:after="0"/>
              <w:rPr>
                <w:sz w:val="13"/>
                <w:szCs w:val="13"/>
                <w:color w:val="auto"/>
              </w:rPr>
            </w:pPr>
          </w:p>
        </w:tc>
        <w:tc>
          <w:tcPr>
            <w:tcW w:w="14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Index</w:t>
            </w:r>
          </w:p>
        </w:tc>
        <w:tc>
          <w:tcPr>
            <w:tcW w:w="120" w:type="dxa"/>
            <w:vAlign w:val="bottom"/>
            <w:vMerge w:val="restart"/>
          </w:tcPr>
          <w:p>
            <w:pPr>
              <w:spacing w:after="0"/>
              <w:rPr>
                <w:sz w:val="13"/>
                <w:szCs w:val="13"/>
                <w:color w:val="auto"/>
              </w:rPr>
            </w:pPr>
          </w:p>
        </w:tc>
        <w:tc>
          <w:tcPr>
            <w:tcW w:w="21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Maturity</w:t>
            </w:r>
          </w:p>
        </w:tc>
        <w:tc>
          <w:tcPr>
            <w:tcW w:w="0" w:type="dxa"/>
            <w:vAlign w:val="bottom"/>
          </w:tcPr>
          <w:p>
            <w:pPr>
              <w:spacing w:after="0"/>
              <w:rPr>
                <w:sz w:val="1"/>
                <w:szCs w:val="1"/>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Instruments</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56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Forward-starting interest rate swap</w:t>
            </w:r>
          </w:p>
        </w:tc>
        <w:tc>
          <w:tcPr>
            <w:tcW w:w="13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color w:val="auto"/>
              </w:rPr>
              <w:t>1.3465%</w:t>
            </w:r>
          </w:p>
        </w:tc>
        <w:tc>
          <w:tcPr>
            <w:tcW w:w="1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ind w:right="216"/>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center"/>
              <w:spacing w:after="0" w:line="172" w:lineRule="exact"/>
              <w:rPr>
                <w:sz w:val="20"/>
                <w:szCs w:val="20"/>
                <w:color w:val="auto"/>
              </w:rPr>
            </w:pPr>
            <w:r>
              <w:rPr>
                <w:rFonts w:ascii="Arial" w:cs="Arial" w:eastAsia="Arial" w:hAnsi="Arial"/>
                <w:sz w:val="18"/>
                <w:szCs w:val="18"/>
                <w:color w:val="auto"/>
                <w:w w:val="92"/>
              </w:rPr>
              <w:t>USD SOFR-</w:t>
            </w:r>
          </w:p>
        </w:tc>
        <w:tc>
          <w:tcPr>
            <w:tcW w:w="120" w:type="dxa"/>
            <w:vAlign w:val="bottom"/>
            <w:shd w:val="clear" w:color="auto" w:fill="CCEEFF"/>
          </w:tcPr>
          <w:p>
            <w:pPr>
              <w:spacing w:after="0"/>
              <w:rPr>
                <w:sz w:val="14"/>
                <w:szCs w:val="14"/>
                <w:color w:val="auto"/>
              </w:rPr>
            </w:pPr>
          </w:p>
        </w:tc>
        <w:tc>
          <w:tcPr>
            <w:tcW w:w="2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May 2, 2032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560" w:type="dxa"/>
            <w:vAlign w:val="bottom"/>
            <w:gridSpan w:val="3"/>
            <w:vMerge w:val="continue"/>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COMPOUND</w:t>
            </w:r>
          </w:p>
        </w:tc>
        <w:tc>
          <w:tcPr>
            <w:tcW w:w="2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905"/>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320"/>
              <w:spacing w:after="0"/>
              <w:rPr>
                <w:sz w:val="20"/>
                <w:szCs w:val="20"/>
                <w:color w:val="auto"/>
              </w:rPr>
            </w:pPr>
            <w:r>
              <w:rPr>
                <w:rFonts w:ascii="Arial" w:cs="Arial" w:eastAsia="Arial" w:hAnsi="Arial"/>
                <w:sz w:val="18"/>
                <w:szCs w:val="18"/>
                <w:color w:val="auto"/>
              </w:rPr>
              <w:t>F - 45</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7" w:name="page128"/>
    <w:bookmarkEnd w:id="1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560" w:type="dxa"/>
            <w:vAlign w:val="bottom"/>
            <w:gridSpan w:val="3"/>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gridSpan w:val="4"/>
          </w:tcPr>
          <w:p>
            <w:pPr>
              <w:ind w:left="560"/>
              <w:spacing w:after="0"/>
              <w:rPr>
                <w:sz w:val="20"/>
                <w:szCs w:val="20"/>
                <w:color w:val="auto"/>
              </w:rPr>
            </w:pPr>
            <w:r>
              <w:rPr>
                <w:rFonts w:ascii="Arial" w:cs="Arial" w:eastAsia="Arial" w:hAnsi="Arial"/>
                <w:sz w:val="16"/>
                <w:szCs w:val="16"/>
                <w:b w:val="1"/>
                <w:bCs w:val="1"/>
                <w:color w:val="auto"/>
              </w:rPr>
              <w:t>December 31, 2020</w:t>
            </w: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6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Instrument</w:t>
            </w:r>
          </w:p>
        </w:tc>
        <w:tc>
          <w:tcPr>
            <w:tcW w:w="1500" w:type="dxa"/>
            <w:vAlign w:val="bottom"/>
            <w:gridSpan w:val="2"/>
          </w:tcPr>
          <w:p>
            <w:pPr>
              <w:jc w:val="center"/>
              <w:ind w:right="120"/>
              <w:spacing w:after="0" w:line="155" w:lineRule="exact"/>
              <w:rPr>
                <w:sz w:val="20"/>
                <w:szCs w:val="20"/>
                <w:color w:val="auto"/>
              </w:rPr>
            </w:pPr>
            <w:r>
              <w:rPr>
                <w:rFonts w:ascii="Arial" w:cs="Arial" w:eastAsia="Arial" w:hAnsi="Arial"/>
                <w:sz w:val="16"/>
                <w:szCs w:val="16"/>
                <w:b w:val="1"/>
                <w:bCs w:val="1"/>
                <w:color w:val="auto"/>
                <w:w w:val="92"/>
              </w:rPr>
              <w:t>Number of</w:t>
            </w: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3"/>
              </w:rPr>
              <w:t>Fixed Rate</w:t>
            </w:r>
          </w:p>
        </w:tc>
        <w:tc>
          <w:tcPr>
            <w:tcW w:w="136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Notional</w:t>
            </w:r>
          </w:p>
        </w:tc>
        <w:tc>
          <w:tcPr>
            <w:tcW w:w="15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0"/>
              </w:rPr>
              <w:t>Index</w:t>
            </w:r>
          </w:p>
        </w:tc>
        <w:tc>
          <w:tcPr>
            <w:tcW w:w="21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Maturity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60" w:type="dxa"/>
            <w:vAlign w:val="bottom"/>
            <w:gridSpan w:val="3"/>
            <w:vMerge w:val="continue"/>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Instruments</w:t>
            </w:r>
          </w:p>
        </w:tc>
        <w:tc>
          <w:tcPr>
            <w:tcW w:w="112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2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Borders>
              <w:top w:val="single" w:sz="8" w:color="auto"/>
            </w:tcBorders>
            <w:shd w:val="clear" w:color="auto" w:fill="CCEEFF"/>
          </w:tcPr>
          <w:p>
            <w:pPr>
              <w:spacing w:after="0"/>
              <w:rPr>
                <w:sz w:val="19"/>
                <w:szCs w:val="19"/>
                <w:color w:val="auto"/>
              </w:rPr>
            </w:pPr>
          </w:p>
        </w:tc>
        <w:tc>
          <w:tcPr>
            <w:tcW w:w="34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2.8297%</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$1,500,000</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USD LIBOR</w:t>
            </w:r>
          </w:p>
        </w:tc>
        <w:tc>
          <w:tcPr>
            <w:tcW w:w="12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April 22, 2023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gridSpan w:val="3"/>
          </w:tcPr>
          <w:p>
            <w:pPr>
              <w:spacing w:after="0"/>
              <w:rPr>
                <w:sz w:val="20"/>
                <w:szCs w:val="20"/>
                <w:color w:val="auto"/>
              </w:rPr>
            </w:pPr>
            <w:r>
              <w:rPr>
                <w:rFonts w:ascii="Arial" w:cs="Arial" w:eastAsia="Arial" w:hAnsi="Arial"/>
                <w:sz w:val="18"/>
                <w:szCs w:val="18"/>
                <w:color w:val="auto"/>
              </w:rPr>
              <w:t>Interest rate swaps</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2.3802%</w:t>
            </w:r>
          </w:p>
        </w:tc>
        <w:tc>
          <w:tcPr>
            <w:tcW w:w="120" w:type="dxa"/>
            <w:vAlign w:val="bottom"/>
          </w:tcPr>
          <w:p>
            <w:pPr>
              <w:spacing w:after="0"/>
              <w:rPr>
                <w:sz w:val="20"/>
                <w:szCs w:val="20"/>
                <w:color w:val="auto"/>
              </w:rPr>
            </w:pPr>
          </w:p>
        </w:tc>
        <w:tc>
          <w:tcPr>
            <w:tcW w:w="1240" w:type="dxa"/>
            <w:vAlign w:val="bottom"/>
          </w:tcPr>
          <w:p>
            <w:pPr>
              <w:jc w:val="right"/>
              <w:ind w:right="195"/>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0"/>
                <w:szCs w:val="20"/>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USD LIBOR</w:t>
            </w: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January 22, 2021</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December 31, 2021 and 2020, the swaps are in net unrealized gain and loss positions, respectively and are recorded within Other assets and Other liabilities, respectively. The following table presents the effect of our derivative financial instruments on our Statement of Operations: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Year Ended December 31,</w:t>
            </w: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r>
      <w:tr>
        <w:trPr>
          <w:trHeight w:val="185"/>
        </w:trPr>
        <w:tc>
          <w:tcPr>
            <w:tcW w:w="510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460" w:type="dxa"/>
            <w:vAlign w:val="bottom"/>
          </w:tcPr>
          <w:p>
            <w:pPr>
              <w:spacing w:after="0"/>
              <w:rPr>
                <w:sz w:val="16"/>
                <w:szCs w:val="16"/>
                <w:color w:val="auto"/>
              </w:rPr>
            </w:pPr>
          </w:p>
        </w:tc>
        <w:tc>
          <w:tcPr>
            <w:tcW w:w="1480" w:type="dxa"/>
            <w:vAlign w:val="bottom"/>
          </w:tcPr>
          <w:p>
            <w:pPr>
              <w:jc w:val="right"/>
              <w:ind w:right="71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jc w:val="right"/>
              <w:ind w:right="73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jc w:val="right"/>
              <w:ind w:right="710"/>
              <w:spacing w:after="0" w:line="186" w:lineRule="exact"/>
              <w:rPr>
                <w:sz w:val="20"/>
                <w:szCs w:val="20"/>
                <w:color w:val="auto"/>
              </w:rPr>
            </w:pPr>
            <w:r>
              <w:rPr>
                <w:rFonts w:ascii="Arial" w:cs="Arial" w:eastAsia="Arial" w:hAnsi="Arial"/>
                <w:sz w:val="18"/>
                <w:szCs w:val="18"/>
                <w:b w:val="1"/>
                <w:bCs w:val="1"/>
                <w:color w:val="auto"/>
              </w:rPr>
              <w:t>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23"/>
        </w:trPr>
        <w:tc>
          <w:tcPr>
            <w:tcW w:w="51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Unrealized gain (loss) recorded in other comprehensive income</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(42,954)</w:t>
            </w:r>
          </w:p>
        </w:tc>
      </w:tr>
      <w:tr>
        <w:trPr>
          <w:trHeight w:val="230"/>
        </w:trPr>
        <w:tc>
          <w:tcPr>
            <w:tcW w:w="5100" w:type="dxa"/>
            <w:vAlign w:val="bottom"/>
            <w:gridSpan w:val="3"/>
          </w:tcPr>
          <w:p>
            <w:pPr>
              <w:ind w:left="20"/>
              <w:spacing w:after="0"/>
              <w:rPr>
                <w:sz w:val="20"/>
                <w:szCs w:val="20"/>
                <w:color w:val="auto"/>
              </w:rPr>
            </w:pPr>
            <w:r>
              <w:rPr>
                <w:rFonts w:ascii="Arial" w:cs="Arial" w:eastAsia="Arial" w:hAnsi="Arial"/>
                <w:sz w:val="18"/>
                <w:szCs w:val="18"/>
                <w:color w:val="auto"/>
              </w:rPr>
              <w:t>Interest recorded in interest expense</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29,960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42,797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9,269</w:t>
            </w:r>
          </w:p>
        </w:tc>
      </w:tr>
      <w:tr>
        <w:trPr>
          <w:trHeight w:val="229"/>
        </w:trPr>
        <w:tc>
          <w:tcPr>
            <w:tcW w:w="51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Interest rate swap settlement recorded in interest expense</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64,239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 Fair Value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our assets and liabilities measured at fair value on a recurring basis as of December 31, 2021 and 2020:</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ind w:left="560"/>
              <w:spacing w:after="0"/>
              <w:rPr>
                <w:sz w:val="20"/>
                <w:szCs w:val="20"/>
                <w:color w:val="auto"/>
              </w:rPr>
            </w:pPr>
            <w:r>
              <w:rPr>
                <w:rFonts w:ascii="Arial" w:cs="Arial" w:eastAsia="Arial" w:hAnsi="Arial"/>
                <w:sz w:val="16"/>
                <w:szCs w:val="16"/>
                <w:b w:val="1"/>
                <w:bCs w:val="1"/>
                <w:color w:val="auto"/>
              </w:rPr>
              <w:t>December 31, 2021</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6"/>
                <w:szCs w:val="16"/>
                <w:b w:val="1"/>
                <w:bCs w:val="1"/>
                <w:color w:val="auto"/>
                <w:w w:val="96"/>
              </w:rPr>
              <w:t>Fair Value</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4"/>
          </w:tcPr>
          <w:p>
            <w:pPr>
              <w:ind w:left="80"/>
              <w:spacing w:after="0"/>
              <w:rPr>
                <w:sz w:val="20"/>
                <w:szCs w:val="20"/>
                <w:color w:val="auto"/>
              </w:rPr>
            </w:pPr>
            <w:r>
              <w:rPr>
                <w:rFonts w:ascii="Arial" w:cs="Arial" w:eastAsia="Arial" w:hAnsi="Arial"/>
                <w:sz w:val="16"/>
                <w:szCs w:val="16"/>
                <w:b w:val="1"/>
                <w:bCs w:val="1"/>
                <w:color w:val="auto"/>
              </w:rPr>
              <w:t>Carrying Amount</w:t>
            </w:r>
          </w:p>
        </w:tc>
        <w:tc>
          <w:tcPr>
            <w:tcW w:w="320" w:type="dxa"/>
            <w:vAlign w:val="bottom"/>
          </w:tcPr>
          <w:p>
            <w:pPr>
              <w:spacing w:after="0"/>
              <w:rPr>
                <w:sz w:val="17"/>
                <w:szCs w:val="17"/>
                <w:color w:val="auto"/>
              </w:rPr>
            </w:pPr>
          </w:p>
        </w:tc>
        <w:tc>
          <w:tcPr>
            <w:tcW w:w="1380" w:type="dxa"/>
            <w:vAlign w:val="bottom"/>
            <w:gridSpan w:val="3"/>
          </w:tcPr>
          <w:p>
            <w:pPr>
              <w:ind w:left="220"/>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7"/>
                <w:szCs w:val="17"/>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Level 2</w:t>
            </w:r>
          </w:p>
        </w:tc>
        <w:tc>
          <w:tcPr>
            <w:tcW w:w="320" w:type="dxa"/>
            <w:vAlign w:val="bottom"/>
          </w:tcPr>
          <w:p>
            <w:pPr>
              <w:spacing w:after="0"/>
              <w:rPr>
                <w:sz w:val="17"/>
                <w:szCs w:val="17"/>
                <w:color w:val="auto"/>
              </w:rPr>
            </w:pPr>
          </w:p>
        </w:tc>
        <w:tc>
          <w:tcPr>
            <w:tcW w:w="1260" w:type="dxa"/>
            <w:vAlign w:val="bottom"/>
          </w:tcPr>
          <w:p>
            <w:pPr>
              <w:ind w:left="22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12"/>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Financial assets:</w:t>
            </w:r>
          </w:p>
        </w:tc>
        <w:tc>
          <w:tcPr>
            <w:tcW w:w="1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360" w:type="dxa"/>
            <w:vAlign w:val="bottom"/>
          </w:tcPr>
          <w:p>
            <w:pPr>
              <w:ind w:left="220"/>
              <w:spacing w:after="0" w:line="176" w:lineRule="exact"/>
              <w:rPr>
                <w:sz w:val="20"/>
                <w:szCs w:val="20"/>
                <w:color w:val="auto"/>
              </w:rPr>
            </w:pPr>
            <w:r>
              <w:rPr>
                <w:rFonts w:ascii="Arial" w:cs="Arial" w:eastAsia="Arial" w:hAnsi="Arial"/>
                <w:sz w:val="18"/>
                <w:szCs w:val="18"/>
                <w:color w:val="auto"/>
                <w:w w:val="98"/>
              </w:rPr>
              <w:t>Derivative instruments - forward-starting interest rate</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884</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gridSpan w:val="3"/>
            <w:vMerge w:val="restart"/>
          </w:tcPr>
          <w:p>
            <w:pPr>
              <w:ind w:left="1000"/>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884</w:t>
            </w:r>
          </w:p>
        </w:tc>
        <w:tc>
          <w:tcPr>
            <w:tcW w:w="140" w:type="dxa"/>
            <w:vAlign w:val="bottom"/>
          </w:tcPr>
          <w:p>
            <w:pPr>
              <w:spacing w:after="0"/>
              <w:rPr>
                <w:sz w:val="15"/>
                <w:szCs w:val="15"/>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vMerge w:val="restart"/>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4"/>
        </w:trPr>
        <w:tc>
          <w:tcPr>
            <w:tcW w:w="4360" w:type="dxa"/>
            <w:vAlign w:val="bottom"/>
          </w:tcPr>
          <w:p>
            <w:pPr>
              <w:ind w:left="400"/>
              <w:spacing w:after="0"/>
              <w:rPr>
                <w:sz w:val="20"/>
                <w:szCs w:val="20"/>
                <w:color w:val="auto"/>
              </w:rPr>
            </w:pPr>
            <w:r>
              <w:rPr>
                <w:rFonts w:ascii="Arial" w:cs="Arial" w:eastAsia="Arial" w:hAnsi="Arial"/>
                <w:sz w:val="18"/>
                <w:szCs w:val="18"/>
                <w:color w:val="auto"/>
              </w:rPr>
              <w:t xml:space="preserve">swap </w:t>
            </w:r>
            <w:r>
              <w:rPr>
                <w:rFonts w:ascii="Arial" w:cs="Arial" w:eastAsia="Arial" w:hAnsi="Arial"/>
                <w:sz w:val="23"/>
                <w:szCs w:val="23"/>
                <w:i w:val="1"/>
                <w:iCs w:val="1"/>
                <w:color w:val="auto"/>
                <w:vertAlign w:val="superscript"/>
              </w:rPr>
              <w:t>(1)</w:t>
            </w:r>
          </w:p>
        </w:tc>
        <w:tc>
          <w:tcPr>
            <w:tcW w:w="180" w:type="dxa"/>
            <w:vAlign w:val="bottom"/>
            <w:vMerge w:val="continue"/>
          </w:tcPr>
          <w:p>
            <w:pPr>
              <w:spacing w:after="0"/>
              <w:rPr>
                <w:sz w:val="24"/>
                <w:szCs w:val="24"/>
                <w:color w:val="auto"/>
              </w:rPr>
            </w:pPr>
          </w:p>
        </w:tc>
        <w:tc>
          <w:tcPr>
            <w:tcW w:w="15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1380" w:type="dxa"/>
            <w:vAlign w:val="bottom"/>
            <w:gridSpan w:val="3"/>
            <w:vMerge w:val="continue"/>
          </w:tcPr>
          <w:p>
            <w:pPr>
              <w:spacing w:after="0"/>
              <w:rPr>
                <w:sz w:val="24"/>
                <w:szCs w:val="24"/>
                <w:color w:val="auto"/>
              </w:rPr>
            </w:pPr>
          </w:p>
        </w:tc>
        <w:tc>
          <w:tcPr>
            <w:tcW w:w="260" w:type="dxa"/>
            <w:vAlign w:val="bottom"/>
            <w:vMerge w:val="continue"/>
          </w:tcPr>
          <w:p>
            <w:pPr>
              <w:spacing w:after="0"/>
              <w:rPr>
                <w:sz w:val="24"/>
                <w:szCs w:val="24"/>
                <w:color w:val="auto"/>
              </w:rPr>
            </w:pPr>
          </w:p>
        </w:tc>
        <w:tc>
          <w:tcPr>
            <w:tcW w:w="13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6"/>
          </w:tcPr>
          <w:p>
            <w:pPr>
              <w:ind w:left="560"/>
              <w:spacing w:after="0"/>
              <w:rPr>
                <w:sz w:val="20"/>
                <w:szCs w:val="20"/>
                <w:color w:val="auto"/>
              </w:rPr>
            </w:pPr>
            <w:r>
              <w:rPr>
                <w:rFonts w:ascii="Arial" w:cs="Arial" w:eastAsia="Arial" w:hAnsi="Arial"/>
                <w:sz w:val="16"/>
                <w:szCs w:val="16"/>
                <w:b w:val="1"/>
                <w:bCs w:val="1"/>
                <w:color w:val="auto"/>
              </w:rPr>
              <w:t>December 31, 2020</w:t>
            </w: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3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thousands)</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6"/>
                <w:szCs w:val="16"/>
                <w:b w:val="1"/>
                <w:bCs w:val="1"/>
                <w:color w:val="auto"/>
                <w:w w:val="94"/>
              </w:rPr>
              <w:t>Fair Value</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3"/>
          </w:tcPr>
          <w:p>
            <w:pPr>
              <w:ind w:left="80"/>
              <w:spacing w:after="0"/>
              <w:rPr>
                <w:sz w:val="20"/>
                <w:szCs w:val="20"/>
                <w:color w:val="auto"/>
              </w:rPr>
            </w:pPr>
            <w:r>
              <w:rPr>
                <w:rFonts w:ascii="Arial" w:cs="Arial" w:eastAsia="Arial" w:hAnsi="Arial"/>
                <w:sz w:val="16"/>
                <w:szCs w:val="16"/>
                <w:b w:val="1"/>
                <w:bCs w:val="1"/>
                <w:color w:val="auto"/>
              </w:rPr>
              <w:t>Carrying Amount</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3"/>
          </w:tcPr>
          <w:p>
            <w:pPr>
              <w:ind w:left="200"/>
              <w:spacing w:after="0"/>
              <w:rPr>
                <w:sz w:val="20"/>
                <w:szCs w:val="20"/>
                <w:color w:val="auto"/>
              </w:rPr>
            </w:pPr>
            <w:r>
              <w:rPr>
                <w:rFonts w:ascii="Arial" w:cs="Arial" w:eastAsia="Arial" w:hAnsi="Arial"/>
                <w:sz w:val="16"/>
                <w:szCs w:val="16"/>
                <w:b w:val="1"/>
                <w:bCs w:val="1"/>
                <w:color w:val="auto"/>
              </w:rPr>
              <w:t>Level 1</w:t>
            </w:r>
          </w:p>
        </w:tc>
        <w:tc>
          <w:tcPr>
            <w:tcW w:w="260" w:type="dxa"/>
            <w:vAlign w:val="bottom"/>
          </w:tcPr>
          <w:p>
            <w:pPr>
              <w:spacing w:after="0"/>
              <w:rPr>
                <w:sz w:val="17"/>
                <w:szCs w:val="17"/>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Level 2</w:t>
            </w:r>
          </w:p>
        </w:tc>
        <w:tc>
          <w:tcPr>
            <w:tcW w:w="320" w:type="dxa"/>
            <w:vAlign w:val="bottom"/>
          </w:tcPr>
          <w:p>
            <w:pPr>
              <w:spacing w:after="0"/>
              <w:rPr>
                <w:sz w:val="17"/>
                <w:szCs w:val="17"/>
                <w:color w:val="auto"/>
              </w:rPr>
            </w:pPr>
          </w:p>
        </w:tc>
        <w:tc>
          <w:tcPr>
            <w:tcW w:w="1260" w:type="dxa"/>
            <w:vAlign w:val="bottom"/>
          </w:tcPr>
          <w:p>
            <w:pPr>
              <w:ind w:left="22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12"/>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Financial assets:</w:t>
            </w:r>
          </w:p>
        </w:tc>
        <w:tc>
          <w:tcPr>
            <w:tcW w:w="1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3"/>
                <w:szCs w:val="23"/>
                <w:i w:val="1"/>
                <w:iCs w:val="1"/>
                <w:color w:val="auto"/>
                <w:vertAlign w:val="superscript"/>
              </w:rPr>
              <w:t>(2)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19,973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gridSpan w:val="3"/>
          </w:tcPr>
          <w:p>
            <w:pPr>
              <w:ind w:left="9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19,973</w:t>
            </w:r>
          </w:p>
        </w:tc>
        <w:tc>
          <w:tcPr>
            <w:tcW w:w="1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Financial liabilities:</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4360" w:type="dxa"/>
            <w:vAlign w:val="bottom"/>
          </w:tcPr>
          <w:p>
            <w:pPr>
              <w:ind w:left="220"/>
              <w:spacing w:after="0"/>
              <w:rPr>
                <w:sz w:val="20"/>
                <w:szCs w:val="20"/>
                <w:color w:val="auto"/>
              </w:rPr>
            </w:pPr>
            <w:r>
              <w:rPr>
                <w:rFonts w:ascii="Arial" w:cs="Arial" w:eastAsia="Arial" w:hAnsi="Arial"/>
                <w:sz w:val="18"/>
                <w:szCs w:val="18"/>
                <w:color w:val="auto"/>
              </w:rPr>
              <w:t xml:space="preserve">Derivative instruments - interest rate swaps </w:t>
            </w:r>
            <w:r>
              <w:rPr>
                <w:rFonts w:ascii="Arial" w:cs="Arial" w:eastAsia="Arial" w:hAnsi="Arial"/>
                <w:sz w:val="23"/>
                <w:szCs w:val="23"/>
                <w:i w:val="1"/>
                <w:iCs w:val="1"/>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92,521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gridSpan w:val="3"/>
          </w:tcPr>
          <w:p>
            <w:pPr>
              <w:ind w:left="9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92,521</w:t>
            </w:r>
          </w:p>
        </w:tc>
        <w:tc>
          <w:tcPr>
            <w:tcW w:w="14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ind w:left="340" w:hanging="332"/>
        <w:spacing w:after="0" w:line="241" w:lineRule="auto"/>
        <w:tabs>
          <w:tab w:leader="none" w:pos="332" w:val="left"/>
        </w:tabs>
        <w:numPr>
          <w:ilvl w:val="0"/>
          <w:numId w:val="96"/>
        </w:numPr>
        <w:rPr>
          <w:rFonts w:ascii="Arial" w:cs="Arial" w:eastAsia="Arial" w:hAnsi="Arial"/>
          <w:sz w:val="14"/>
          <w:szCs w:val="14"/>
          <w:i w:val="1"/>
          <w:iCs w:val="1"/>
          <w:color w:val="auto"/>
        </w:rPr>
      </w:pPr>
      <w:r>
        <w:rPr>
          <w:rFonts w:ascii="Arial" w:cs="Arial" w:eastAsia="Arial" w:hAnsi="Arial"/>
          <w:sz w:val="14"/>
          <w:szCs w:val="14"/>
          <w:i w:val="1"/>
          <w:iCs w:val="1"/>
          <w:color w:val="auto"/>
        </w:rPr>
        <w:t>The fair values of our interest rate swap derivative instruments were estimated using advice from a third-party derivative specialist, based on contractual cash flows and observable inputs comprising interest rate curves and credit spreads, which are Level 2 measurements as defined under ASC 820.</w:t>
      </w:r>
    </w:p>
    <w:p>
      <w:pPr>
        <w:ind w:left="320" w:hanging="312"/>
        <w:spacing w:after="0"/>
        <w:tabs>
          <w:tab w:leader="none" w:pos="320" w:val="left"/>
        </w:tabs>
        <w:numPr>
          <w:ilvl w:val="0"/>
          <w:numId w:val="96"/>
        </w:numPr>
        <w:rPr>
          <w:rFonts w:ascii="Arial" w:cs="Arial" w:eastAsia="Arial" w:hAnsi="Arial"/>
          <w:sz w:val="14"/>
          <w:szCs w:val="14"/>
          <w:i w:val="1"/>
          <w:iCs w:val="1"/>
          <w:color w:val="auto"/>
        </w:rPr>
      </w:pPr>
      <w:r>
        <w:rPr>
          <w:rFonts w:ascii="Arial" w:cs="Arial" w:eastAsia="Arial" w:hAnsi="Arial"/>
          <w:sz w:val="14"/>
          <w:szCs w:val="14"/>
          <w:i w:val="1"/>
          <w:iCs w:val="1"/>
          <w:color w:val="auto"/>
        </w:rPr>
        <w:t>The carrying value of these investment is equal to their fair value due to the short-term nature of the investments as well as their credit quality.</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8" w:name="page129"/>
    <w:bookmarkEnd w:id="1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values of our financial instruments at December 31, 2021 and 2020 for which fair value is only disclosed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00" w:type="dxa"/>
            <w:vAlign w:val="bottom"/>
            <w:gridSpan w:val="5"/>
          </w:tcPr>
          <w:p>
            <w:pPr>
              <w:ind w:left="880"/>
              <w:spacing w:after="0"/>
              <w:rPr>
                <w:sz w:val="20"/>
                <w:szCs w:val="20"/>
                <w:color w:val="auto"/>
              </w:rPr>
            </w:pPr>
            <w:r>
              <w:rPr>
                <w:rFonts w:ascii="Arial" w:cs="Arial" w:eastAsia="Arial" w:hAnsi="Arial"/>
                <w:sz w:val="16"/>
                <w:szCs w:val="16"/>
                <w:b w:val="1"/>
                <w:bCs w:val="1"/>
                <w:color w:val="auto"/>
              </w:rPr>
              <w:t>December 31, 2021</w:t>
            </w:r>
          </w:p>
        </w:tc>
        <w:tc>
          <w:tcPr>
            <w:tcW w:w="160" w:type="dxa"/>
            <w:vAlign w:val="bottom"/>
          </w:tcPr>
          <w:p>
            <w:pPr>
              <w:spacing w:after="0"/>
              <w:rPr>
                <w:sz w:val="18"/>
                <w:szCs w:val="18"/>
                <w:color w:val="auto"/>
              </w:rPr>
            </w:pPr>
          </w:p>
        </w:tc>
        <w:tc>
          <w:tcPr>
            <w:tcW w:w="3220" w:type="dxa"/>
            <w:vAlign w:val="bottom"/>
            <w:gridSpan w:val="4"/>
          </w:tcPr>
          <w:p>
            <w:pPr>
              <w:jc w:val="right"/>
              <w:ind w:right="951"/>
              <w:spacing w:after="0"/>
              <w:rPr>
                <w:sz w:val="20"/>
                <w:szCs w:val="20"/>
                <w:color w:val="auto"/>
              </w:rPr>
            </w:pPr>
            <w:r>
              <w:rPr>
                <w:rFonts w:ascii="Arial" w:cs="Arial" w:eastAsia="Arial" w:hAnsi="Arial"/>
                <w:sz w:val="16"/>
                <w:szCs w:val="16"/>
                <w:b w:val="1"/>
                <w:bCs w:val="1"/>
                <w:color w:val="auto"/>
              </w:rPr>
              <w:t>December 31, 2020</w:t>
            </w:r>
          </w:p>
        </w:tc>
      </w:tr>
      <w:tr>
        <w:trPr>
          <w:trHeight w:val="172"/>
        </w:trPr>
        <w:tc>
          <w:tcPr>
            <w:tcW w:w="20" w:type="dxa"/>
            <w:vAlign w:val="bottom"/>
          </w:tcPr>
          <w:p>
            <w:pPr>
              <w:spacing w:after="0"/>
              <w:rPr>
                <w:sz w:val="14"/>
                <w:szCs w:val="14"/>
                <w:color w:val="auto"/>
              </w:rPr>
            </w:pPr>
          </w:p>
        </w:tc>
        <w:tc>
          <w:tcPr>
            <w:tcW w:w="43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2"/>
          </w:tcPr>
          <w:p>
            <w:pPr>
              <w:ind w:left="40"/>
              <w:spacing w:after="0" w:line="172" w:lineRule="exact"/>
              <w:rPr>
                <w:sz w:val="20"/>
                <w:szCs w:val="20"/>
                <w:color w:val="auto"/>
              </w:rPr>
            </w:pPr>
            <w:r>
              <w:rPr>
                <w:rFonts w:ascii="Arial" w:cs="Arial" w:eastAsia="Arial" w:hAnsi="Arial"/>
                <w:sz w:val="16"/>
                <w:szCs w:val="16"/>
                <w:b w:val="1"/>
                <w:bCs w:val="1"/>
                <w:color w:val="auto"/>
              </w:rPr>
              <w:t>Carrying Amount</w:t>
            </w:r>
          </w:p>
        </w:tc>
        <w:tc>
          <w:tcPr>
            <w:tcW w:w="28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371"/>
              <w:spacing w:after="0" w:line="172" w:lineRule="exact"/>
              <w:rPr>
                <w:sz w:val="20"/>
                <w:szCs w:val="20"/>
                <w:color w:val="auto"/>
              </w:rPr>
            </w:pPr>
            <w:r>
              <w:rPr>
                <w:rFonts w:ascii="Arial" w:cs="Arial" w:eastAsia="Arial" w:hAnsi="Arial"/>
                <w:sz w:val="16"/>
                <w:szCs w:val="16"/>
                <w:b w:val="1"/>
                <w:bCs w:val="1"/>
                <w:color w:val="auto"/>
              </w:rPr>
              <w:t>Fair Value</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2"/>
          </w:tcPr>
          <w:p>
            <w:pPr>
              <w:ind w:left="40"/>
              <w:spacing w:after="0" w:line="172" w:lineRule="exact"/>
              <w:rPr>
                <w:sz w:val="20"/>
                <w:szCs w:val="20"/>
                <w:color w:val="auto"/>
              </w:rPr>
            </w:pPr>
            <w:r>
              <w:rPr>
                <w:rFonts w:ascii="Arial" w:cs="Arial" w:eastAsia="Arial" w:hAnsi="Arial"/>
                <w:sz w:val="16"/>
                <w:szCs w:val="16"/>
                <w:b w:val="1"/>
                <w:bCs w:val="1"/>
                <w:color w:val="auto"/>
              </w:rPr>
              <w:t>Carrying Amount</w:t>
            </w:r>
          </w:p>
        </w:tc>
        <w:tc>
          <w:tcPr>
            <w:tcW w:w="28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371"/>
              <w:spacing w:after="0" w:line="172" w:lineRule="exact"/>
              <w:rPr>
                <w:sz w:val="20"/>
                <w:szCs w:val="20"/>
                <w:color w:val="auto"/>
              </w:rPr>
            </w:pPr>
            <w:r>
              <w:rPr>
                <w:rFonts w:ascii="Arial" w:cs="Arial" w:eastAsia="Arial" w:hAnsi="Arial"/>
                <w:sz w:val="16"/>
                <w:szCs w:val="16"/>
                <w:b w:val="1"/>
                <w:bCs w:val="1"/>
                <w:color w:val="auto"/>
              </w:rPr>
              <w:t>Fair Value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Financial assets:</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 xml:space="preserve">Investments in leases - financing receivables </w:t>
            </w:r>
            <w:r>
              <w:rPr>
                <w:rFonts w:ascii="Arial" w:cs="Arial" w:eastAsia="Arial" w:hAnsi="Arial"/>
                <w:sz w:val="23"/>
                <w:szCs w:val="23"/>
                <w:i w:val="1"/>
                <w:iCs w:val="1"/>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2,644,824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3,104,337</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2,618,562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2,684,955</w:t>
            </w: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Investments in loans </w:t>
            </w:r>
            <w:r>
              <w:rPr>
                <w:rFonts w:ascii="Arial" w:cs="Arial" w:eastAsia="Arial" w:hAnsi="Arial"/>
                <w:sz w:val="23"/>
                <w:szCs w:val="23"/>
                <w:i w:val="1"/>
                <w:iCs w:val="1"/>
                <w:color w:val="auto"/>
                <w:vertAlign w:val="superscript"/>
              </w:rPr>
              <w:t>(2)</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498,614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536,721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538,151</w:t>
            </w:r>
          </w:p>
        </w:tc>
      </w:tr>
      <w:tr>
        <w:trPr>
          <w:trHeight w:val="229"/>
        </w:trPr>
        <w:tc>
          <w:tcPr>
            <w:tcW w:w="20" w:type="dxa"/>
            <w:vAlign w:val="bottom"/>
          </w:tcPr>
          <w:p>
            <w:pPr>
              <w:spacing w:after="0"/>
              <w:rPr>
                <w:sz w:val="19"/>
                <w:szCs w:val="19"/>
                <w:color w:val="auto"/>
              </w:rPr>
            </w:pPr>
          </w:p>
        </w:tc>
        <w:tc>
          <w:tcPr>
            <w:tcW w:w="4380" w:type="dxa"/>
            <w:vAlign w:val="bottom"/>
            <w:gridSpan w:val="2"/>
          </w:tcPr>
          <w:p>
            <w:pPr>
              <w:ind w:left="20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739,614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739,614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315,993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315,993</w:t>
            </w: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Financial liabilities: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ind w:left="200"/>
              <w:spacing w:after="0" w:line="230" w:lineRule="exact"/>
              <w:rPr>
                <w:sz w:val="20"/>
                <w:szCs w:val="20"/>
                <w:color w:val="auto"/>
              </w:rPr>
            </w:pPr>
            <w:r>
              <w:rPr>
                <w:rFonts w:ascii="Arial" w:cs="Arial" w:eastAsia="Arial" w:hAnsi="Arial"/>
                <w:sz w:val="18"/>
                <w:szCs w:val="18"/>
                <w:color w:val="auto"/>
              </w:rPr>
              <w:t xml:space="preserve">Debt </w:t>
            </w:r>
            <w:r>
              <w:rPr>
                <w:rFonts w:ascii="Arial" w:cs="Arial" w:eastAsia="Arial" w:hAnsi="Arial"/>
                <w:sz w:val="23"/>
                <w:szCs w:val="23"/>
                <w:i w:val="1"/>
                <w:iCs w:val="1"/>
                <w:color w:val="auto"/>
                <w:vertAlign w:val="superscript"/>
              </w:rPr>
              <w:t>(3)</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Secured Revolving Credit Facility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4380" w:type="dxa"/>
            <w:vAlign w:val="bottom"/>
            <w:gridSpan w:val="2"/>
          </w:tcPr>
          <w:p>
            <w:pPr>
              <w:ind w:left="340"/>
              <w:spacing w:after="0"/>
              <w:rPr>
                <w:sz w:val="20"/>
                <w:szCs w:val="20"/>
                <w:color w:val="auto"/>
              </w:rPr>
            </w:pPr>
            <w:r>
              <w:rPr>
                <w:rFonts w:ascii="Arial" w:cs="Arial" w:eastAsia="Arial" w:hAnsi="Arial"/>
                <w:sz w:val="18"/>
                <w:szCs w:val="18"/>
                <w:color w:val="auto"/>
              </w:rPr>
              <w:t>Term Loan B Facility</w:t>
            </w:r>
          </w:p>
        </w:tc>
        <w:tc>
          <w:tcPr>
            <w:tcW w:w="16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2,080,974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2,065,875</w:t>
            </w: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2025 Notes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742,677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763,125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740,333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766,875</w:t>
            </w:r>
          </w:p>
        </w:tc>
      </w:tr>
      <w:tr>
        <w:trPr>
          <w:trHeight w:val="230"/>
        </w:trPr>
        <w:tc>
          <w:tcPr>
            <w:tcW w:w="20" w:type="dxa"/>
            <w:vAlign w:val="bottom"/>
          </w:tcPr>
          <w:p>
            <w:pPr>
              <w:spacing w:after="0"/>
              <w:rPr>
                <w:sz w:val="19"/>
                <w:szCs w:val="19"/>
                <w:color w:val="auto"/>
              </w:rPr>
            </w:pPr>
          </w:p>
        </w:tc>
        <w:tc>
          <w:tcPr>
            <w:tcW w:w="4380" w:type="dxa"/>
            <w:vAlign w:val="bottom"/>
            <w:gridSpan w:val="2"/>
          </w:tcPr>
          <w:p>
            <w:pPr>
              <w:ind w:left="340"/>
              <w:spacing w:after="0"/>
              <w:rPr>
                <w:sz w:val="20"/>
                <w:szCs w:val="20"/>
                <w:color w:val="auto"/>
              </w:rPr>
            </w:pPr>
            <w:r>
              <w:rPr>
                <w:rFonts w:ascii="Arial" w:cs="Arial" w:eastAsia="Arial" w:hAnsi="Arial"/>
                <w:sz w:val="18"/>
                <w:szCs w:val="18"/>
                <w:color w:val="auto"/>
              </w:rPr>
              <w:t>2026 Notes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1,235,972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1,296,875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1,233,119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1,296,875</w:t>
            </w: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2027 Notes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741,409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772,500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739,733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763,125</w:t>
            </w:r>
          </w:p>
        </w:tc>
      </w:tr>
      <w:tr>
        <w:trPr>
          <w:trHeight w:val="230"/>
        </w:trPr>
        <w:tc>
          <w:tcPr>
            <w:tcW w:w="20" w:type="dxa"/>
            <w:vAlign w:val="bottom"/>
          </w:tcPr>
          <w:p>
            <w:pPr>
              <w:spacing w:after="0"/>
              <w:rPr>
                <w:sz w:val="19"/>
                <w:szCs w:val="19"/>
                <w:color w:val="auto"/>
              </w:rPr>
            </w:pPr>
          </w:p>
        </w:tc>
        <w:tc>
          <w:tcPr>
            <w:tcW w:w="4380" w:type="dxa"/>
            <w:vAlign w:val="bottom"/>
            <w:gridSpan w:val="2"/>
          </w:tcPr>
          <w:p>
            <w:pPr>
              <w:ind w:left="340"/>
              <w:spacing w:after="0"/>
              <w:rPr>
                <w:sz w:val="20"/>
                <w:szCs w:val="20"/>
                <w:color w:val="auto"/>
              </w:rPr>
            </w:pPr>
            <w:r>
              <w:rPr>
                <w:rFonts w:ascii="Arial" w:cs="Arial" w:eastAsia="Arial" w:hAnsi="Arial"/>
                <w:sz w:val="18"/>
                <w:szCs w:val="18"/>
                <w:color w:val="auto"/>
              </w:rPr>
              <w:t>2029 Notes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987,331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1,067,500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985,730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1,070,000</w:t>
            </w: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2030 Notes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987,134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985,643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1,045,000</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3" w:lineRule="exact"/>
        <w:rPr>
          <w:sz w:val="20"/>
          <w:szCs w:val="20"/>
          <w:color w:val="auto"/>
        </w:rPr>
      </w:pPr>
    </w:p>
    <w:p>
      <w:pPr>
        <w:ind w:left="340" w:right="20" w:hanging="332"/>
        <w:spacing w:after="0" w:line="241" w:lineRule="auto"/>
        <w:tabs>
          <w:tab w:leader="none" w:pos="332" w:val="left"/>
        </w:tabs>
        <w:numPr>
          <w:ilvl w:val="0"/>
          <w:numId w:val="97"/>
        </w:numPr>
        <w:rPr>
          <w:rFonts w:ascii="Arial" w:cs="Arial" w:eastAsia="Arial" w:hAnsi="Arial"/>
          <w:sz w:val="14"/>
          <w:szCs w:val="14"/>
          <w:i w:val="1"/>
          <w:iCs w:val="1"/>
          <w:color w:val="auto"/>
        </w:rPr>
      </w:pPr>
      <w:r>
        <w:rPr>
          <w:rFonts w:ascii="Arial" w:cs="Arial" w:eastAsia="Arial" w:hAnsi="Arial"/>
          <w:sz w:val="14"/>
          <w:szCs w:val="14"/>
          <w:i w:val="1"/>
          <w:iCs w:val="1"/>
          <w:color w:val="auto"/>
        </w:rPr>
        <w:t>These investments represent the JACK Cleveland/Thistledown Lease Agreement and the Harrah’s Original Call Properties. The fair value of these assets are based on significant “unobservable” market inputs and, as such, these fair value measurements are considered Level 3 of the fair value hierarchy.</w:t>
      </w:r>
    </w:p>
    <w:p>
      <w:pPr>
        <w:ind w:left="340" w:hanging="332"/>
        <w:spacing w:after="0" w:line="241" w:lineRule="auto"/>
        <w:tabs>
          <w:tab w:leader="none" w:pos="332" w:val="left"/>
        </w:tabs>
        <w:numPr>
          <w:ilvl w:val="0"/>
          <w:numId w:val="97"/>
        </w:numPr>
        <w:rPr>
          <w:rFonts w:ascii="Arial" w:cs="Arial" w:eastAsia="Arial" w:hAnsi="Arial"/>
          <w:sz w:val="14"/>
          <w:szCs w:val="14"/>
          <w:i w:val="1"/>
          <w:iCs w:val="1"/>
          <w:color w:val="auto"/>
        </w:rPr>
      </w:pPr>
      <w:r>
        <w:rPr>
          <w:rFonts w:ascii="Arial" w:cs="Arial" w:eastAsia="Arial" w:hAnsi="Arial"/>
          <w:sz w:val="14"/>
          <w:szCs w:val="14"/>
          <w:i w:val="1"/>
          <w:iCs w:val="1"/>
          <w:color w:val="auto"/>
        </w:rPr>
        <w:t>These investments represent the (i) Caesars Forum Convention Center Mortgage Loan, (ii) Chelsea Piers Mortgage Loan, (iii) Amended and Restated ROV Loan (which was terminated on October 4, 2021) and (iv) Great Wolf Mezzanine Loan. We believe the current principal balance of the investments approximates their fair value.</w:t>
      </w:r>
    </w:p>
    <w:p>
      <w:pPr>
        <w:ind w:left="340" w:hanging="332"/>
        <w:spacing w:after="0" w:line="255" w:lineRule="auto"/>
        <w:tabs>
          <w:tab w:leader="none" w:pos="332" w:val="left"/>
        </w:tabs>
        <w:numPr>
          <w:ilvl w:val="0"/>
          <w:numId w:val="97"/>
        </w:numPr>
        <w:rPr>
          <w:rFonts w:ascii="Arial" w:cs="Arial" w:eastAsia="Arial" w:hAnsi="Arial"/>
          <w:sz w:val="14"/>
          <w:szCs w:val="14"/>
          <w:i w:val="1"/>
          <w:iCs w:val="1"/>
          <w:color w:val="auto"/>
        </w:rPr>
      </w:pPr>
      <w:r>
        <w:rPr>
          <w:rFonts w:ascii="Arial" w:cs="Arial" w:eastAsia="Arial" w:hAnsi="Arial"/>
          <w:sz w:val="14"/>
          <w:szCs w:val="14"/>
          <w:i w:val="1"/>
          <w:iCs w:val="1"/>
          <w:color w:val="auto"/>
        </w:rPr>
        <w:t>The fair value of our debt instruments was estimated using quoted prices for identical or similar liabilities in markets that are not active and, as such, these fair value measurements are considered Level 2 of the fair value hierarchy.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Upon Lease Modification in Connection with the Eldorado Transaction</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July 20, 2020, in connection with the Eldorado Transaction and as required under ASC 842, we reassessed the lease classifications of the Las Vegas Master Lease Agreement, Regional Master Lease Agreement and Joliet Lease Agreement and determined the leases meet the definition of a sales-type lease, including the land component of Caesars Palace Las Vegas. As a result of the reclassifications of the Caesars Lease Agreements from direct financing and operating leases to sales-type leases, we recorded the investments at their estimated fair values as of the modification date and recognized a net gain equal to the difference in fair value of the asset and its carrying value immediately prior to the modification.</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valued the real estate portfolio using a rent multiple taking into consideration a variety of factors, including (i) asset quality and location, (ii) property and lease-level operating performance and (iii) supply and demand dynamics of each property’s respective market. With respect to certain assets which were subject to signed sale agreements as of the date of reassessment, and were subject to removal from the Regional Master Lease Agreement upon consummation of such transactions, which includes Harrah’s Reno, Bally’s Atlantic City and Louisiana Downs, these assets were recorded at fair value using the contract price less costs to sell.</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re-measurement of the Caesars Lease Agreements to fair value, we recognized a $333.4 million gain upon lease modification in our Statement of Operations during the year ended December 31, 2020.</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9" w:name="page130"/>
    <w:bookmarkEnd w:id="1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our assets measured at fair value on a non-recurring basis in relation to the gain upon modification of the Caesars Lease Agreements on July 20, 2020 the date of modification: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w w:val="93"/>
              </w:rPr>
              <w:t>July 20, 2020</w:t>
            </w:r>
          </w:p>
        </w:tc>
        <w:tc>
          <w:tcPr>
            <w:tcW w:w="1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gridSpan w:val="2"/>
          </w:tcPr>
          <w:p>
            <w:pPr>
              <w:jc w:val="center"/>
              <w:ind w:right="520"/>
              <w:spacing w:after="0" w:line="172" w:lineRule="exact"/>
              <w:rPr>
                <w:sz w:val="20"/>
                <w:szCs w:val="20"/>
                <w:color w:val="auto"/>
              </w:rPr>
            </w:pPr>
            <w:r>
              <w:rPr>
                <w:rFonts w:ascii="Arial" w:cs="Arial" w:eastAsia="Arial" w:hAnsi="Arial"/>
                <w:sz w:val="16"/>
                <w:szCs w:val="16"/>
                <w:b w:val="1"/>
                <w:bCs w:val="1"/>
                <w:color w:val="auto"/>
                <w:w w:val="94"/>
              </w:rPr>
              <w:t>Fair Value</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ind w:left="40"/>
              <w:spacing w:after="0"/>
              <w:rPr>
                <w:sz w:val="20"/>
                <w:szCs w:val="20"/>
                <w:color w:val="auto"/>
              </w:rPr>
            </w:pPr>
            <w:r>
              <w:rPr>
                <w:rFonts w:ascii="Arial" w:cs="Arial" w:eastAsia="Arial" w:hAnsi="Arial"/>
                <w:sz w:val="16"/>
                <w:szCs w:val="16"/>
                <w:b w:val="1"/>
                <w:bCs w:val="1"/>
                <w:color w:val="auto"/>
              </w:rPr>
              <w:t>Carrying Amount</w:t>
            </w:r>
          </w:p>
        </w:tc>
        <w:tc>
          <w:tcPr>
            <w:tcW w:w="320" w:type="dxa"/>
            <w:vAlign w:val="bottom"/>
          </w:tcPr>
          <w:p>
            <w:pPr>
              <w:spacing w:after="0"/>
              <w:rPr>
                <w:sz w:val="19"/>
                <w:szCs w:val="19"/>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1</w:t>
            </w:r>
          </w:p>
        </w:tc>
        <w:tc>
          <w:tcPr>
            <w:tcW w:w="400" w:type="dxa"/>
            <w:vAlign w:val="bottom"/>
          </w:tcPr>
          <w:p>
            <w:pPr>
              <w:spacing w:after="0"/>
              <w:rPr>
                <w:sz w:val="19"/>
                <w:szCs w:val="19"/>
                <w:color w:val="auto"/>
              </w:rPr>
            </w:pPr>
          </w:p>
        </w:tc>
        <w:tc>
          <w:tcPr>
            <w:tcW w:w="13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1"/>
              </w:rPr>
              <w:t>Level 2</w:t>
            </w:r>
          </w:p>
        </w:tc>
        <w:tc>
          <w:tcPr>
            <w:tcW w:w="320" w:type="dxa"/>
            <w:vAlign w:val="bottom"/>
          </w:tcPr>
          <w:p>
            <w:pPr>
              <w:spacing w:after="0"/>
              <w:rPr>
                <w:sz w:val="19"/>
                <w:szCs w:val="19"/>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44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Financial assets:</w:t>
            </w: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40" w:type="dxa"/>
            <w:vAlign w:val="bottom"/>
            <w:gridSpan w:val="2"/>
          </w:tcPr>
          <w:p>
            <w:pPr>
              <w:ind w:left="200"/>
              <w:spacing w:after="0" w:line="176" w:lineRule="exact"/>
              <w:rPr>
                <w:sz w:val="20"/>
                <w:szCs w:val="20"/>
                <w:color w:val="auto"/>
              </w:rPr>
            </w:pPr>
            <w:r>
              <w:rPr>
                <w:rFonts w:ascii="Arial" w:cs="Arial" w:eastAsia="Arial" w:hAnsi="Arial"/>
                <w:sz w:val="18"/>
                <w:szCs w:val="18"/>
                <w:color w:val="auto"/>
              </w:rPr>
              <w:t>Investments in sales-type leases - Caesars Lease</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10,228,465</w:t>
            </w:r>
          </w:p>
        </w:tc>
        <w:tc>
          <w:tcPr>
            <w:tcW w:w="140" w:type="dxa"/>
            <w:vAlign w:val="bottom"/>
          </w:tcPr>
          <w:p>
            <w:pPr>
              <w:spacing w:after="0"/>
              <w:rPr>
                <w:sz w:val="15"/>
                <w:szCs w:val="15"/>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gridSpan w:val="2"/>
            <w:vMerge w:val="restart"/>
          </w:tcPr>
          <w:p>
            <w:pPr>
              <w:ind w:left="1000"/>
              <w:spacing w:after="0"/>
              <w:rPr>
                <w:sz w:val="20"/>
                <w:szCs w:val="20"/>
                <w:color w:val="auto"/>
              </w:rPr>
            </w:pPr>
            <w:r>
              <w:rPr>
                <w:rFonts w:ascii="Arial" w:cs="Arial" w:eastAsia="Arial" w:hAnsi="Arial"/>
                <w:sz w:val="18"/>
                <w:szCs w:val="18"/>
                <w:color w:val="auto"/>
              </w:rPr>
              <w:t>—</w:t>
            </w: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10,228,465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40" w:type="dxa"/>
            <w:vAlign w:val="bottom"/>
            <w:gridSpan w:val="2"/>
          </w:tcPr>
          <w:p>
            <w:pPr>
              <w:ind w:left="280"/>
              <w:spacing w:after="0" w:line="230" w:lineRule="exact"/>
              <w:rPr>
                <w:sz w:val="20"/>
                <w:szCs w:val="20"/>
                <w:color w:val="auto"/>
              </w:rPr>
            </w:pPr>
            <w:r>
              <w:rPr>
                <w:rFonts w:ascii="Arial" w:cs="Arial" w:eastAsia="Arial" w:hAnsi="Arial"/>
                <w:sz w:val="18"/>
                <w:szCs w:val="18"/>
                <w:color w:val="auto"/>
              </w:rPr>
              <w:t xml:space="preserve">Agreements </w:t>
            </w:r>
            <w:r>
              <w:rPr>
                <w:rFonts w:ascii="Arial" w:cs="Arial" w:eastAsia="Arial" w:hAnsi="Arial"/>
                <w:sz w:val="23"/>
                <w:szCs w:val="23"/>
                <w:i w:val="1"/>
                <w:iCs w:val="1"/>
                <w:color w:val="auto"/>
                <w:vertAlign w:val="superscript"/>
              </w:rPr>
              <w:t>(1)</w:t>
            </w:r>
          </w:p>
        </w:tc>
        <w:tc>
          <w:tcPr>
            <w:tcW w:w="160" w:type="dxa"/>
            <w:vAlign w:val="bottom"/>
            <w:vMerge w:val="continue"/>
          </w:tcPr>
          <w:p>
            <w:pPr>
              <w:spacing w:after="0"/>
              <w:rPr>
                <w:sz w:val="19"/>
                <w:szCs w:val="19"/>
                <w:color w:val="auto"/>
              </w:rPr>
            </w:pPr>
          </w:p>
        </w:tc>
        <w:tc>
          <w:tcPr>
            <w:tcW w:w="14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44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8"/>
                <w:szCs w:val="18"/>
                <w:color w:val="auto"/>
                <w:w w:val="92"/>
              </w:rPr>
              <w:t>Investments in sales-type leases - assets subject to sales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55,325</w:t>
            </w:r>
          </w:p>
        </w:tc>
        <w:tc>
          <w:tcPr>
            <w:tcW w:w="14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gridSpan w:val="2"/>
            <w:vMerge w:val="restart"/>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55,325</w:t>
            </w:r>
          </w:p>
        </w:tc>
        <w:tc>
          <w:tcPr>
            <w:tcW w:w="14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40" w:type="dxa"/>
            <w:vAlign w:val="bottom"/>
            <w:gridSpan w:val="2"/>
            <w:shd w:val="clear" w:color="auto" w:fill="CCEEFF"/>
          </w:tcPr>
          <w:p>
            <w:pPr>
              <w:ind w:left="280"/>
              <w:spacing w:after="0" w:line="230" w:lineRule="exact"/>
              <w:rPr>
                <w:sz w:val="20"/>
                <w:szCs w:val="20"/>
                <w:color w:val="auto"/>
              </w:rPr>
            </w:pPr>
            <w:r>
              <w:rPr>
                <w:rFonts w:ascii="Arial" w:cs="Arial" w:eastAsia="Arial" w:hAnsi="Arial"/>
                <w:sz w:val="18"/>
                <w:szCs w:val="18"/>
                <w:color w:val="auto"/>
              </w:rPr>
              <w:t xml:space="preserve">agreements </w:t>
            </w:r>
            <w:r>
              <w:rPr>
                <w:rFonts w:ascii="Arial" w:cs="Arial" w:eastAsia="Arial" w:hAnsi="Arial"/>
                <w:sz w:val="23"/>
                <w:szCs w:val="23"/>
                <w:i w:val="1"/>
                <w:iCs w:val="1"/>
                <w:color w:val="auto"/>
                <w:vertAlign w:val="superscript"/>
              </w:rPr>
              <w:t>(2)</w:t>
            </w:r>
          </w:p>
        </w:tc>
        <w:tc>
          <w:tcPr>
            <w:tcW w:w="160" w:type="dxa"/>
            <w:vAlign w:val="bottom"/>
            <w:vMerge w:val="continue"/>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ind w:left="340" w:right="20" w:hanging="332"/>
        <w:spacing w:after="0" w:line="241" w:lineRule="auto"/>
        <w:tabs>
          <w:tab w:leader="none" w:pos="233" w:val="left"/>
        </w:tabs>
        <w:numPr>
          <w:ilvl w:val="0"/>
          <w:numId w:val="98"/>
        </w:numPr>
        <w:rPr>
          <w:rFonts w:ascii="Arial" w:cs="Arial" w:eastAsia="Arial" w:hAnsi="Arial"/>
          <w:sz w:val="14"/>
          <w:szCs w:val="14"/>
          <w:i w:val="1"/>
          <w:iCs w:val="1"/>
          <w:color w:val="auto"/>
        </w:rPr>
      </w:pPr>
      <w:r>
        <w:rPr>
          <w:rFonts w:ascii="Arial" w:cs="Arial" w:eastAsia="Arial" w:hAnsi="Arial"/>
          <w:sz w:val="14"/>
          <w:szCs w:val="14"/>
          <w:i w:val="1"/>
          <w:iCs w:val="1"/>
          <w:color w:val="auto"/>
        </w:rPr>
        <w:t>The fair value measurement of the Caesars Lease Agreements excludes the Harrah’s Original Call Properties Acquisitions, HLV Additional Rent Acquisition and CPLV Additional Rent Acquisition as these transactions occurred in connection with the Eldorado Transaction and the investments are measured at historical cost.</w:t>
      </w:r>
    </w:p>
    <w:p>
      <w:pPr>
        <w:ind w:left="340" w:hanging="332"/>
        <w:spacing w:after="0" w:line="255" w:lineRule="auto"/>
        <w:tabs>
          <w:tab w:leader="none" w:pos="220" w:val="left"/>
        </w:tabs>
        <w:numPr>
          <w:ilvl w:val="0"/>
          <w:numId w:val="98"/>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Harrah’s Reno, Bally’s Atlantic City and Louisiana Downs assets, which were subject to sales agreements at the date of the modification. The fair value of these investments is based on the contract price and represents a Level 2 measurement as defined in ASC 820.</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significant unobservable inputs used in non-recurring Level 3 fair value measurements: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6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80" w:type="dxa"/>
            <w:vAlign w:val="bottom"/>
            <w:gridSpan w:val="3"/>
          </w:tcPr>
          <w:p>
            <w:pPr>
              <w:ind w:left="1060"/>
              <w:spacing w:after="0"/>
              <w:rPr>
                <w:sz w:val="20"/>
                <w:szCs w:val="20"/>
                <w:color w:val="auto"/>
              </w:rPr>
            </w:pPr>
            <w:r>
              <w:rPr>
                <w:rFonts w:ascii="Arial" w:cs="Arial" w:eastAsia="Arial" w:hAnsi="Arial"/>
                <w:sz w:val="16"/>
                <w:szCs w:val="16"/>
                <w:b w:val="1"/>
                <w:bCs w:val="1"/>
                <w:color w:val="auto"/>
              </w:rPr>
              <w:t>Significant Assumptions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760" w:type="dxa"/>
            <w:vAlign w:val="bottom"/>
            <w:gridSpan w:val="2"/>
            <w:vMerge w:val="restart"/>
          </w:tcPr>
          <w:p>
            <w:pPr>
              <w:jc w:val="center"/>
              <w:ind w:right="1000"/>
              <w:spacing w:after="0"/>
              <w:rPr>
                <w:sz w:val="20"/>
                <w:szCs w:val="20"/>
                <w:color w:val="auto"/>
              </w:rPr>
            </w:pPr>
            <w:r>
              <w:rPr>
                <w:rFonts w:ascii="Arial" w:cs="Arial" w:eastAsia="Arial" w:hAnsi="Arial"/>
                <w:sz w:val="18"/>
                <w:szCs w:val="18"/>
                <w:b w:val="1"/>
                <w:bCs w:val="1"/>
                <w:color w:val="auto"/>
                <w:w w:val="87"/>
              </w:rPr>
              <w:t>Asset Type</w:t>
            </w:r>
          </w:p>
        </w:tc>
        <w:tc>
          <w:tcPr>
            <w:tcW w:w="260" w:type="dxa"/>
            <w:vAlign w:val="bottom"/>
          </w:tcPr>
          <w:p>
            <w:pPr>
              <w:spacing w:after="0" w:line="20" w:lineRule="exact"/>
              <w:rPr>
                <w:sz w:val="1"/>
                <w:szCs w:val="1"/>
                <w:color w:val="auto"/>
              </w:rPr>
            </w:pPr>
          </w:p>
        </w:tc>
        <w:tc>
          <w:tcPr>
            <w:tcW w:w="164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23"/>
                <w:szCs w:val="23"/>
                <w:b w:val="1"/>
                <w:bCs w:val="1"/>
                <w:i w:val="1"/>
                <w:iCs w:val="1"/>
                <w:color w:val="auto"/>
                <w:vertAlign w:val="superscript"/>
              </w:rPr>
              <w:t>(1)</w:t>
            </w:r>
          </w:p>
        </w:tc>
        <w:tc>
          <w:tcPr>
            <w:tcW w:w="190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89"/>
              </w:rPr>
              <w:t>Valuation Technique</w:t>
            </w: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7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Range</w:t>
            </w:r>
          </w:p>
        </w:tc>
        <w:tc>
          <w:tcPr>
            <w:tcW w:w="1680" w:type="dxa"/>
            <w:vAlign w:val="bottom"/>
          </w:tcPr>
          <w:p>
            <w:pPr>
              <w:jc w:val="center"/>
              <w:spacing w:after="0" w:line="223" w:lineRule="exact"/>
              <w:rPr>
                <w:sz w:val="20"/>
                <w:szCs w:val="20"/>
                <w:color w:val="auto"/>
              </w:rPr>
            </w:pPr>
            <w:r>
              <w:rPr>
                <w:rFonts w:ascii="Arial" w:cs="Arial" w:eastAsia="Arial" w:hAnsi="Arial"/>
                <w:sz w:val="18"/>
                <w:szCs w:val="18"/>
                <w:b w:val="1"/>
                <w:bCs w:val="1"/>
                <w:color w:val="auto"/>
                <w:w w:val="87"/>
              </w:rPr>
              <w:t>Weighted Average</w:t>
            </w:r>
            <w:r>
              <w:rPr>
                <w:rFonts w:ascii="Arial" w:cs="Arial" w:eastAsia="Arial" w:hAnsi="Arial"/>
                <w:sz w:val="23"/>
                <w:szCs w:val="23"/>
                <w:b w:val="1"/>
                <w:bCs w:val="1"/>
                <w:i w:val="1"/>
                <w:iCs w:val="1"/>
                <w:color w:val="auto"/>
                <w:w w:val="87"/>
                <w:vertAlign w:val="superscript"/>
              </w:rPr>
              <w:t>(2)</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354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Investment in sales-type lease - Casinos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10,228,465</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Rent Multiple</w:t>
            </w:r>
          </w:p>
        </w:tc>
        <w:tc>
          <w:tcPr>
            <w:tcW w:w="10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9.75x - 15.50x</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13.0x</w:t>
            </w:r>
          </w:p>
        </w:tc>
        <w:tc>
          <w:tcPr>
            <w:tcW w:w="0" w:type="dxa"/>
            <w:vAlign w:val="bottom"/>
          </w:tcPr>
          <w:p>
            <w:pPr>
              <w:spacing w:after="0"/>
              <w:rPr>
                <w:sz w:val="1"/>
                <w:szCs w:val="1"/>
                <w:color w:val="auto"/>
              </w:rPr>
            </w:pPr>
          </w:p>
        </w:tc>
      </w:tr>
      <w:tr>
        <w:trPr>
          <w:trHeight w:val="290"/>
        </w:trPr>
        <w:tc>
          <w:tcPr>
            <w:tcW w:w="3560" w:type="dxa"/>
            <w:vAlign w:val="bottom"/>
            <w:gridSpan w:val="3"/>
          </w:tcPr>
          <w:p>
            <w:pPr>
              <w:spacing w:after="0"/>
              <w:rPr>
                <w:sz w:val="20"/>
                <w:szCs w:val="20"/>
                <w:color w:val="auto"/>
              </w:rPr>
            </w:pPr>
            <w:r>
              <w:rPr>
                <w:rFonts w:ascii="Arial" w:cs="Arial" w:eastAsia="Arial" w:hAnsi="Arial"/>
                <w:sz w:val="18"/>
                <w:szCs w:val="18"/>
                <w:color w:val="auto"/>
              </w:rPr>
              <w:t>____________________</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0" w:right="20" w:hanging="332"/>
        <w:spacing w:after="0" w:line="241" w:lineRule="auto"/>
        <w:tabs>
          <w:tab w:leader="none" w:pos="233" w:val="left"/>
        </w:tabs>
        <w:numPr>
          <w:ilvl w:val="0"/>
          <w:numId w:val="99"/>
        </w:numPr>
        <w:rPr>
          <w:rFonts w:ascii="Arial" w:cs="Arial" w:eastAsia="Arial" w:hAnsi="Arial"/>
          <w:sz w:val="14"/>
          <w:szCs w:val="14"/>
          <w:i w:val="1"/>
          <w:iCs w:val="1"/>
          <w:color w:val="auto"/>
        </w:rPr>
      </w:pPr>
      <w:r>
        <w:rPr>
          <w:rFonts w:ascii="Arial" w:cs="Arial" w:eastAsia="Arial" w:hAnsi="Arial"/>
          <w:sz w:val="14"/>
          <w:szCs w:val="14"/>
          <w:i w:val="1"/>
          <w:iCs w:val="1"/>
          <w:color w:val="auto"/>
        </w:rPr>
        <w:t>The fair value measurement of the Caesars Lease Agreements excludes the Harrah’s Original Call Properties Acquisitions, HLV Additional Rent Acquisition and CPLV Additional Rent Acquisition as these transactions occurred in connection with the Eldorado Transaction and the investments are measured at historical cost.</w:t>
      </w:r>
    </w:p>
    <w:p>
      <w:pPr>
        <w:ind w:left="220" w:hanging="212"/>
        <w:spacing w:after="0"/>
        <w:tabs>
          <w:tab w:leader="none" w:pos="220" w:val="left"/>
        </w:tabs>
        <w:numPr>
          <w:ilvl w:val="0"/>
          <w:numId w:val="99"/>
        </w:numPr>
        <w:rPr>
          <w:rFonts w:ascii="Arial" w:cs="Arial" w:eastAsia="Arial" w:hAnsi="Arial"/>
          <w:sz w:val="14"/>
          <w:szCs w:val="14"/>
          <w:i w:val="1"/>
          <w:iCs w:val="1"/>
          <w:color w:val="auto"/>
        </w:rPr>
      </w:pPr>
      <w:r>
        <w:rPr>
          <w:rFonts w:ascii="Arial" w:cs="Arial" w:eastAsia="Arial" w:hAnsi="Arial"/>
          <w:sz w:val="14"/>
          <w:szCs w:val="14"/>
          <w:i w:val="1"/>
          <w:iCs w:val="1"/>
          <w:color w:val="auto"/>
        </w:rPr>
        <w:t>Weighted by relative fair value.</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 Commitments and Contingent Liabilities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ordinary course of business, from time to time, we may be subject to legal claims and administrative proceedings. As of December 31, 2021, we are not subject to any litigation that we believe could have, individually or in the aggregate, a material adverse effect on our business, financial condition or results of operations, liquidity or cash flows.</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connection with the Mergers, three lawsuits were filed by purported MGP shareholders and six lawsuits were filed by purported VICI stockholders challenging the disclosures made, as applicable, in the Registration Statement on Form S-4 filed on September 8, 2021 and the Prospectus filed on September 23, 2021. The plaintiffs in each action sought, among other things, to enjoin the Mergers and the transactions contemplated by the MGP Master Transaction Agreement and an award of costs and attorneys’ fees. Each of the lawsuits has been dismissed pursuant to applicable litigation procedure, although additional lawsuits arising out of the MGP Transactions may be filed in the future.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the lessee under various operating leases for: (i) land at the Cascata golf course, which expires in 2038 and (ii) offices in New Orleans, LA and New York, NY, which expire in 2022 and 2030, respectively. The discount rates for the leases was determined based on the yield of our current secured borrowings, adjusted to match borrowings of similar terms, and are between 5.3% and 5.5%. The weighted average remaining lease term as of December 31, 2021 under our operating leases was 14.5 years. Our Cascata ground lease has three 10-year extension options. The rent of such options would be the in-place rent at the time of renewal.</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0" w:name="page131"/>
    <w:bookmarkEnd w:id="1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rental expense, included in golf expenses and general and administrative expenses in our Statement of Operations and contractual rent expense under these agreements were as follows:</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Year Ended December 31,</w:t>
            </w: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r>
      <w:tr>
        <w:trPr>
          <w:trHeight w:val="172"/>
        </w:trPr>
        <w:tc>
          <w:tcPr>
            <w:tcW w:w="510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300" w:type="dxa"/>
            <w:vAlign w:val="bottom"/>
          </w:tcPr>
          <w:p>
            <w:pPr>
              <w:jc w:val="right"/>
              <w:ind w:right="73"/>
              <w:spacing w:after="0" w:line="172" w:lineRule="exact"/>
              <w:rPr>
                <w:sz w:val="20"/>
                <w:szCs w:val="20"/>
                <w:color w:val="auto"/>
              </w:rPr>
            </w:pPr>
            <w:r>
              <w:rPr>
                <w:rFonts w:ascii="Arial" w:cs="Arial" w:eastAsia="Arial" w:hAnsi="Arial"/>
                <w:sz w:val="16"/>
                <w:szCs w:val="16"/>
                <w:b w:val="1"/>
                <w:bCs w:val="1"/>
                <w:color w:val="auto"/>
              </w:rPr>
              <w:t>2021</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jc w:val="right"/>
              <w:ind w:right="733"/>
              <w:spacing w:after="0" w:line="172"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jc w:val="right"/>
              <w:ind w:right="733"/>
              <w:spacing w:after="0" w:line="172" w:lineRule="exact"/>
              <w:rPr>
                <w:sz w:val="20"/>
                <w:szCs w:val="20"/>
                <w:color w:val="auto"/>
              </w:rPr>
            </w:pPr>
            <w:r>
              <w:rPr>
                <w:rFonts w:ascii="Arial" w:cs="Arial" w:eastAsia="Arial" w:hAnsi="Arial"/>
                <w:sz w:val="16"/>
                <w:szCs w:val="16"/>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23"/>
        </w:trPr>
        <w:tc>
          <w:tcPr>
            <w:tcW w:w="51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Rent expense</w:t>
            </w:r>
          </w:p>
        </w:tc>
        <w:tc>
          <w:tcPr>
            <w:tcW w:w="1300" w:type="dxa"/>
            <w:vAlign w:val="bottom"/>
            <w:shd w:val="clear" w:color="auto" w:fill="CCEEFF"/>
          </w:tcPr>
          <w:p>
            <w:pPr>
              <w:jc w:val="right"/>
              <w:ind w:right="1113"/>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w:t>
            </w:r>
          </w:p>
        </w:tc>
      </w:tr>
      <w:tr>
        <w:trPr>
          <w:trHeight w:val="230"/>
        </w:trPr>
        <w:tc>
          <w:tcPr>
            <w:tcW w:w="5100" w:type="dxa"/>
            <w:vAlign w:val="bottom"/>
            <w:gridSpan w:val="3"/>
          </w:tcPr>
          <w:p>
            <w:pPr>
              <w:ind w:left="20"/>
              <w:spacing w:after="0"/>
              <w:rPr>
                <w:sz w:val="20"/>
                <w:szCs w:val="20"/>
                <w:color w:val="auto"/>
              </w:rPr>
            </w:pPr>
            <w:r>
              <w:rPr>
                <w:rFonts w:ascii="Arial" w:cs="Arial" w:eastAsia="Arial" w:hAnsi="Arial"/>
                <w:sz w:val="18"/>
                <w:szCs w:val="18"/>
                <w:color w:val="auto"/>
              </w:rPr>
              <w:t>Contractual rent</w:t>
            </w:r>
          </w:p>
        </w:tc>
        <w:tc>
          <w:tcPr>
            <w:tcW w:w="1300" w:type="dxa"/>
            <w:vAlign w:val="bottom"/>
          </w:tcPr>
          <w:p>
            <w:pPr>
              <w:jc w:val="right"/>
              <w:ind w:right="1113"/>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1,881</w:t>
            </w:r>
          </w:p>
        </w:tc>
        <w:tc>
          <w:tcPr>
            <w:tcW w:w="120" w:type="dxa"/>
            <w:vAlign w:val="bottom"/>
          </w:tcPr>
          <w:p>
            <w:pPr>
              <w:spacing w:after="0"/>
              <w:rPr>
                <w:sz w:val="20"/>
                <w:szCs w:val="20"/>
                <w:color w:val="auto"/>
              </w:rPr>
            </w:pPr>
          </w:p>
        </w:tc>
        <w:tc>
          <w:tcPr>
            <w:tcW w:w="460" w:type="dxa"/>
            <w:vAlign w:val="bottom"/>
          </w:tcPr>
          <w:p>
            <w:pPr>
              <w:jc w:val="right"/>
              <w:ind w:right="273"/>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1,600</w:t>
            </w:r>
          </w:p>
        </w:tc>
        <w:tc>
          <w:tcPr>
            <w:tcW w:w="12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1,257</w:t>
            </w:r>
          </w:p>
        </w:tc>
      </w:tr>
    </w:tbl>
    <w:p>
      <w:pPr>
        <w:spacing w:after="0" w:line="2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2021, we have a $16.8 million right of use asset and corresponding lease liability recorded in Other assets and Other liabilities, respectively, on our Balance Sheet related to our operating lease commitments for which we are the lessee.</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future minimum lease commitments relating to the base lease rent portion of noncancelable operating leases at December 31, 2021 are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7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6"/>
                <w:szCs w:val="16"/>
                <w:color w:val="auto"/>
              </w:rPr>
            </w:pPr>
          </w:p>
        </w:tc>
        <w:tc>
          <w:tcPr>
            <w:tcW w:w="2140" w:type="dxa"/>
            <w:vAlign w:val="bottom"/>
          </w:tcPr>
          <w:p>
            <w:pPr>
              <w:jc w:val="right"/>
              <w:ind w:right="431"/>
              <w:spacing w:after="0"/>
              <w:rPr>
                <w:sz w:val="20"/>
                <w:szCs w:val="20"/>
                <w:color w:val="auto"/>
              </w:rPr>
            </w:pPr>
            <w:r>
              <w:rPr>
                <w:rFonts w:ascii="Arial" w:cs="Arial" w:eastAsia="Arial" w:hAnsi="Arial"/>
                <w:sz w:val="16"/>
                <w:szCs w:val="16"/>
                <w:b w:val="1"/>
                <w:bCs w:val="1"/>
                <w:color w:val="auto"/>
              </w:rPr>
              <w:t>Lease Commitments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8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78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7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30"/>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7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0" w:type="dxa"/>
            <w:vAlign w:val="bottom"/>
          </w:tcPr>
          <w:p>
            <w:pPr>
              <w:spacing w:after="0"/>
              <w:rPr>
                <w:sz w:val="1"/>
                <w:szCs w:val="1"/>
                <w:color w:val="auto"/>
              </w:rPr>
            </w:pP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7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30"/>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7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7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minimum lease commitments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7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Discounting factor</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876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2140" w:type="dxa"/>
            <w:vAlign w:val="bottom"/>
          </w:tcPr>
          <w:p>
            <w:pPr>
              <w:jc w:val="right"/>
              <w:spacing w:after="0" w:line="203" w:lineRule="exact"/>
              <w:rPr>
                <w:sz w:val="20"/>
                <w:szCs w:val="20"/>
                <w:color w:val="auto"/>
              </w:rPr>
            </w:pPr>
            <w:r>
              <w:rPr>
                <w:rFonts w:ascii="Arial" w:cs="Arial" w:eastAsia="Arial" w:hAnsi="Arial"/>
                <w:sz w:val="18"/>
                <w:szCs w:val="18"/>
                <w:color w:val="auto"/>
              </w:rPr>
              <w:t>9,731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Lease Commitments</w:t>
      </w:r>
    </w:p>
    <w:p>
      <w:pPr>
        <w:spacing w:after="0" w:line="17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Certain of our acquisitions necessitate that we assume, as the lessee, ground and use leases, the cost of which is passed to our tenants through the Lease Agreements, which require the tenants to pay all costs associated with such ground and use leases and provide for their direct payment to the landlord.</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determined we are the primary obligor of certain of such ground and use leases and, accordingly, have presented these leases on a gross basis on our Balance Sheet and Statement of Operations. Further, we assessed the classification of the sub-lease to our tenant through the Lease Agreements, and our obligation as primary obligor of the ground and use leases and determined that they meet the definition of a sales-type lease and finance lease, respectively. The following table details the balance and location in our Balance Sheet of the ground and use leases as of December 31, 2021 and 2020, which is primarily comprised of the HNO Ground Lease: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0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6"/>
                <w:szCs w:val="16"/>
                <w:color w:val="auto"/>
              </w:rPr>
            </w:pPr>
          </w:p>
        </w:tc>
        <w:tc>
          <w:tcPr>
            <w:tcW w:w="192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 2021</w:t>
            </w:r>
          </w:p>
        </w:tc>
        <w:tc>
          <w:tcPr>
            <w:tcW w:w="240" w:type="dxa"/>
            <w:vAlign w:val="bottom"/>
          </w:tcPr>
          <w:p>
            <w:pPr>
              <w:spacing w:after="0"/>
              <w:rPr>
                <w:sz w:val="16"/>
                <w:szCs w:val="16"/>
                <w:color w:val="auto"/>
              </w:rPr>
            </w:pPr>
          </w:p>
        </w:tc>
        <w:tc>
          <w:tcPr>
            <w:tcW w:w="1820" w:type="dxa"/>
            <w:vAlign w:val="bottom"/>
          </w:tcPr>
          <w:p>
            <w:pPr>
              <w:jc w:val="right"/>
              <w:ind w:right="293"/>
              <w:spacing w:after="0"/>
              <w:rPr>
                <w:sz w:val="20"/>
                <w:szCs w:val="20"/>
                <w:color w:val="auto"/>
              </w:rPr>
            </w:pPr>
            <w:r>
              <w:rPr>
                <w:rFonts w:ascii="Arial" w:cs="Arial" w:eastAsia="Arial" w:hAnsi="Arial"/>
                <w:sz w:val="16"/>
                <w:szCs w:val="16"/>
                <w:b w:val="1"/>
                <w:bCs w:val="1"/>
                <w:color w:val="auto"/>
                <w:w w:val="98"/>
              </w:rPr>
              <w:t>December 31,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Others assets (sales-type sub-lease)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277,482</w:t>
            </w:r>
          </w:p>
        </w:tc>
      </w:tr>
      <w:tr>
        <w:trPr>
          <w:trHeight w:val="230"/>
        </w:trPr>
        <w:tc>
          <w:tcPr>
            <w:tcW w:w="2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Other liabilities (finance sub-lease liability)</w:t>
            </w:r>
          </w:p>
        </w:tc>
        <w:tc>
          <w:tcPr>
            <w:tcW w:w="2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280,510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284,376</w:t>
            </w:r>
          </w:p>
        </w:tc>
      </w:tr>
    </w:tbl>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rental income and rental expense, included in Other income and Other expenses, respectively, in our Statement of Operations and contractual rent expense under these agreements were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w w:val="99"/>
              </w:rPr>
              <w:t>Year Ended December 31,</w:t>
            </w:r>
          </w:p>
        </w:tc>
        <w:tc>
          <w:tcPr>
            <w:tcW w:w="4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51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260" w:type="dxa"/>
            <w:vAlign w:val="bottom"/>
          </w:tcPr>
          <w:p>
            <w:pPr>
              <w:jc w:val="right"/>
              <w:ind w:right="33"/>
              <w:spacing w:after="0" w:line="172" w:lineRule="exact"/>
              <w:rPr>
                <w:sz w:val="20"/>
                <w:szCs w:val="20"/>
                <w:color w:val="auto"/>
              </w:rPr>
            </w:pPr>
            <w:r>
              <w:rPr>
                <w:rFonts w:ascii="Arial" w:cs="Arial" w:eastAsia="Arial" w:hAnsi="Arial"/>
                <w:sz w:val="16"/>
                <w:szCs w:val="16"/>
                <w:b w:val="1"/>
                <w:bCs w:val="1"/>
                <w:color w:val="auto"/>
              </w:rPr>
              <w:t>2021</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tcPr>
          <w:p>
            <w:pPr>
              <w:jc w:val="right"/>
              <w:ind w:right="733"/>
              <w:spacing w:after="0" w:line="172" w:lineRule="exact"/>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00" w:type="dxa"/>
            <w:vAlign w:val="bottom"/>
          </w:tcPr>
          <w:p>
            <w:pPr>
              <w:jc w:val="right"/>
              <w:ind w:right="733"/>
              <w:spacing w:after="0" w:line="172" w:lineRule="exact"/>
              <w:rPr>
                <w:sz w:val="20"/>
                <w:szCs w:val="20"/>
                <w:color w:val="auto"/>
              </w:rPr>
            </w:pPr>
            <w:r>
              <w:rPr>
                <w:rFonts w:ascii="Arial" w:cs="Arial" w:eastAsia="Arial" w:hAnsi="Arial"/>
                <w:sz w:val="16"/>
                <w:szCs w:val="16"/>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spacing w:after="0" w:line="223" w:lineRule="exact"/>
              <w:rPr>
                <w:sz w:val="20"/>
                <w:szCs w:val="20"/>
                <w:color w:val="auto"/>
              </w:rPr>
            </w:pPr>
            <w:r>
              <w:rPr>
                <w:rFonts w:ascii="Arial" w:cs="Arial" w:eastAsia="Arial" w:hAnsi="Arial"/>
                <w:sz w:val="18"/>
                <w:szCs w:val="18"/>
                <w:color w:val="auto"/>
              </w:rPr>
              <w:t xml:space="preserve">Rental income and expense </w:t>
            </w:r>
            <w:r>
              <w:rPr>
                <w:rFonts w:ascii="Arial" w:cs="Arial" w:eastAsia="Arial" w:hAnsi="Arial"/>
                <w:sz w:val="23"/>
                <w:szCs w:val="23"/>
                <w:i w:val="1"/>
                <w:iCs w:val="1"/>
                <w:color w:val="auto"/>
                <w:vertAlign w:val="superscript"/>
              </w:rPr>
              <w:t>(1)</w:t>
            </w:r>
          </w:p>
        </w:tc>
        <w:tc>
          <w:tcPr>
            <w:tcW w:w="1260" w:type="dxa"/>
            <w:vAlign w:val="bottom"/>
            <w:shd w:val="clear" w:color="auto" w:fill="CCEEFF"/>
          </w:tcPr>
          <w:p>
            <w:pPr>
              <w:jc w:val="right"/>
              <w:ind w:right="1073"/>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230"/>
        </w:trPr>
        <w:tc>
          <w:tcPr>
            <w:tcW w:w="20" w:type="dxa"/>
            <w:vAlign w:val="bottom"/>
          </w:tcPr>
          <w:p>
            <w:pPr>
              <w:spacing w:after="0"/>
              <w:rPr>
                <w:sz w:val="20"/>
                <w:szCs w:val="20"/>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Contractual rent</w:t>
            </w:r>
          </w:p>
        </w:tc>
        <w:tc>
          <w:tcPr>
            <w:tcW w:w="1260" w:type="dxa"/>
            <w:vAlign w:val="bottom"/>
          </w:tcPr>
          <w:p>
            <w:pPr>
              <w:jc w:val="right"/>
              <w:ind w:right="1073"/>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26,350</w:t>
            </w:r>
          </w:p>
        </w:tc>
        <w:tc>
          <w:tcPr>
            <w:tcW w:w="100" w:type="dxa"/>
            <w:vAlign w:val="bottom"/>
          </w:tcPr>
          <w:p>
            <w:pPr>
              <w:spacing w:after="0"/>
              <w:rPr>
                <w:sz w:val="20"/>
                <w:szCs w:val="20"/>
                <w:color w:val="auto"/>
              </w:rPr>
            </w:pPr>
          </w:p>
        </w:tc>
        <w:tc>
          <w:tcPr>
            <w:tcW w:w="460" w:type="dxa"/>
            <w:vAlign w:val="bottom"/>
          </w:tcPr>
          <w:p>
            <w:pPr>
              <w:jc w:val="right"/>
              <w:ind w:right="253"/>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17,983</w:t>
            </w:r>
          </w:p>
        </w:tc>
        <w:tc>
          <w:tcPr>
            <w:tcW w:w="8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452</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3" w:lineRule="exact"/>
        <w:rPr>
          <w:sz w:val="20"/>
          <w:szCs w:val="20"/>
          <w:color w:val="auto"/>
        </w:rPr>
      </w:pPr>
    </w:p>
    <w:p>
      <w:pPr>
        <w:jc w:val="both"/>
        <w:ind w:left="340" w:hanging="332"/>
        <w:spacing w:after="0" w:line="248" w:lineRule="auto"/>
        <w:tabs>
          <w:tab w:leader="none" w:pos="332" w:val="left"/>
        </w:tabs>
        <w:numPr>
          <w:ilvl w:val="0"/>
          <w:numId w:val="100"/>
        </w:numPr>
        <w:rPr>
          <w:rFonts w:ascii="Arial" w:cs="Arial" w:eastAsia="Arial" w:hAnsi="Arial"/>
          <w:sz w:val="14"/>
          <w:szCs w:val="14"/>
          <w:i w:val="1"/>
          <w:iCs w:val="1"/>
          <w:color w:val="auto"/>
        </w:rPr>
      </w:pPr>
      <w:r>
        <w:rPr>
          <w:rFonts w:ascii="Arial" w:cs="Arial" w:eastAsia="Arial" w:hAnsi="Arial"/>
          <w:sz w:val="14"/>
          <w:szCs w:val="14"/>
          <w:i w:val="1"/>
          <w:iCs w:val="1"/>
          <w:color w:val="auto"/>
        </w:rPr>
        <w:t>For the years ended December 31, 2021 and 2020, these amounts are presented gross in Other income with an offsetting amount in Other expenses within the Statement of Operations. For the year ended December 31, 2019, we recorded such amounts as a component of General and administrative expenses on a net basis as these charges were not material to the Statement of Operations.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1" w:name="page132"/>
    <w:bookmarkEnd w:id="1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The future minimum lease commitments relating to the ground and use leases at December 31, 2021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7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6"/>
                <w:szCs w:val="16"/>
                <w:color w:val="auto"/>
              </w:rPr>
            </w:pPr>
          </w:p>
        </w:tc>
        <w:tc>
          <w:tcPr>
            <w:tcW w:w="2140" w:type="dxa"/>
            <w:vAlign w:val="bottom"/>
          </w:tcPr>
          <w:p>
            <w:pPr>
              <w:jc w:val="right"/>
              <w:ind w:right="431"/>
              <w:spacing w:after="0"/>
              <w:rPr>
                <w:sz w:val="20"/>
                <w:szCs w:val="20"/>
                <w:color w:val="auto"/>
              </w:rPr>
            </w:pPr>
            <w:r>
              <w:rPr>
                <w:rFonts w:ascii="Arial" w:cs="Arial" w:eastAsia="Arial" w:hAnsi="Arial"/>
                <w:sz w:val="16"/>
                <w:szCs w:val="16"/>
                <w:b w:val="1"/>
                <w:bCs w:val="1"/>
                <w:color w:val="auto"/>
              </w:rPr>
              <w:t>Lease Commitments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8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78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26,350</w:t>
            </w:r>
          </w:p>
        </w:tc>
        <w:tc>
          <w:tcPr>
            <w:tcW w:w="0" w:type="dxa"/>
            <w:vAlign w:val="bottom"/>
          </w:tcPr>
          <w:p>
            <w:pPr>
              <w:spacing w:after="0"/>
              <w:rPr>
                <w:sz w:val="1"/>
                <w:szCs w:val="1"/>
                <w:color w:val="auto"/>
              </w:rPr>
            </w:pP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7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23,350</w:t>
            </w:r>
          </w:p>
        </w:tc>
        <w:tc>
          <w:tcPr>
            <w:tcW w:w="0" w:type="dxa"/>
            <w:vAlign w:val="bottom"/>
          </w:tcPr>
          <w:p>
            <w:pPr>
              <w:spacing w:after="0"/>
              <w:rPr>
                <w:sz w:val="1"/>
                <w:szCs w:val="1"/>
                <w:color w:val="auto"/>
              </w:rPr>
            </w:pPr>
          </w:p>
        </w:tc>
      </w:tr>
      <w:tr>
        <w:trPr>
          <w:trHeight w:val="230"/>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7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23,350</w:t>
            </w:r>
          </w:p>
        </w:tc>
        <w:tc>
          <w:tcPr>
            <w:tcW w:w="0" w:type="dxa"/>
            <w:vAlign w:val="bottom"/>
          </w:tcPr>
          <w:p>
            <w:pPr>
              <w:spacing w:after="0"/>
              <w:rPr>
                <w:sz w:val="1"/>
                <w:szCs w:val="1"/>
                <w:color w:val="auto"/>
              </w:rPr>
            </w:pPr>
          </w:p>
        </w:tc>
      </w:tr>
      <w:tr>
        <w:trPr>
          <w:trHeight w:val="229"/>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7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23,350</w:t>
            </w:r>
          </w:p>
        </w:tc>
        <w:tc>
          <w:tcPr>
            <w:tcW w:w="0" w:type="dxa"/>
            <w:vAlign w:val="bottom"/>
          </w:tcPr>
          <w:p>
            <w:pPr>
              <w:spacing w:after="0"/>
              <w:rPr>
                <w:sz w:val="1"/>
                <w:szCs w:val="1"/>
                <w:color w:val="auto"/>
              </w:rPr>
            </w:pPr>
          </w:p>
        </w:tc>
      </w:tr>
      <w:tr>
        <w:trPr>
          <w:trHeight w:val="229"/>
        </w:trPr>
        <w:tc>
          <w:tcPr>
            <w:tcW w:w="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7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7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741,729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minimum lease commitments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861,479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7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Discounting factor</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76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2140" w:type="dxa"/>
            <w:vAlign w:val="bottom"/>
          </w:tcPr>
          <w:p>
            <w:pPr>
              <w:jc w:val="right"/>
              <w:spacing w:after="0" w:line="203" w:lineRule="exact"/>
              <w:rPr>
                <w:sz w:val="20"/>
                <w:szCs w:val="20"/>
                <w:color w:val="auto"/>
              </w:rPr>
            </w:pPr>
            <w:r>
              <w:rPr>
                <w:rFonts w:ascii="Arial" w:cs="Arial" w:eastAsia="Arial" w:hAnsi="Arial"/>
                <w:sz w:val="18"/>
                <w:szCs w:val="18"/>
                <w:color w:val="auto"/>
              </w:rPr>
              <w:t>580,969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sub-lease liability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280,510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discount rate for the ground and use leases was determined based on the yield of our current secured borrowings, adjusted to match borrowings of similar terms and are between 6% and 8%. The weighted average remaining lease term as of December 31, 2021 under our finance leases was 36.8 years.</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 Stockholders' Equity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Effective September 10, 2021, we amended our Articles of Amendment and Restatement to increase: (i) the number of shares of stock that we are authorized to issue from 1,000,000,000 to 1,400,000,000, (ii) the number of shares of common stock, par value $0.01 per share, that we are authorized to issue from 950,000,000 to 1,350,000,000, and (iii) the aggregate par value of all authorized shares of our stock having par value from $10,000,000 to $14,000,000, in order to have sufficient authorized shares to complete the MGP Transactions, which remain subject to customary closing conditions, including regulatory approvals.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previously amended our Articles of Amendment and Restatement, effective March 2, 2021, to increase: (i) the number of shares of stock that we were authorized to issue from 750,000,000 to 1,000,000,000, (ii) the number of shares of common stock, par value $0.01 per share, that we were authorized to issue from 700,000,000 to 950,000,000, and (iii) the aggregate par value of all authorized shares of our stock having par value from $7,500,000 to $10,000,000.</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2021, we have the authority to issue 1,400,000,000 shares of stock, consisting of 1,350,000,000 shares of Common Stock, $0.01 par value per share and 50,000,000 shares of Preferred Stock, $0.01 par value per share.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Primary Follow-on Offerings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September 2021 Offering</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September 14, 2021, we completed a primary follow-on offering of 115,000,000 shares of common stock consisting of (i) 65,000,000 shares of common stock (including 15,000,000 shares sold pursuant to the exercise in full of the underwriters’ option to purchase additional common stock) and (ii) 50,000,000 shares of common stock that were subject to forward sale agreements (collectively the “September 2021 Forward Sale Agreements”), which require settlement by September 9, 2022, in each case at a public offering price of $29.50 per share for an aggregate offering value of $3.4 billion, resulting in net proceeds, after deduction of the underwriting discount and expenses, of $1,859.0 million from the sale of the 65,000,000 shares (including 15,000,000 shares sold pursuant to the exercise in full of the underwriters’ option to purchase additional common stock). We did not initially receive any proceeds from the sale of the 50,000,000 shares subject to the September 2021 Forward Sale Agreements, which were sold to the underwriters by the forward purchasers or their respective affiliates and remain subject to settlement in accordance with the terms of the September 2021 Forward Sale Agreements.</w:t>
      </w:r>
    </w:p>
    <w:p>
      <w:pPr>
        <w:spacing w:after="0" w:line="14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Subsequent to year end, on February 18, 2022, we settled the September 2021 Forward Sale Agreements by delivering 50,000,000 shares of our common stock to the forward purchases, in exchange for total net proceeds of approximately $1,390.6 million, which were used to pay for a portion of the purchase price of the Venetian Acquisition. The physical settlement of the September 2021 Forward Sale Agreements were calculated based on the initial forward sale price per share of $28.62, as adjusted for a floating interest rate factor and other fixed amounts based on the passage of time, as specified in the September 2021 Forward Sale Agreements, resulting in a net forward sale price on the settlement date of $27.81 per share.</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132" w:name="page133"/>
    <w:bookmarkEnd w:id="1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March 2021 Offering</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4, 2021, we completed a primary follow-on offering of 69,000,000 shares of common stock (inclusive of 9,000,000 shares sold pursuant to the exercise in full of the underwriters’ option to purchase additional common stock) at a public offering price of $29.00 per share for an aggregate offering value of $2,001.0 million, all of which are subject to forward sale agreements (the “March 2021 Forward Sale Agreements”), which require settlement by March 4, 2022. We did not initially receive any proceeds from the sale of the shares of common stock in the offering, which were sold to the underwriters by the forward purchasers or their respective affiliates.</w:t>
      </w:r>
    </w:p>
    <w:p>
      <w:pPr>
        <w:spacing w:after="0" w:line="13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Subsequent to year end, on February 18, 2022, we settled the March 2021 Forward Sale Agreements by delivering 69,000,000 shares of our common stock to the forward purchases, in exchange for total net proceeds of approximately $1,828.6 million, which were used to pay for a portion of the purchase price of the Venetian Acquisition. The physical settlement of the March 2021 Forward Sale Agreements were calculated based on the initial forward sale price per share of $28.06, as adjusted for a floating interest rate factor and other fixed amounts based on the passage of time, as specified in the March 2021 Forward Sale Agreements, resulting in a net forward sale price on the settlement date of $26.50 per share.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June 2020 Offering</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17, 2020, we completed a primary follow-on offering of 29,900,000 shares of common stock (inclusive of 3,900,000 shares sold pursuant to the exercise in full of the underwriters’ option to purchase additional common stock) at a public offering price of $22.15 per share for an aggregate offering value of $662.3 million, all of which are subject to a forward sale agreement (the “June 2020 Forward Sale Agreement”), which initially required settlement by September 17, 2020. On September 16, 2020, we amended the June 2020 Forward Sale Agreement to extend the maturity date from September 17, 2020 to June 17, 2021. We did not initially receive any proceeds from the sale of the shares of common stock in the offering, which were sold to the underwriters by the forward purchaser or its affiliates.</w:t>
      </w:r>
    </w:p>
    <w:p>
      <w:pPr>
        <w:spacing w:after="0" w:line="1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September 28, 2020, we partially settled the June 2020 Forward Sale Agreement by delivering 3,000,000 shares of our common stock to the forward purchaser, in exchange for total net proceeds of approximately $63.0 million, which was calculated based on the net forward sale price on the settlement date of $21.04 per share. On September 9, 2021, we physically settled the remaining shares under the June 2020 Forward Sale Agreement by delivering 26,900,000 shares of our common stock to the forward purchaser in exchange for total net proceeds of approximately $526.9 million, which was calculated based on the net forward sale price on the settlement date of $19.59 per share. The physical settlements of the June 2020 Forward Sale Agreement were calculated based on the initial forward sale price per share of $21.37, as adjusted for a floating interest rate factor and other fixed amounts based on the passage of time, as specified in the June 2020 Forward Sale Agreement.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 Program</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May 2021, we entered into an equity distribution agreement (the “ATM Agreement”), pursuant to which we may sell, from time to time, up to an aggregate sales price of $1,000.0 million of our common stock (the “ATM Program”). Sales of common stock, if any, made pursuant to the ATM Program may be sold in negotiated transactions or transactions that are deemed to be “at the market” offerings, as defined in Rule 415 of the Securities Act. The ATM Program also provides that the Company may sell shares of its common stock under the ATM Program through forward sale contracts. Actual sales under the ATM Program will depend on a variety of factors including market conditions, the trading price of our common stock, our capital needs, and our determination of the appropriate sources of funding to meet such needs. During the year ended December 31, 2020, we sold a total of 7,500,000 shares under the ATM Program for net proceeds of $200.0 million. During the year ended December 31, 2021, we did not sell any shares under the ATM Program. We have no obligation to sell the remaining shares available for sale under the ATM Program.</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3" w:name="page134"/>
    <w:bookmarkEnd w:id="1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issuance of outstanding shares of common stock, including restricted common stock: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Common Stock Outstanding</w:t>
            </w:r>
          </w:p>
        </w:tc>
        <w:tc>
          <w:tcPr>
            <w:tcW w:w="120" w:type="dxa"/>
            <w:vAlign w:val="bottom"/>
          </w:tcPr>
          <w:p>
            <w:pPr>
              <w:spacing w:after="0"/>
              <w:rPr>
                <w:sz w:val="18"/>
                <w:szCs w:val="18"/>
                <w:color w:val="auto"/>
              </w:rPr>
            </w:pPr>
          </w:p>
        </w:tc>
        <w:tc>
          <w:tcPr>
            <w:tcW w:w="1820" w:type="dxa"/>
            <w:vAlign w:val="bottom"/>
            <w:tcBorders>
              <w:bottom w:val="single" w:sz="8" w:color="auto"/>
            </w:tcBorders>
          </w:tcPr>
          <w:p>
            <w:pPr>
              <w:jc w:val="right"/>
              <w:ind w:right="651"/>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840" w:type="dxa"/>
            <w:vAlign w:val="bottom"/>
            <w:tcBorders>
              <w:bottom w:val="single" w:sz="8" w:color="auto"/>
            </w:tcBorders>
          </w:tcPr>
          <w:p>
            <w:pPr>
              <w:jc w:val="right"/>
              <w:ind w:right="67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7440" w:type="dxa"/>
            <w:vAlign w:val="bottom"/>
            <w:gridSpan w:val="2"/>
          </w:tcPr>
          <w:p>
            <w:pPr>
              <w:ind w:left="20"/>
              <w:spacing w:after="0"/>
              <w:rPr>
                <w:sz w:val="20"/>
                <w:szCs w:val="20"/>
                <w:color w:val="auto"/>
              </w:rPr>
            </w:pPr>
            <w:r>
              <w:rPr>
                <w:rFonts w:ascii="Arial" w:cs="Arial" w:eastAsia="Arial" w:hAnsi="Arial"/>
                <w:sz w:val="16"/>
                <w:szCs w:val="16"/>
                <w:b w:val="1"/>
                <w:bCs w:val="1"/>
                <w:color w:val="auto"/>
              </w:rPr>
              <w:t>Beginning Balance January 1</w:t>
            </w:r>
          </w:p>
        </w:tc>
        <w:tc>
          <w:tcPr>
            <w:tcW w:w="1820" w:type="dxa"/>
            <w:vAlign w:val="bottom"/>
          </w:tcPr>
          <w:p>
            <w:pPr>
              <w:jc w:val="right"/>
              <w:spacing w:after="0"/>
              <w:rPr>
                <w:sz w:val="20"/>
                <w:szCs w:val="20"/>
                <w:color w:val="auto"/>
              </w:rPr>
            </w:pPr>
            <w:r>
              <w:rPr>
                <w:rFonts w:ascii="Arial" w:cs="Arial" w:eastAsia="Arial" w:hAnsi="Arial"/>
                <w:sz w:val="18"/>
                <w:szCs w:val="18"/>
                <w:color w:val="auto"/>
              </w:rPr>
              <w:t>536,669,722</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461,004,742</w:t>
            </w:r>
          </w:p>
        </w:tc>
        <w:tc>
          <w:tcPr>
            <w:tcW w:w="0" w:type="dxa"/>
            <w:vAlign w:val="bottom"/>
          </w:tcPr>
          <w:p>
            <w:pPr>
              <w:spacing w:after="0"/>
              <w:rPr>
                <w:sz w:val="1"/>
                <w:szCs w:val="1"/>
                <w:color w:val="auto"/>
              </w:rPr>
            </w:pPr>
          </w:p>
        </w:tc>
      </w:tr>
      <w:tr>
        <w:trPr>
          <w:trHeight w:val="229"/>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Issuance of common stock in primary follow-on offerings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65,000,000</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4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Issuance of common stock upon physical settlement of forward sale agreements </w:t>
            </w:r>
            <w:r>
              <w:rPr>
                <w:rFonts w:ascii="Arial" w:cs="Arial" w:eastAsia="Arial" w:hAnsi="Arial"/>
                <w:sz w:val="23"/>
                <w:szCs w:val="23"/>
                <w:i w:val="1"/>
                <w:iCs w:val="1"/>
                <w:color w:val="auto"/>
                <w:vertAlign w:val="superscript"/>
              </w:rPr>
              <w:t>(1)</w:t>
            </w:r>
          </w:p>
        </w:tc>
        <w:tc>
          <w:tcPr>
            <w:tcW w:w="1820" w:type="dxa"/>
            <w:vAlign w:val="bottom"/>
          </w:tcPr>
          <w:p>
            <w:pPr>
              <w:jc w:val="right"/>
              <w:spacing w:after="0"/>
              <w:rPr>
                <w:sz w:val="20"/>
                <w:szCs w:val="20"/>
                <w:color w:val="auto"/>
              </w:rPr>
            </w:pPr>
            <w:r>
              <w:rPr>
                <w:rFonts w:ascii="Arial" w:cs="Arial" w:eastAsia="Arial" w:hAnsi="Arial"/>
                <w:sz w:val="18"/>
                <w:szCs w:val="18"/>
                <w:color w:val="auto"/>
              </w:rPr>
              <w:t>26,900,000</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68,000,000</w:t>
            </w:r>
          </w:p>
        </w:tc>
        <w:tc>
          <w:tcPr>
            <w:tcW w:w="0" w:type="dxa"/>
            <w:vAlign w:val="bottom"/>
          </w:tcPr>
          <w:p>
            <w:pPr>
              <w:spacing w:after="0"/>
              <w:rPr>
                <w:sz w:val="1"/>
                <w:szCs w:val="1"/>
                <w:color w:val="auto"/>
              </w:rPr>
            </w:pPr>
          </w:p>
        </w:tc>
      </w:tr>
      <w:tr>
        <w:trPr>
          <w:trHeight w:val="230"/>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Issuance of common stock under the at-the-market offering program</w:t>
            </w:r>
          </w:p>
        </w:tc>
        <w:tc>
          <w:tcPr>
            <w:tcW w:w="1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w:t>
            </w:r>
          </w:p>
        </w:tc>
        <w:tc>
          <w:tcPr>
            <w:tcW w:w="0" w:type="dxa"/>
            <w:vAlign w:val="bottom"/>
          </w:tcPr>
          <w:p>
            <w:pPr>
              <w:spacing w:after="0"/>
              <w:rPr>
                <w:sz w:val="1"/>
                <w:szCs w:val="1"/>
                <w:color w:val="auto"/>
              </w:rPr>
            </w:pPr>
          </w:p>
        </w:tc>
      </w:tr>
      <w:tr>
        <w:trPr>
          <w:trHeight w:val="175"/>
        </w:trPr>
        <w:tc>
          <w:tcPr>
            <w:tcW w:w="744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7"/>
              </w:rPr>
              <w:t>Issuance of restricted and unrestricted common stock under the stock incentive program, net of</w:t>
            </w:r>
          </w:p>
        </w:tc>
        <w:tc>
          <w:tcPr>
            <w:tcW w:w="1820" w:type="dxa"/>
            <w:vAlign w:val="bottom"/>
            <w:vMerge w:val="restart"/>
          </w:tcPr>
          <w:p>
            <w:pPr>
              <w:jc w:val="right"/>
              <w:spacing w:after="0"/>
              <w:rPr>
                <w:sz w:val="20"/>
                <w:szCs w:val="20"/>
                <w:color w:val="auto"/>
              </w:rPr>
            </w:pPr>
            <w:r>
              <w:rPr>
                <w:rFonts w:ascii="Arial" w:cs="Arial" w:eastAsia="Arial" w:hAnsi="Arial"/>
                <w:sz w:val="18"/>
                <w:szCs w:val="18"/>
                <w:color w:val="auto"/>
              </w:rPr>
              <w:t>372,370</w:t>
            </w:r>
          </w:p>
        </w:tc>
        <w:tc>
          <w:tcPr>
            <w:tcW w:w="120" w:type="dxa"/>
            <w:vAlign w:val="bottom"/>
          </w:tcPr>
          <w:p>
            <w:pPr>
              <w:spacing w:after="0"/>
              <w:rPr>
                <w:sz w:val="15"/>
                <w:szCs w:val="15"/>
                <w:color w:val="auto"/>
              </w:rPr>
            </w:pPr>
          </w:p>
        </w:tc>
        <w:tc>
          <w:tcPr>
            <w:tcW w:w="1840" w:type="dxa"/>
            <w:vAlign w:val="bottom"/>
            <w:vMerge w:val="restart"/>
          </w:tcPr>
          <w:p>
            <w:pPr>
              <w:jc w:val="right"/>
              <w:spacing w:after="0"/>
              <w:rPr>
                <w:sz w:val="20"/>
                <w:szCs w:val="20"/>
                <w:color w:val="auto"/>
              </w:rPr>
            </w:pPr>
            <w:r>
              <w:rPr>
                <w:rFonts w:ascii="Arial" w:cs="Arial" w:eastAsia="Arial" w:hAnsi="Arial"/>
                <w:sz w:val="18"/>
                <w:szCs w:val="18"/>
                <w:color w:val="auto"/>
              </w:rPr>
              <w:t>164,980</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forfeitures </w:t>
            </w:r>
            <w:r>
              <w:rPr>
                <w:rFonts w:ascii="Arial" w:cs="Arial" w:eastAsia="Arial" w:hAnsi="Arial"/>
                <w:sz w:val="23"/>
                <w:szCs w:val="23"/>
                <w:i w:val="1"/>
                <w:iCs w:val="1"/>
                <w:color w:val="auto"/>
                <w:vertAlign w:val="superscript"/>
              </w:rPr>
              <w:t>(2)</w:t>
            </w:r>
          </w:p>
        </w:tc>
        <w:tc>
          <w:tcPr>
            <w:tcW w:w="18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Ending Balance December 31</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628,942,092</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536,669,722</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ind w:left="340" w:hanging="332"/>
        <w:spacing w:after="0" w:line="260" w:lineRule="auto"/>
        <w:tabs>
          <w:tab w:leader="none" w:pos="332" w:val="left"/>
        </w:tabs>
        <w:numPr>
          <w:ilvl w:val="0"/>
          <w:numId w:val="101"/>
        </w:numPr>
        <w:rPr>
          <w:rFonts w:ascii="Arial" w:cs="Arial" w:eastAsia="Arial" w:hAnsi="Arial"/>
          <w:sz w:val="13"/>
          <w:szCs w:val="13"/>
          <w:i w:val="1"/>
          <w:iCs w:val="1"/>
          <w:color w:val="auto"/>
        </w:rPr>
      </w:pPr>
      <w:r>
        <w:rPr>
          <w:rFonts w:ascii="Arial" w:cs="Arial" w:eastAsia="Arial" w:hAnsi="Arial"/>
          <w:sz w:val="13"/>
          <w:szCs w:val="13"/>
          <w:i w:val="1"/>
          <w:iCs w:val="1"/>
          <w:color w:val="auto"/>
        </w:rPr>
        <w:t>Excludes the 50,000,000 and 69,000,000 remaining shares subject to the September 2021 Forward Sale Agreements and March 2021 Forward Sale Agreements, respectively, as such shares were not yet settled. Subsequent to year end, on February 18, 2022, we physically settled the September 2021 Forward Sale Agreements and March 2021 Forward Sale Agreements.</w:t>
      </w:r>
    </w:p>
    <w:p>
      <w:pPr>
        <w:ind w:left="320" w:hanging="312"/>
        <w:spacing w:after="0"/>
        <w:tabs>
          <w:tab w:leader="none" w:pos="320" w:val="left"/>
        </w:tabs>
        <w:numPr>
          <w:ilvl w:val="0"/>
          <w:numId w:val="101"/>
        </w:numPr>
        <w:rPr>
          <w:rFonts w:ascii="Arial" w:cs="Arial" w:eastAsia="Arial" w:hAnsi="Arial"/>
          <w:sz w:val="13"/>
          <w:szCs w:val="13"/>
          <w:i w:val="1"/>
          <w:iCs w:val="1"/>
          <w:color w:val="auto"/>
        </w:rPr>
      </w:pPr>
      <w:r>
        <w:rPr>
          <w:rFonts w:ascii="Arial" w:cs="Arial" w:eastAsia="Arial" w:hAnsi="Arial"/>
          <w:sz w:val="13"/>
          <w:szCs w:val="13"/>
          <w:i w:val="1"/>
          <w:iCs w:val="1"/>
          <w:color w:val="auto"/>
        </w:rPr>
        <w:t>The years ended December 31, 2021 and 2020 excludes 188,003 and 239,437 restricted stock units, respectively, issued under the performance-based stock incentive program.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Dividends declared (on a per share basis) during the years ended December 31, 2021 and 2020 were as follows: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Year Ended December 31, 2021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93"/>
              </w:rPr>
              <w:t>Declaration Date</w:t>
            </w:r>
          </w:p>
        </w:tc>
        <w:tc>
          <w:tcPr>
            <w:tcW w:w="2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93"/>
              </w:rPr>
              <w:t>Record Date</w:t>
            </w:r>
          </w:p>
        </w:tc>
        <w:tc>
          <w:tcPr>
            <w:tcW w:w="2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92"/>
              </w:rPr>
              <w:t>Payment Date</w:t>
            </w:r>
          </w:p>
        </w:tc>
        <w:tc>
          <w:tcPr>
            <w:tcW w:w="20" w:type="dxa"/>
            <w:vAlign w:val="bottom"/>
            <w:tcBorders>
              <w:top w:val="single" w:sz="8" w:color="auto"/>
            </w:tcBorders>
          </w:tcPr>
          <w:p>
            <w:pPr>
              <w:spacing w:after="0"/>
              <w:rPr>
                <w:sz w:val="18"/>
                <w:szCs w:val="18"/>
                <w:color w:val="auto"/>
              </w:rPr>
            </w:pPr>
          </w:p>
        </w:tc>
        <w:tc>
          <w:tcPr>
            <w:tcW w:w="3560" w:type="dxa"/>
            <w:vAlign w:val="bottom"/>
            <w:tcBorders>
              <w:top w:val="single" w:sz="8" w:color="auto"/>
            </w:tcBorders>
            <w:gridSpan w:val="3"/>
          </w:tcPr>
          <w:p>
            <w:pPr>
              <w:jc w:val="center"/>
              <w:ind w:right="140"/>
              <w:spacing w:after="0"/>
              <w:rPr>
                <w:sz w:val="20"/>
                <w:szCs w:val="20"/>
                <w:color w:val="auto"/>
              </w:rPr>
            </w:pPr>
            <w:r>
              <w:rPr>
                <w:rFonts w:ascii="Arial" w:cs="Arial" w:eastAsia="Arial" w:hAnsi="Arial"/>
                <w:sz w:val="16"/>
                <w:szCs w:val="16"/>
                <w:b w:val="1"/>
                <w:bCs w:val="1"/>
                <w:color w:val="auto"/>
                <w:w w:val="92"/>
              </w:rPr>
              <w:t>Period</w:t>
            </w: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Dividend</w:t>
            </w:r>
          </w:p>
        </w:tc>
      </w:tr>
      <w:tr>
        <w:trPr>
          <w:trHeight w:val="226"/>
        </w:trPr>
        <w:tc>
          <w:tcPr>
            <w:tcW w:w="20" w:type="dxa"/>
            <w:vAlign w:val="bottom"/>
            <w:tcBorders>
              <w:top w:val="single" w:sz="8" w:color="auto"/>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March 11, 2021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March 25, 2021</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April 8, 2021</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January 1, 2021 - March 31, 2021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0.3300</w:t>
            </w:r>
          </w:p>
        </w:tc>
      </w:tr>
      <w:tr>
        <w:trPr>
          <w:trHeight w:val="229"/>
        </w:trPr>
        <w:tc>
          <w:tcPr>
            <w:tcW w:w="20" w:type="dxa"/>
            <w:vAlign w:val="bottom"/>
          </w:tcPr>
          <w:p>
            <w:pPr>
              <w:spacing w:after="0"/>
              <w:rPr>
                <w:sz w:val="19"/>
                <w:szCs w:val="19"/>
                <w:color w:val="auto"/>
              </w:rPr>
            </w:pPr>
          </w:p>
        </w:tc>
        <w:tc>
          <w:tcPr>
            <w:tcW w:w="198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June 10, 2021</w:t>
            </w:r>
          </w:p>
        </w:tc>
        <w:tc>
          <w:tcPr>
            <w:tcW w:w="20" w:type="dxa"/>
            <w:vAlign w:val="bottom"/>
          </w:tcPr>
          <w:p>
            <w:pPr>
              <w:spacing w:after="0"/>
              <w:rPr>
                <w:sz w:val="19"/>
                <w:szCs w:val="19"/>
                <w:color w:val="auto"/>
              </w:rPr>
            </w:pPr>
          </w:p>
        </w:tc>
        <w:tc>
          <w:tcPr>
            <w:tcW w:w="2000" w:type="dxa"/>
            <w:vAlign w:val="bottom"/>
            <w:gridSpan w:val="3"/>
          </w:tcPr>
          <w:p>
            <w:pPr>
              <w:jc w:val="center"/>
              <w:ind w:right="120"/>
              <w:spacing w:after="0"/>
              <w:rPr>
                <w:sz w:val="20"/>
                <w:szCs w:val="20"/>
                <w:color w:val="auto"/>
              </w:rPr>
            </w:pPr>
            <w:r>
              <w:rPr>
                <w:rFonts w:ascii="Arial" w:cs="Arial" w:eastAsia="Arial" w:hAnsi="Arial"/>
                <w:sz w:val="18"/>
                <w:szCs w:val="18"/>
                <w:color w:val="auto"/>
                <w:w w:val="87"/>
              </w:rPr>
              <w:t>June 24, 2021</w:t>
            </w:r>
          </w:p>
        </w:tc>
        <w:tc>
          <w:tcPr>
            <w:tcW w:w="20" w:type="dxa"/>
            <w:vAlign w:val="bottom"/>
          </w:tcPr>
          <w:p>
            <w:pPr>
              <w:spacing w:after="0"/>
              <w:rPr>
                <w:sz w:val="19"/>
                <w:szCs w:val="19"/>
                <w:color w:val="auto"/>
              </w:rPr>
            </w:pPr>
          </w:p>
        </w:tc>
        <w:tc>
          <w:tcPr>
            <w:tcW w:w="190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July 8, 2021</w:t>
            </w:r>
          </w:p>
        </w:tc>
        <w:tc>
          <w:tcPr>
            <w:tcW w:w="20" w:type="dxa"/>
            <w:vAlign w:val="bottom"/>
          </w:tcPr>
          <w:p>
            <w:pPr>
              <w:spacing w:after="0"/>
              <w:rPr>
                <w:sz w:val="19"/>
                <w:szCs w:val="19"/>
                <w:color w:val="auto"/>
              </w:rPr>
            </w:pPr>
          </w:p>
        </w:tc>
        <w:tc>
          <w:tcPr>
            <w:tcW w:w="356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April 1, 2021 - June 30, 2021</w:t>
            </w: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0.3300</w:t>
            </w:r>
          </w:p>
        </w:tc>
      </w:tr>
      <w:tr>
        <w:trPr>
          <w:trHeight w:val="230"/>
        </w:trPr>
        <w:tc>
          <w:tcPr>
            <w:tcW w:w="20" w:type="dxa"/>
            <w:vAlign w:val="bottom"/>
            <w:shd w:val="clear" w:color="auto" w:fill="CCEEFF"/>
          </w:tcPr>
          <w:p>
            <w:pPr>
              <w:spacing w:after="0"/>
              <w:rPr>
                <w:sz w:val="19"/>
                <w:szCs w:val="19"/>
                <w:color w:val="auto"/>
              </w:rPr>
            </w:pPr>
          </w:p>
        </w:tc>
        <w:tc>
          <w:tcPr>
            <w:tcW w:w="198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90"/>
              </w:rPr>
              <w:t>August 4, 2021</w:t>
            </w:r>
          </w:p>
        </w:tc>
        <w:tc>
          <w:tcPr>
            <w:tcW w:w="20" w:type="dxa"/>
            <w:vAlign w:val="bottom"/>
            <w:shd w:val="clear" w:color="auto" w:fill="CCEEFF"/>
          </w:tcPr>
          <w:p>
            <w:pPr>
              <w:spacing w:after="0"/>
              <w:rPr>
                <w:sz w:val="19"/>
                <w:szCs w:val="19"/>
                <w:color w:val="auto"/>
              </w:rPr>
            </w:pPr>
          </w:p>
        </w:tc>
        <w:tc>
          <w:tcPr>
            <w:tcW w:w="200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88"/>
              </w:rPr>
              <w:t>September 24, 2021</w:t>
            </w:r>
          </w:p>
        </w:tc>
        <w:tc>
          <w:tcPr>
            <w:tcW w:w="2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89"/>
              </w:rPr>
              <w:t>October 7, 2021</w:t>
            </w:r>
          </w:p>
        </w:tc>
        <w:tc>
          <w:tcPr>
            <w:tcW w:w="20" w:type="dxa"/>
            <w:vAlign w:val="bottom"/>
            <w:shd w:val="clear" w:color="auto" w:fill="CCEEFF"/>
          </w:tcPr>
          <w:p>
            <w:pPr>
              <w:spacing w:after="0"/>
              <w:rPr>
                <w:sz w:val="19"/>
                <w:szCs w:val="19"/>
                <w:color w:val="auto"/>
              </w:rPr>
            </w:pPr>
          </w:p>
        </w:tc>
        <w:tc>
          <w:tcPr>
            <w:tcW w:w="356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89"/>
              </w:rPr>
              <w:t>July 1, 2021 - September 30, 2021</w:t>
            </w: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0.3600</w:t>
            </w:r>
          </w:p>
        </w:tc>
      </w:tr>
      <w:tr>
        <w:trPr>
          <w:trHeight w:val="230"/>
        </w:trPr>
        <w:tc>
          <w:tcPr>
            <w:tcW w:w="20" w:type="dxa"/>
            <w:vAlign w:val="bottom"/>
          </w:tcPr>
          <w:p>
            <w:pPr>
              <w:spacing w:after="0"/>
              <w:rPr>
                <w:sz w:val="20"/>
                <w:szCs w:val="20"/>
                <w:color w:val="auto"/>
              </w:rPr>
            </w:pPr>
          </w:p>
        </w:tc>
        <w:tc>
          <w:tcPr>
            <w:tcW w:w="198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December 9, 2021</w:t>
            </w:r>
          </w:p>
        </w:tc>
        <w:tc>
          <w:tcPr>
            <w:tcW w:w="20" w:type="dxa"/>
            <w:vAlign w:val="bottom"/>
          </w:tcPr>
          <w:p>
            <w:pPr>
              <w:spacing w:after="0"/>
              <w:rPr>
                <w:sz w:val="20"/>
                <w:szCs w:val="20"/>
                <w:color w:val="auto"/>
              </w:rPr>
            </w:pPr>
          </w:p>
        </w:tc>
        <w:tc>
          <w:tcPr>
            <w:tcW w:w="200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December 23, 2021</w:t>
            </w:r>
          </w:p>
        </w:tc>
        <w:tc>
          <w:tcPr>
            <w:tcW w:w="20" w:type="dxa"/>
            <w:vAlign w:val="bottom"/>
          </w:tcPr>
          <w:p>
            <w:pPr>
              <w:spacing w:after="0"/>
              <w:rPr>
                <w:sz w:val="20"/>
                <w:szCs w:val="20"/>
                <w:color w:val="auto"/>
              </w:rPr>
            </w:pPr>
          </w:p>
        </w:tc>
        <w:tc>
          <w:tcPr>
            <w:tcW w:w="190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January 6, 2022</w:t>
            </w:r>
          </w:p>
        </w:tc>
        <w:tc>
          <w:tcPr>
            <w:tcW w:w="20" w:type="dxa"/>
            <w:vAlign w:val="bottom"/>
          </w:tcPr>
          <w:p>
            <w:pPr>
              <w:spacing w:after="0"/>
              <w:rPr>
                <w:sz w:val="20"/>
                <w:szCs w:val="20"/>
                <w:color w:val="auto"/>
              </w:rPr>
            </w:pPr>
          </w:p>
        </w:tc>
        <w:tc>
          <w:tcPr>
            <w:tcW w:w="356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October 1, 2021 - December 31, 2021</w:t>
            </w: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0.3600</w:t>
            </w:r>
          </w:p>
        </w:tc>
      </w:tr>
      <w:tr>
        <w:trPr>
          <w:trHeight w:val="482"/>
        </w:trPr>
        <w:tc>
          <w:tcPr>
            <w:tcW w:w="20" w:type="dxa"/>
            <w:vAlign w:val="bottom"/>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gridSpan w:val="7"/>
          </w:tcPr>
          <w:p>
            <w:pPr>
              <w:ind w:left="500"/>
              <w:spacing w:after="0"/>
              <w:rPr>
                <w:sz w:val="20"/>
                <w:szCs w:val="20"/>
                <w:color w:val="auto"/>
              </w:rPr>
            </w:pPr>
            <w:r>
              <w:rPr>
                <w:rFonts w:ascii="Arial" w:cs="Arial" w:eastAsia="Arial" w:hAnsi="Arial"/>
                <w:sz w:val="16"/>
                <w:szCs w:val="16"/>
                <w:b w:val="1"/>
                <w:bCs w:val="1"/>
                <w:color w:val="auto"/>
              </w:rPr>
              <w:t>Year Ended December 31, 2020</w:t>
            </w: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19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3"/>
              </w:rPr>
              <w:t>Declaration Date</w:t>
            </w:r>
          </w:p>
        </w:tc>
        <w:tc>
          <w:tcPr>
            <w:tcW w:w="20" w:type="dxa"/>
            <w:vAlign w:val="bottom"/>
          </w:tcPr>
          <w:p>
            <w:pPr>
              <w:spacing w:after="0"/>
              <w:rPr>
                <w:sz w:val="18"/>
                <w:szCs w:val="18"/>
                <w:color w:val="auto"/>
              </w:rPr>
            </w:pPr>
          </w:p>
        </w:tc>
        <w:tc>
          <w:tcPr>
            <w:tcW w:w="20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Record Date</w:t>
            </w:r>
          </w:p>
        </w:tc>
        <w:tc>
          <w:tcPr>
            <w:tcW w:w="20" w:type="dxa"/>
            <w:vAlign w:val="bottom"/>
          </w:tcPr>
          <w:p>
            <w:pPr>
              <w:spacing w:after="0"/>
              <w:rPr>
                <w:sz w:val="18"/>
                <w:szCs w:val="18"/>
                <w:color w:val="auto"/>
              </w:rPr>
            </w:pPr>
          </w:p>
        </w:tc>
        <w:tc>
          <w:tcPr>
            <w:tcW w:w="19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Payment Date</w:t>
            </w:r>
          </w:p>
        </w:tc>
        <w:tc>
          <w:tcPr>
            <w:tcW w:w="20" w:type="dxa"/>
            <w:vAlign w:val="bottom"/>
          </w:tcPr>
          <w:p>
            <w:pPr>
              <w:spacing w:after="0"/>
              <w:rPr>
                <w:sz w:val="18"/>
                <w:szCs w:val="18"/>
                <w:color w:val="auto"/>
              </w:rPr>
            </w:pPr>
          </w:p>
        </w:tc>
        <w:tc>
          <w:tcPr>
            <w:tcW w:w="35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Period</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432"/>
              <w:spacing w:after="0"/>
              <w:rPr>
                <w:sz w:val="20"/>
                <w:szCs w:val="20"/>
                <w:color w:val="auto"/>
              </w:rPr>
            </w:pPr>
            <w:r>
              <w:rPr>
                <w:rFonts w:ascii="Arial" w:cs="Arial" w:eastAsia="Arial" w:hAnsi="Arial"/>
                <w:sz w:val="16"/>
                <w:szCs w:val="16"/>
                <w:b w:val="1"/>
                <w:bCs w:val="1"/>
                <w:color w:val="auto"/>
              </w:rPr>
              <w:t>Dividend</w:t>
            </w:r>
          </w:p>
        </w:tc>
      </w:tr>
      <w:tr>
        <w:trPr>
          <w:trHeight w:val="226"/>
        </w:trPr>
        <w:tc>
          <w:tcPr>
            <w:tcW w:w="20" w:type="dxa"/>
            <w:vAlign w:val="bottom"/>
          </w:tcPr>
          <w:p>
            <w:pPr>
              <w:spacing w:after="0"/>
              <w:rPr>
                <w:sz w:val="19"/>
                <w:szCs w:val="19"/>
                <w:color w:val="auto"/>
              </w:rPr>
            </w:pPr>
          </w:p>
        </w:tc>
        <w:tc>
          <w:tcPr>
            <w:tcW w:w="19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March 12, 2020</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March 31, 2020</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4"/>
              </w:rPr>
              <w:t>April 9, 2020</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80" w:type="dxa"/>
            <w:vAlign w:val="bottom"/>
            <w:tcBorders>
              <w:top w:val="single" w:sz="8" w:color="auto"/>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9"/>
              </w:rPr>
              <w:t>January 1, 2020 - March 31, 2020</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0.2975</w:t>
            </w:r>
          </w:p>
        </w:tc>
      </w:tr>
      <w:tr>
        <w:trPr>
          <w:trHeight w:val="230"/>
        </w:trPr>
        <w:tc>
          <w:tcPr>
            <w:tcW w:w="20" w:type="dxa"/>
            <w:vAlign w:val="bottom"/>
          </w:tcPr>
          <w:p>
            <w:pPr>
              <w:spacing w:after="0"/>
              <w:rPr>
                <w:sz w:val="19"/>
                <w:szCs w:val="19"/>
                <w:color w:val="auto"/>
              </w:rPr>
            </w:pPr>
          </w:p>
        </w:tc>
        <w:tc>
          <w:tcPr>
            <w:tcW w:w="198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June 11, 2020</w:t>
            </w:r>
          </w:p>
        </w:tc>
        <w:tc>
          <w:tcPr>
            <w:tcW w:w="20" w:type="dxa"/>
            <w:vAlign w:val="bottom"/>
          </w:tcPr>
          <w:p>
            <w:pPr>
              <w:spacing w:after="0"/>
              <w:rPr>
                <w:sz w:val="19"/>
                <w:szCs w:val="19"/>
                <w:color w:val="auto"/>
              </w:rPr>
            </w:pPr>
          </w:p>
        </w:tc>
        <w:tc>
          <w:tcPr>
            <w:tcW w:w="200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June 30, 2020</w:t>
            </w:r>
          </w:p>
        </w:tc>
        <w:tc>
          <w:tcPr>
            <w:tcW w:w="20" w:type="dxa"/>
            <w:vAlign w:val="bottom"/>
          </w:tcPr>
          <w:p>
            <w:pPr>
              <w:spacing w:after="0"/>
              <w:rPr>
                <w:sz w:val="19"/>
                <w:szCs w:val="19"/>
                <w:color w:val="auto"/>
              </w:rPr>
            </w:pPr>
          </w:p>
        </w:tc>
        <w:tc>
          <w:tcPr>
            <w:tcW w:w="190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July 10, 2020</w:t>
            </w:r>
          </w:p>
        </w:tc>
        <w:tc>
          <w:tcPr>
            <w:tcW w:w="20" w:type="dxa"/>
            <w:vAlign w:val="bottom"/>
          </w:tcPr>
          <w:p>
            <w:pPr>
              <w:spacing w:after="0"/>
              <w:rPr>
                <w:sz w:val="19"/>
                <w:szCs w:val="19"/>
                <w:color w:val="auto"/>
              </w:rPr>
            </w:pPr>
          </w:p>
        </w:tc>
        <w:tc>
          <w:tcPr>
            <w:tcW w:w="356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April 1, 2020 - June 30, 2020</w:t>
            </w: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0.2975</w:t>
            </w:r>
          </w:p>
        </w:tc>
      </w:tr>
      <w:tr>
        <w:trPr>
          <w:trHeight w:val="230"/>
        </w:trPr>
        <w:tc>
          <w:tcPr>
            <w:tcW w:w="20" w:type="dxa"/>
            <w:vAlign w:val="bottom"/>
          </w:tcPr>
          <w:p>
            <w:pPr>
              <w:spacing w:after="0"/>
              <w:rPr>
                <w:sz w:val="19"/>
                <w:szCs w:val="19"/>
                <w:color w:val="auto"/>
              </w:rPr>
            </w:pPr>
          </w:p>
        </w:tc>
        <w:tc>
          <w:tcPr>
            <w:tcW w:w="198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8"/>
              </w:rPr>
              <w:t>September 10, 2020</w:t>
            </w:r>
          </w:p>
        </w:tc>
        <w:tc>
          <w:tcPr>
            <w:tcW w:w="20" w:type="dxa"/>
            <w:vAlign w:val="bottom"/>
            <w:shd w:val="clear" w:color="auto" w:fill="CCEEFF"/>
          </w:tcPr>
          <w:p>
            <w:pPr>
              <w:spacing w:after="0"/>
              <w:rPr>
                <w:sz w:val="19"/>
                <w:szCs w:val="19"/>
                <w:color w:val="auto"/>
              </w:rPr>
            </w:pPr>
          </w:p>
        </w:tc>
        <w:tc>
          <w:tcPr>
            <w:tcW w:w="200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9"/>
              </w:rPr>
              <w:t>September 30, 2020</w:t>
            </w:r>
          </w:p>
        </w:tc>
        <w:tc>
          <w:tcPr>
            <w:tcW w:w="2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9"/>
              </w:rPr>
              <w:t>October 8, 2020</w:t>
            </w:r>
          </w:p>
        </w:tc>
        <w:tc>
          <w:tcPr>
            <w:tcW w:w="20" w:type="dxa"/>
            <w:vAlign w:val="bottom"/>
            <w:shd w:val="clear" w:color="auto" w:fill="CCEEFF"/>
          </w:tcPr>
          <w:p>
            <w:pPr>
              <w:spacing w:after="0"/>
              <w:rPr>
                <w:sz w:val="19"/>
                <w:szCs w:val="19"/>
                <w:color w:val="auto"/>
              </w:rPr>
            </w:pPr>
          </w:p>
        </w:tc>
        <w:tc>
          <w:tcPr>
            <w:tcW w:w="356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9"/>
              </w:rPr>
              <w:t>July 1, 2020 - September 30, 2020</w:t>
            </w: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0.3300</w:t>
            </w:r>
          </w:p>
        </w:tc>
      </w:tr>
      <w:tr>
        <w:trPr>
          <w:trHeight w:val="230"/>
        </w:trPr>
        <w:tc>
          <w:tcPr>
            <w:tcW w:w="20" w:type="dxa"/>
            <w:vAlign w:val="bottom"/>
          </w:tcPr>
          <w:p>
            <w:pPr>
              <w:spacing w:after="0"/>
              <w:rPr>
                <w:sz w:val="20"/>
                <w:szCs w:val="20"/>
                <w:color w:val="auto"/>
              </w:rPr>
            </w:pPr>
          </w:p>
        </w:tc>
        <w:tc>
          <w:tcPr>
            <w:tcW w:w="198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December 10, 2020</w:t>
            </w:r>
          </w:p>
        </w:tc>
        <w:tc>
          <w:tcPr>
            <w:tcW w:w="20" w:type="dxa"/>
            <w:vAlign w:val="bottom"/>
          </w:tcPr>
          <w:p>
            <w:pPr>
              <w:spacing w:after="0"/>
              <w:rPr>
                <w:sz w:val="20"/>
                <w:szCs w:val="20"/>
                <w:color w:val="auto"/>
              </w:rPr>
            </w:pPr>
          </w:p>
        </w:tc>
        <w:tc>
          <w:tcPr>
            <w:tcW w:w="200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December 23, 2020</w:t>
            </w:r>
          </w:p>
        </w:tc>
        <w:tc>
          <w:tcPr>
            <w:tcW w:w="20" w:type="dxa"/>
            <w:vAlign w:val="bottom"/>
          </w:tcPr>
          <w:p>
            <w:pPr>
              <w:spacing w:after="0"/>
              <w:rPr>
                <w:sz w:val="20"/>
                <w:szCs w:val="20"/>
                <w:color w:val="auto"/>
              </w:rPr>
            </w:pPr>
          </w:p>
        </w:tc>
        <w:tc>
          <w:tcPr>
            <w:tcW w:w="190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January 7, 2021</w:t>
            </w:r>
          </w:p>
        </w:tc>
        <w:tc>
          <w:tcPr>
            <w:tcW w:w="20" w:type="dxa"/>
            <w:vAlign w:val="bottom"/>
          </w:tcPr>
          <w:p>
            <w:pPr>
              <w:spacing w:after="0"/>
              <w:rPr>
                <w:sz w:val="20"/>
                <w:szCs w:val="20"/>
                <w:color w:val="auto"/>
              </w:rPr>
            </w:pPr>
          </w:p>
        </w:tc>
        <w:tc>
          <w:tcPr>
            <w:tcW w:w="356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October 1, 2020 - December 31, 2020</w:t>
            </w: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0.3300</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 Earnings Per Share</w:t>
      </w:r>
    </w:p>
    <w:p>
      <w:pPr>
        <w:spacing w:after="0" w:line="165" w:lineRule="exact"/>
        <w:rPr>
          <w:sz w:val="20"/>
          <w:szCs w:val="20"/>
          <w:color w:val="auto"/>
        </w:rPr>
      </w:pPr>
    </w:p>
    <w:p>
      <w:pPr>
        <w:jc w:val="both"/>
        <w:spacing w:after="0" w:line="287" w:lineRule="auto"/>
        <w:rPr>
          <w:rFonts w:ascii="Arial" w:cs="Arial" w:eastAsia="Arial" w:hAnsi="Arial"/>
          <w:sz w:val="16"/>
          <w:szCs w:val="16"/>
          <w:color w:val="auto"/>
        </w:rPr>
      </w:pPr>
      <w:r>
        <w:rPr>
          <w:rFonts w:ascii="Arial" w:cs="Arial" w:eastAsia="Arial" w:hAnsi="Arial"/>
          <w:sz w:val="16"/>
          <w:szCs w:val="16"/>
          <w:color w:val="auto"/>
        </w:rPr>
        <w:t xml:space="preserve">Basic earnings per share is computed by dividing net income attributable to common stockholders by the weighted-average number of shares of common stock outstanding during the period, excluding net income attributable to participating securities (unvested restricted stock awards). Diluted earnings per share reflects the additional dilution for all potentially dilutive securities such as stock options, unvested restricted shares, unvested performance-based restricted shares and the shares to be issued by us upon settlement of any outstanding forward sale agreements. The shares issuable upon settlement of any outstanding forward sale agreements, as described in </w:t>
      </w:r>
      <w:hyperlink w:anchor="page132">
        <w:r>
          <w:rPr>
            <w:rFonts w:ascii="Arial" w:cs="Arial" w:eastAsia="Arial" w:hAnsi="Arial"/>
            <w:sz w:val="16"/>
            <w:szCs w:val="16"/>
            <w:u w:val="single" w:color="auto"/>
            <w:color w:val="0000FF"/>
          </w:rPr>
          <w:t>Note 11 - Stockholders' Equity</w:t>
        </w:r>
      </w:hyperlink>
      <w:r>
        <w:rPr>
          <w:rFonts w:ascii="Arial" w:cs="Arial" w:eastAsia="Arial" w:hAnsi="Arial"/>
          <w:sz w:val="16"/>
          <w:szCs w:val="16"/>
          <w:color w:val="auto"/>
        </w:rPr>
        <w:t>, are reflected in the diluted earnings per share calculations using the treasury stock method. Under this method, the number of shares of our common stock used in calculating diluted earnings per share is deemed to be increased by the excess, if any, of the number of shares of common stock that would be issued upon full physical settlement of the shares under any outstanding forward sale agreements over the number of shares of common stock that could be purchased by us in the market (based on the average market price during the period) using the proceeds receivable upon full physical settlement (based on the adjusted forward sales price at the end of the reporting period). If and when we physically or net share settle the shares under the outstanding forward sale agreements, the delivery of shares of common stock will result in an increase in the number of shares outstanding and dilution to earnings per share.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4" w:name="page135"/>
    <w:bookmarkEnd w:id="1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reconcile the weighted-average shares of common stock outstanding used in the calculation of basic earnings per share to the weighted-average shares of common stock outstanding used in the calculation of diluted earnings per share: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506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00" w:type="dxa"/>
            <w:vAlign w:val="bottom"/>
          </w:tcPr>
          <w:p>
            <w:pPr>
              <w:jc w:val="right"/>
              <w:ind w:right="732"/>
              <w:spacing w:after="0" w:line="17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jc w:val="center"/>
              <w:ind w:right="392"/>
              <w:spacing w:after="0" w:line="172" w:lineRule="exact"/>
              <w:rPr>
                <w:sz w:val="20"/>
                <w:szCs w:val="20"/>
                <w:color w:val="auto"/>
              </w:rPr>
            </w:pPr>
            <w:r>
              <w:rPr>
                <w:rFonts w:ascii="Arial" w:cs="Arial" w:eastAsia="Arial" w:hAnsi="Arial"/>
                <w:sz w:val="16"/>
                <w:szCs w:val="16"/>
                <w:b w:val="1"/>
                <w:bCs w:val="1"/>
                <w:color w:val="auto"/>
                <w:w w:val="95"/>
              </w:rPr>
              <w:t>2020</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jc w:val="right"/>
              <w:ind w:right="752"/>
              <w:spacing w:after="0" w:line="172" w:lineRule="exact"/>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 w:type="dxa"/>
            <w:vAlign w:val="bottom"/>
          </w:tcPr>
          <w:p>
            <w:pPr>
              <w:spacing w:after="0" w:line="20" w:lineRule="exact"/>
              <w:rPr>
                <w:sz w:val="1"/>
                <w:szCs w:val="1"/>
                <w:color w:val="auto"/>
              </w:rPr>
            </w:pPr>
          </w:p>
        </w:tc>
        <w:tc>
          <w:tcPr>
            <w:tcW w:w="50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Determination of shares:</w:t>
            </w: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060" w:type="dxa"/>
            <w:vAlign w:val="bottom"/>
            <w:gridSpan w:val="4"/>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shd w:val="clear" w:color="auto" w:fill="CCEEFF"/>
          </w:tcPr>
          <w:p>
            <w:pPr>
              <w:spacing w:after="0"/>
              <w:rPr>
                <w:sz w:val="19"/>
                <w:szCs w:val="19"/>
                <w:color w:val="auto"/>
              </w:rPr>
            </w:pPr>
          </w:p>
        </w:tc>
        <w:tc>
          <w:tcPr>
            <w:tcW w:w="50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Weighted-average shares of common stock outstanding</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564,467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506,141</w:t>
            </w:r>
          </w:p>
        </w:tc>
        <w:tc>
          <w:tcPr>
            <w:tcW w:w="120" w:type="dxa"/>
            <w:vAlign w:val="bottom"/>
            <w:tcBorders>
              <w:right w:val="single" w:sz="8" w:color="CCEEFF"/>
            </w:tcBorders>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435,071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060" w:type="dxa"/>
            <w:vAlign w:val="bottom"/>
            <w:gridSpan w:val="4"/>
          </w:tcPr>
          <w:p>
            <w:pPr>
              <w:ind w:left="180"/>
              <w:spacing w:after="0"/>
              <w:rPr>
                <w:sz w:val="20"/>
                <w:szCs w:val="20"/>
                <w:color w:val="auto"/>
              </w:rPr>
            </w:pPr>
            <w:r>
              <w:rPr>
                <w:rFonts w:ascii="Arial" w:cs="Arial" w:eastAsia="Arial" w:hAnsi="Arial"/>
                <w:sz w:val="18"/>
                <w:szCs w:val="18"/>
                <w:color w:val="auto"/>
              </w:rPr>
              <w:t>Assumed conversion of restricted stock</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shd w:val="clear" w:color="auto" w:fill="CCEEFF"/>
          </w:tcPr>
          <w:p>
            <w:pPr>
              <w:spacing w:after="0"/>
              <w:rPr>
                <w:sz w:val="19"/>
                <w:szCs w:val="19"/>
                <w:color w:val="auto"/>
              </w:rPr>
            </w:pPr>
          </w:p>
        </w:tc>
        <w:tc>
          <w:tcPr>
            <w:tcW w:w="50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Assumed settlement of forward sale agreements</w:t>
            </w:r>
          </w:p>
        </w:tc>
        <w:tc>
          <w:tcPr>
            <w:tcW w:w="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11,675</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4,356</w:t>
            </w:r>
          </w:p>
        </w:tc>
        <w:tc>
          <w:tcPr>
            <w:tcW w:w="120" w:type="dxa"/>
            <w:vAlign w:val="bottom"/>
            <w:tcBorders>
              <w:right w:val="single" w:sz="8" w:color="CCEEFF"/>
            </w:tcBorders>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3,516</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060" w:type="dxa"/>
            <w:vAlign w:val="bottom"/>
            <w:gridSpan w:val="4"/>
          </w:tcPr>
          <w:p>
            <w:pPr>
              <w:ind w:left="180"/>
              <w:spacing w:after="0"/>
              <w:rPr>
                <w:sz w:val="20"/>
                <w:szCs w:val="20"/>
                <w:color w:val="auto"/>
              </w:rPr>
            </w:pPr>
            <w:r>
              <w:rPr>
                <w:rFonts w:ascii="Arial" w:cs="Arial" w:eastAsia="Arial" w:hAnsi="Arial"/>
                <w:sz w:val="18"/>
                <w:szCs w:val="18"/>
                <w:color w:val="auto"/>
                <w:w w:val="96"/>
              </w:rPr>
              <w:t>Diluted weighted-average shares of common stock outstanding</w:t>
            </w: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577,066</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510,909</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439,153</w:t>
            </w:r>
          </w:p>
        </w:tc>
        <w:tc>
          <w:tcPr>
            <w:tcW w:w="0" w:type="dxa"/>
            <w:vAlign w:val="bottom"/>
          </w:tcPr>
          <w:p>
            <w:pPr>
              <w:spacing w:after="0"/>
              <w:rPr>
                <w:sz w:val="1"/>
                <w:szCs w:val="1"/>
                <w:color w:val="auto"/>
              </w:rPr>
            </w:pPr>
          </w:p>
        </w:tc>
      </w:tr>
      <w:tr>
        <w:trPr>
          <w:trHeight w:val="21"/>
        </w:trPr>
        <w:tc>
          <w:tcPr>
            <w:tcW w:w="5100" w:type="dxa"/>
            <w:vAlign w:val="bottom"/>
            <w:gridSpan w:val="5"/>
            <w:vMerge w:val="restart"/>
          </w:tcPr>
          <w:p>
            <w:pPr>
              <w:spacing w:after="0"/>
              <w:rPr>
                <w:sz w:val="20"/>
                <w:szCs w:val="20"/>
                <w:color w:val="auto"/>
              </w:rPr>
            </w:pPr>
            <w:r>
              <w:rPr>
                <w:rFonts w:ascii="Arial" w:cs="Arial" w:eastAsia="Arial" w:hAnsi="Arial"/>
                <w:sz w:val="18"/>
                <w:szCs w:val="18"/>
                <w:i w:val="1"/>
                <w:iCs w:val="1"/>
                <w:color w:val="auto"/>
              </w:rPr>
              <w:t>Basic and Diluted Earnings Per Share</w:t>
            </w: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5100" w:type="dxa"/>
            <w:vAlign w:val="bottom"/>
            <w:gridSpan w:val="5"/>
            <w:vMerge w:val="continue"/>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506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00" w:type="dxa"/>
            <w:vAlign w:val="bottom"/>
          </w:tcPr>
          <w:p>
            <w:pPr>
              <w:jc w:val="right"/>
              <w:ind w:right="712"/>
              <w:spacing w:after="0" w:line="172"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jc w:val="center"/>
              <w:ind w:right="372"/>
              <w:spacing w:after="0" w:line="172" w:lineRule="exact"/>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jc w:val="right"/>
              <w:ind w:right="732"/>
              <w:spacing w:after="0" w:line="172" w:lineRule="exact"/>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0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Basic:</w:t>
            </w:r>
          </w:p>
        </w:tc>
        <w:tc>
          <w:tcPr>
            <w:tcW w:w="2860" w:type="dxa"/>
            <w:vAlign w:val="bottom"/>
            <w:gridSpan w:val="2"/>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200" w:type="dxa"/>
            <w:vAlign w:val="bottom"/>
            <w:gridSpan w:val="2"/>
            <w:vMerge w:val="continue"/>
          </w:tcPr>
          <w:p>
            <w:pPr>
              <w:spacing w:after="0"/>
              <w:rPr>
                <w:sz w:val="18"/>
                <w:szCs w:val="18"/>
                <w:color w:val="auto"/>
              </w:rPr>
            </w:pPr>
          </w:p>
        </w:tc>
        <w:tc>
          <w:tcPr>
            <w:tcW w:w="28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50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Net income attributable to common stockholders</w:t>
            </w:r>
          </w:p>
        </w:tc>
        <w:tc>
          <w:tcPr>
            <w:tcW w:w="4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1,013,851</w:t>
            </w:r>
          </w:p>
        </w:tc>
        <w:tc>
          <w:tcPr>
            <w:tcW w:w="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75"/>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891,674</w:t>
            </w:r>
          </w:p>
        </w:tc>
        <w:tc>
          <w:tcPr>
            <w:tcW w:w="5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545,964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060" w:type="dxa"/>
            <w:vAlign w:val="bottom"/>
            <w:tcBorders>
              <w:bottom w:val="single" w:sz="8" w:color="CCEEFF"/>
            </w:tcBorders>
            <w:gridSpan w:val="4"/>
          </w:tcPr>
          <w:p>
            <w:pPr>
              <w:ind w:left="200"/>
              <w:spacing w:after="0"/>
              <w:rPr>
                <w:sz w:val="20"/>
                <w:szCs w:val="20"/>
                <w:color w:val="auto"/>
              </w:rPr>
            </w:pPr>
            <w:r>
              <w:rPr>
                <w:rFonts w:ascii="Arial" w:cs="Arial" w:eastAsia="Arial" w:hAnsi="Arial"/>
                <w:sz w:val="18"/>
                <w:szCs w:val="18"/>
                <w:color w:val="auto"/>
              </w:rPr>
              <w:t>Weighted-average shares of common stock outstanding</w:t>
            </w: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564,467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506,141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435,071</w:t>
            </w:r>
          </w:p>
        </w:tc>
        <w:tc>
          <w:tcPr>
            <w:tcW w:w="0" w:type="dxa"/>
            <w:vAlign w:val="bottom"/>
          </w:tcPr>
          <w:p>
            <w:pPr>
              <w:spacing w:after="0"/>
              <w:rPr>
                <w:sz w:val="1"/>
                <w:szCs w:val="1"/>
                <w:color w:val="auto"/>
              </w:rPr>
            </w:pPr>
          </w:p>
        </w:tc>
      </w:tr>
      <w:tr>
        <w:trPr>
          <w:trHeight w:val="248"/>
        </w:trPr>
        <w:tc>
          <w:tcPr>
            <w:tcW w:w="40" w:type="dxa"/>
            <w:vAlign w:val="bottom"/>
            <w:tcBorders>
              <w:right w:val="single" w:sz="8" w:color="CCEEFF"/>
            </w:tcBorders>
          </w:tcPr>
          <w:p>
            <w:pPr>
              <w:spacing w:after="0"/>
              <w:rPr>
                <w:sz w:val="21"/>
                <w:szCs w:val="21"/>
                <w:color w:val="auto"/>
              </w:rPr>
            </w:pPr>
          </w:p>
        </w:tc>
        <w:tc>
          <w:tcPr>
            <w:tcW w:w="506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8"/>
                <w:szCs w:val="18"/>
                <w:color w:val="auto"/>
              </w:rPr>
              <w:t>Basic EPS</w:t>
            </w: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5"/>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00" w:type="dxa"/>
            <w:vAlign w:val="bottom"/>
            <w:tcBorders>
              <w:top w:val="single" w:sz="8" w:color="CCEEFF"/>
            </w:tcBorders>
            <w:gridSpan w:val="2"/>
          </w:tcPr>
          <w:p>
            <w:pPr>
              <w:spacing w:after="0" w:line="20" w:lineRule="exact"/>
              <w:rPr>
                <w:sz w:val="1"/>
                <w:szCs w:val="1"/>
                <w:color w:val="auto"/>
              </w:rPr>
            </w:pPr>
          </w:p>
        </w:tc>
        <w:tc>
          <w:tcPr>
            <w:tcW w:w="286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50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Diluted:</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060" w:type="dxa"/>
            <w:vAlign w:val="bottom"/>
            <w:gridSpan w:val="4"/>
          </w:tcPr>
          <w:p>
            <w:pPr>
              <w:ind w:left="200"/>
              <w:spacing w:after="0"/>
              <w:rPr>
                <w:sz w:val="20"/>
                <w:szCs w:val="20"/>
                <w:color w:val="auto"/>
              </w:rPr>
            </w:pPr>
            <w:r>
              <w:rPr>
                <w:rFonts w:ascii="Arial" w:cs="Arial" w:eastAsia="Arial" w:hAnsi="Arial"/>
                <w:sz w:val="18"/>
                <w:szCs w:val="18"/>
                <w:color w:val="auto"/>
              </w:rPr>
              <w:t>Net income attributable to common stockholders</w:t>
            </w:r>
          </w:p>
        </w:tc>
        <w:tc>
          <w:tcPr>
            <w:tcW w:w="460" w:type="dxa"/>
            <w:vAlign w:val="bottom"/>
            <w:gridSpan w:val="2"/>
          </w:tcPr>
          <w:p>
            <w:pPr>
              <w:jc w:val="right"/>
              <w:ind w:right="2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1,013,851</w:t>
            </w:r>
          </w:p>
        </w:tc>
        <w:tc>
          <w:tcPr>
            <w:tcW w:w="100" w:type="dxa"/>
            <w:vAlign w:val="bottom"/>
          </w:tcPr>
          <w:p>
            <w:pPr>
              <w:spacing w:after="0"/>
              <w:rPr>
                <w:sz w:val="19"/>
                <w:szCs w:val="19"/>
                <w:color w:val="auto"/>
              </w:rPr>
            </w:pPr>
          </w:p>
        </w:tc>
        <w:tc>
          <w:tcPr>
            <w:tcW w:w="480" w:type="dxa"/>
            <w:vAlign w:val="bottom"/>
            <w:gridSpan w:val="2"/>
          </w:tcPr>
          <w:p>
            <w:pPr>
              <w:jc w:val="right"/>
              <w:ind w:right="275"/>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891,674</w:t>
            </w:r>
          </w:p>
        </w:tc>
        <w:tc>
          <w:tcPr>
            <w:tcW w:w="58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545,964</w:t>
            </w: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50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w w:val="96"/>
              </w:rPr>
              <w:t>Diluted weighted-average shares of common stock outstanding</w:t>
            </w:r>
          </w:p>
        </w:tc>
        <w:tc>
          <w:tcPr>
            <w:tcW w:w="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577,066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510,909</w:t>
            </w:r>
          </w:p>
        </w:tc>
        <w:tc>
          <w:tcPr>
            <w:tcW w:w="120" w:type="dxa"/>
            <w:vAlign w:val="bottom"/>
            <w:tcBorders>
              <w:right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439,153</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060" w:type="dxa"/>
            <w:vAlign w:val="bottom"/>
            <w:gridSpan w:val="4"/>
          </w:tcPr>
          <w:p>
            <w:pPr>
              <w:ind w:left="200"/>
              <w:spacing w:after="0"/>
              <w:rPr>
                <w:sz w:val="20"/>
                <w:szCs w:val="20"/>
                <w:color w:val="auto"/>
              </w:rPr>
            </w:pPr>
            <w:r>
              <w:rPr>
                <w:rFonts w:ascii="Arial" w:cs="Arial" w:eastAsia="Arial" w:hAnsi="Arial"/>
                <w:sz w:val="18"/>
                <w:szCs w:val="18"/>
                <w:color w:val="auto"/>
              </w:rPr>
              <w:t>Diluted EPS</w:t>
            </w:r>
          </w:p>
        </w:tc>
        <w:tc>
          <w:tcPr>
            <w:tcW w:w="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bottom w:val="single" w:sz="8" w:color="auto"/>
            </w:tcBorders>
          </w:tcPr>
          <w:p>
            <w:pPr>
              <w:jc w:val="right"/>
              <w:ind w:right="275"/>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 Stock-Based Compensation</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2017 Stock Incentive Plan (the “Plan”) is designed to provide long-term equity-based compensation to our directors and employees. It is administered by the Compensation Committee of the Board of Directors. Awards under the Plan may be granted with respect to an aggregate of 12,750,000 shares of common stock and may be issued in the form of: (a) incentive stock options, (b) non-qualified stock options, (c) stock appreciation rights, (d) dividend equivalent rights, (e) restricted stock, (f) restricted stock units or (g) unrestricted stock. In addition, the Plan limits the total number of shares of common stock with respect to which awards may be granted to any employee or director during any one calendar year At December 31, 2021, 10,988,035 shares of common stock remained available for issuance by us as equity awards under the Plan.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Time-Based Restricted Stock</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years ended December 31, 2021, 2020 and 2019, the Company granted approximately 172,000, 179,000, and 177,000 shares of restricted stock, respectively, under the Plan, respectively, subject to vesting restrictions based on service. Such restricted time-based stock awards vest ratably on an annual basis over a service period of one to three years. The number of shares granted was determined based on the 10-day volume weighted average price using the 10 trading days immediately preceding the grant date.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Restricted Stock Units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years ended December 31, 2021, 2020 and 2019 the Company granted approximately 188,000, 239,000, and 158,000 restricted stock units, respectively, under the Plan subject to vesting restrictions based on specified absolute and relative total stockholder return goals measured over a three-year performance period. We used a Monte Carlo Simulation (risk-neutral approach) to determine the number of shares that may be earned and vested pursuant to the award as these awards were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5" w:name="page136"/>
    <w:bookmarkEnd w:id="1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deemed to have a market condition. The risk-free interest rate assumptions used in the Monte Carlo Simulation were determined based on the zero-coupon risk-free rate of 0.2% - 2.4% and an expected price volatility of 13.8% - 35.0%. The expected price volatility was calculated based on both historical and implied volatility.</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the stock-based compensation expense recorded as General and administrative expense in the Statement of Operations: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b w:val="1"/>
                <w:bCs w:val="1"/>
                <w:color w:val="auto"/>
                <w:w w:val="94"/>
              </w:rPr>
              <w:t>Year Ended December 31,</w:t>
            </w: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51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300" w:type="dxa"/>
            <w:vAlign w:val="bottom"/>
          </w:tcPr>
          <w:p>
            <w:pPr>
              <w:jc w:val="right"/>
              <w:ind w:right="75"/>
              <w:spacing w:after="0" w:line="172" w:lineRule="exact"/>
              <w:rPr>
                <w:sz w:val="20"/>
                <w:szCs w:val="20"/>
                <w:color w:val="auto"/>
              </w:rPr>
            </w:pPr>
            <w:r>
              <w:rPr>
                <w:rFonts w:ascii="Arial" w:cs="Arial" w:eastAsia="Arial" w:hAnsi="Arial"/>
                <w:sz w:val="16"/>
                <w:szCs w:val="16"/>
                <w:b w:val="1"/>
                <w:bCs w:val="1"/>
                <w:color w:val="auto"/>
              </w:rPr>
              <w:t>2021</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Pr>
          <w:p>
            <w:pPr>
              <w:jc w:val="right"/>
              <w:ind w:right="735"/>
              <w:spacing w:after="0" w:line="172"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tcPr>
          <w:p>
            <w:pPr>
              <w:jc w:val="right"/>
              <w:ind w:right="755"/>
              <w:spacing w:after="0" w:line="172" w:lineRule="exact"/>
              <w:rPr>
                <w:sz w:val="20"/>
                <w:szCs w:val="20"/>
                <w:color w:val="auto"/>
              </w:rPr>
            </w:pPr>
            <w:r>
              <w:rPr>
                <w:rFonts w:ascii="Arial" w:cs="Arial" w:eastAsia="Arial" w:hAnsi="Arial"/>
                <w:sz w:val="16"/>
                <w:szCs w:val="16"/>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300" w:type="dxa"/>
            <w:vAlign w:val="bottom"/>
            <w:shd w:val="clear" w:color="auto" w:fill="CCEEFF"/>
          </w:tcPr>
          <w:p>
            <w:pPr>
              <w:jc w:val="right"/>
              <w:ind w:right="1115"/>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activity of our incentive stock, time-based restricted stock and performance-based restricted stock units: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200" w:type="dxa"/>
            <w:vAlign w:val="bottom"/>
            <w:gridSpan w:val="2"/>
            <w:vMerge w:val="restart"/>
          </w:tcPr>
          <w:p>
            <w:pPr>
              <w:ind w:left="82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6"/>
                <w:szCs w:val="16"/>
                <w:color w:val="auto"/>
              </w:rPr>
            </w:pPr>
          </w:p>
        </w:tc>
        <w:tc>
          <w:tcPr>
            <w:tcW w:w="1940" w:type="dxa"/>
            <w:vAlign w:val="bottom"/>
          </w:tcPr>
          <w:p>
            <w:pPr>
              <w:jc w:val="right"/>
              <w:ind w:right="91"/>
              <w:spacing w:after="0"/>
              <w:rPr>
                <w:sz w:val="20"/>
                <w:szCs w:val="20"/>
                <w:color w:val="auto"/>
              </w:rPr>
            </w:pPr>
            <w:r>
              <w:rPr>
                <w:rFonts w:ascii="Arial" w:cs="Arial" w:eastAsia="Arial" w:hAnsi="Arial"/>
                <w:sz w:val="16"/>
                <w:szCs w:val="16"/>
                <w:b w:val="1"/>
                <w:bCs w:val="1"/>
                <w:color w:val="auto"/>
                <w:w w:val="93"/>
              </w:rPr>
              <w:t>Weighted Average Grant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9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for per share data)</w:t>
            </w:r>
          </w:p>
        </w:tc>
        <w:tc>
          <w:tcPr>
            <w:tcW w:w="22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tcPr>
          <w:p>
            <w:pPr>
              <w:jc w:val="right"/>
              <w:ind w:right="411"/>
              <w:spacing w:after="0" w:line="175" w:lineRule="exact"/>
              <w:rPr>
                <w:sz w:val="20"/>
                <w:szCs w:val="20"/>
                <w:color w:val="auto"/>
              </w:rPr>
            </w:pPr>
            <w:r>
              <w:rPr>
                <w:rFonts w:ascii="Arial" w:cs="Arial" w:eastAsia="Arial" w:hAnsi="Arial"/>
                <w:sz w:val="16"/>
                <w:szCs w:val="16"/>
                <w:b w:val="1"/>
                <w:bCs w:val="1"/>
                <w:color w:val="auto"/>
              </w:rPr>
              <w:t>Date Fair Value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420" w:type="dxa"/>
            <w:vAlign w:val="bottom"/>
            <w:tcBorders>
              <w:top w:val="single" w:sz="8" w:color="auto"/>
              <w:bottom w:val="single" w:sz="8" w:color="CCEEFF"/>
            </w:tcBorders>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as of December 31, 2018</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2100" w:type="dxa"/>
            <w:vAlign w:val="bottom"/>
          </w:tcPr>
          <w:p>
            <w:pPr>
              <w:jc w:val="right"/>
              <w:spacing w:after="0"/>
              <w:rPr>
                <w:sz w:val="20"/>
                <w:szCs w:val="20"/>
                <w:color w:val="auto"/>
              </w:rPr>
            </w:pPr>
            <w:r>
              <w:rPr>
                <w:rFonts w:ascii="Arial" w:cs="Arial" w:eastAsia="Arial" w:hAnsi="Arial"/>
                <w:sz w:val="18"/>
                <w:szCs w:val="18"/>
                <w:color w:val="auto"/>
              </w:rPr>
              <w:t>338,788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2100" w:type="dxa"/>
            <w:vAlign w:val="bottom"/>
          </w:tcPr>
          <w:p>
            <w:pPr>
              <w:jc w:val="right"/>
              <w:spacing w:after="0"/>
              <w:rPr>
                <w:sz w:val="20"/>
                <w:szCs w:val="20"/>
                <w:color w:val="auto"/>
              </w:rPr>
            </w:pPr>
            <w:r>
              <w:rPr>
                <w:rFonts w:ascii="Arial" w:cs="Arial" w:eastAsia="Arial" w:hAnsi="Arial"/>
                <w:sz w:val="18"/>
                <w:szCs w:val="18"/>
                <w:color w:val="auto"/>
              </w:rPr>
              <w:t>(13,783)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20.44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Canceled</w:t>
            </w:r>
          </w:p>
        </w:tc>
        <w:tc>
          <w:tcPr>
            <w:tcW w:w="2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9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Outstanding as of December 31, 2019</w:t>
            </w:r>
          </w:p>
        </w:tc>
        <w:tc>
          <w:tcPr>
            <w:tcW w:w="2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601,472</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Granted</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423,181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Vested</w:t>
            </w:r>
          </w:p>
        </w:tc>
        <w:tc>
          <w:tcPr>
            <w:tcW w:w="2100" w:type="dxa"/>
            <w:vAlign w:val="bottom"/>
          </w:tcPr>
          <w:p>
            <w:pPr>
              <w:jc w:val="right"/>
              <w:spacing w:after="0"/>
              <w:rPr>
                <w:sz w:val="20"/>
                <w:szCs w:val="20"/>
                <w:color w:val="auto"/>
              </w:rPr>
            </w:pPr>
            <w:r>
              <w:rPr>
                <w:rFonts w:ascii="Arial" w:cs="Arial" w:eastAsia="Arial" w:hAnsi="Arial"/>
                <w:sz w:val="18"/>
                <w:szCs w:val="18"/>
                <w:color w:val="auto"/>
              </w:rPr>
              <w:t>(144,694)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Canceled</w:t>
            </w:r>
          </w:p>
        </w:tc>
        <w:tc>
          <w:tcPr>
            <w:tcW w:w="2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6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as of December 31, 2020</w:t>
            </w:r>
          </w:p>
        </w:tc>
        <w:tc>
          <w:tcPr>
            <w:tcW w:w="2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855,304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2100" w:type="dxa"/>
            <w:vAlign w:val="bottom"/>
          </w:tcPr>
          <w:p>
            <w:pPr>
              <w:jc w:val="right"/>
              <w:spacing w:after="0"/>
              <w:rPr>
                <w:sz w:val="20"/>
                <w:szCs w:val="20"/>
                <w:color w:val="auto"/>
              </w:rPr>
            </w:pPr>
            <w:r>
              <w:rPr>
                <w:rFonts w:ascii="Arial" w:cs="Arial" w:eastAsia="Arial" w:hAnsi="Arial"/>
                <w:sz w:val="18"/>
                <w:szCs w:val="18"/>
                <w:color w:val="auto"/>
              </w:rPr>
              <w:t>494,335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18.79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2100" w:type="dxa"/>
            <w:vAlign w:val="bottom"/>
          </w:tcPr>
          <w:p>
            <w:pPr>
              <w:jc w:val="right"/>
              <w:spacing w:after="0"/>
              <w:rPr>
                <w:sz w:val="20"/>
                <w:szCs w:val="20"/>
                <w:color w:val="auto"/>
              </w:rPr>
            </w:pPr>
            <w:r>
              <w:rPr>
                <w:rFonts w:ascii="Arial" w:cs="Arial" w:eastAsia="Arial" w:hAnsi="Arial"/>
                <w:sz w:val="18"/>
                <w:szCs w:val="18"/>
                <w:color w:val="auto"/>
              </w:rPr>
              <w:t>(64,271)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19.58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Canceled</w:t>
            </w:r>
          </w:p>
        </w:tc>
        <w:tc>
          <w:tcPr>
            <w:tcW w:w="2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Outstanding as of December 31, 2021</w:t>
            </w:r>
          </w:p>
        </w:tc>
        <w:tc>
          <w:tcPr>
            <w:tcW w:w="2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888,164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2021, there was $9.8 million of unrecognized compensation cost related to non-vested stock-based compensation arrangements under the Plan. This cost is expected to be recognized over a weighted average period of 1.7 years.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 Income Taxes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conduct our operations as a REIT for U.S. federal income tax purposes. U.S. federal income tax law generally requires that a REIT distribute annually at least 90% of its REIT taxable income, without regard to the deduction for dividends paid and excluding net capital gains, and that it pays taxes at regular corporate income tax rates to the extent that it annually distributes less than 100% of its taxable income. We intend to meet those requirements and as a result, we generally will not be subject to federal income tax except for the TRS operations.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TRS operations (represented by the four golf course businesses) are able to engage in activities resulting in income that would not be qualifying income for a REIT. As a result, certain of our activities which occur within our TRS operations are subject to federal and state income taxes. Accordingly, our tax provision and deferred tax analysis are primarily from the results of TRS activities.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6" w:name="page137"/>
    <w:bookmarkEnd w:id="1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our income tax expense (benefit) was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8"/>
          </w:tcPr>
          <w:p>
            <w:pPr>
              <w:ind w:left="420"/>
              <w:spacing w:after="0"/>
              <w:rPr>
                <w:sz w:val="20"/>
                <w:szCs w:val="20"/>
                <w:color w:val="auto"/>
              </w:rPr>
            </w:pPr>
            <w:r>
              <w:rPr>
                <w:rFonts w:ascii="Arial" w:cs="Arial" w:eastAsia="Arial" w:hAnsi="Arial"/>
                <w:sz w:val="16"/>
                <w:szCs w:val="16"/>
                <w:b w:val="1"/>
                <w:bCs w:val="1"/>
                <w:color w:val="auto"/>
              </w:rPr>
              <w:t>Year Ended December 31,</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23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Pr>
          <w:p>
            <w:pPr>
              <w:spacing w:after="0"/>
              <w:rPr>
                <w:sz w:val="14"/>
                <w:szCs w:val="14"/>
                <w:color w:val="auto"/>
              </w:rPr>
            </w:pPr>
          </w:p>
        </w:tc>
        <w:tc>
          <w:tcPr>
            <w:tcW w:w="860" w:type="dxa"/>
            <w:vAlign w:val="bottom"/>
            <w:gridSpan w:val="2"/>
          </w:tcPr>
          <w:p>
            <w:pPr>
              <w:ind w:left="40"/>
              <w:spacing w:after="0" w:line="172" w:lineRule="exact"/>
              <w:rPr>
                <w:sz w:val="20"/>
                <w:szCs w:val="20"/>
                <w:color w:val="auto"/>
              </w:rPr>
            </w:pPr>
            <w:r>
              <w:rPr>
                <w:rFonts w:ascii="Arial" w:cs="Arial" w:eastAsia="Arial" w:hAnsi="Arial"/>
                <w:sz w:val="16"/>
                <w:szCs w:val="16"/>
                <w:b w:val="1"/>
                <w:bCs w:val="1"/>
                <w:color w:val="auto"/>
              </w:rPr>
              <w:t>Current</w:t>
            </w:r>
          </w:p>
        </w:tc>
        <w:tc>
          <w:tcPr>
            <w:tcW w:w="140" w:type="dxa"/>
            <w:vAlign w:val="bottom"/>
          </w:tcPr>
          <w:p>
            <w:pPr>
              <w:spacing w:after="0"/>
              <w:rPr>
                <w:sz w:val="14"/>
                <w:szCs w:val="14"/>
                <w:color w:val="auto"/>
              </w:rPr>
            </w:pPr>
          </w:p>
        </w:tc>
        <w:tc>
          <w:tcPr>
            <w:tcW w:w="860" w:type="dxa"/>
            <w:vAlign w:val="bottom"/>
            <w:gridSpan w:val="2"/>
          </w:tcPr>
          <w:p>
            <w:pPr>
              <w:jc w:val="center"/>
              <w:ind w:right="240"/>
              <w:spacing w:after="0" w:line="172" w:lineRule="exact"/>
              <w:rPr>
                <w:sz w:val="20"/>
                <w:szCs w:val="20"/>
                <w:color w:val="auto"/>
              </w:rPr>
            </w:pPr>
            <w:r>
              <w:rPr>
                <w:rFonts w:ascii="Arial" w:cs="Arial" w:eastAsia="Arial" w:hAnsi="Arial"/>
                <w:sz w:val="16"/>
                <w:szCs w:val="16"/>
                <w:b w:val="1"/>
                <w:bCs w:val="1"/>
                <w:color w:val="auto"/>
                <w:w w:val="94"/>
              </w:rPr>
              <w:t>Deferred</w:t>
            </w:r>
          </w:p>
        </w:tc>
        <w:tc>
          <w:tcPr>
            <w:tcW w:w="200" w:type="dxa"/>
            <w:vAlign w:val="bottom"/>
          </w:tcPr>
          <w:p>
            <w:pPr>
              <w:spacing w:after="0"/>
              <w:rPr>
                <w:sz w:val="14"/>
                <w:szCs w:val="14"/>
                <w:color w:val="auto"/>
              </w:rPr>
            </w:pPr>
          </w:p>
        </w:tc>
        <w:tc>
          <w:tcPr>
            <w:tcW w:w="700" w:type="dxa"/>
            <w:vAlign w:val="bottom"/>
          </w:tcPr>
          <w:p>
            <w:pPr>
              <w:jc w:val="right"/>
              <w:ind w:right="172"/>
              <w:spacing w:after="0" w:line="172" w:lineRule="exact"/>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40"/>
              <w:spacing w:after="0" w:line="172" w:lineRule="exact"/>
              <w:rPr>
                <w:sz w:val="20"/>
                <w:szCs w:val="20"/>
                <w:color w:val="auto"/>
              </w:rPr>
            </w:pPr>
            <w:r>
              <w:rPr>
                <w:rFonts w:ascii="Arial" w:cs="Arial" w:eastAsia="Arial" w:hAnsi="Arial"/>
                <w:sz w:val="16"/>
                <w:szCs w:val="16"/>
                <w:b w:val="1"/>
                <w:bCs w:val="1"/>
                <w:color w:val="auto"/>
              </w:rPr>
              <w:t>Current</w:t>
            </w:r>
          </w:p>
        </w:tc>
        <w:tc>
          <w:tcPr>
            <w:tcW w:w="140" w:type="dxa"/>
            <w:vAlign w:val="bottom"/>
          </w:tcPr>
          <w:p>
            <w:pPr>
              <w:spacing w:after="0"/>
              <w:rPr>
                <w:sz w:val="14"/>
                <w:szCs w:val="14"/>
                <w:color w:val="auto"/>
              </w:rPr>
            </w:pPr>
          </w:p>
        </w:tc>
        <w:tc>
          <w:tcPr>
            <w:tcW w:w="880" w:type="dxa"/>
            <w:vAlign w:val="bottom"/>
            <w:gridSpan w:val="2"/>
          </w:tcPr>
          <w:p>
            <w:pPr>
              <w:spacing w:after="0" w:line="172" w:lineRule="exact"/>
              <w:rPr>
                <w:sz w:val="20"/>
                <w:szCs w:val="20"/>
                <w:color w:val="auto"/>
              </w:rPr>
            </w:pPr>
            <w:r>
              <w:rPr>
                <w:rFonts w:ascii="Arial" w:cs="Arial" w:eastAsia="Arial" w:hAnsi="Arial"/>
                <w:sz w:val="16"/>
                <w:szCs w:val="16"/>
                <w:b w:val="1"/>
                <w:bCs w:val="1"/>
                <w:color w:val="auto"/>
              </w:rPr>
              <w:t>Deferred</w:t>
            </w:r>
          </w:p>
        </w:tc>
        <w:tc>
          <w:tcPr>
            <w:tcW w:w="180" w:type="dxa"/>
            <w:vAlign w:val="bottom"/>
          </w:tcPr>
          <w:p>
            <w:pPr>
              <w:spacing w:after="0"/>
              <w:rPr>
                <w:sz w:val="14"/>
                <w:szCs w:val="14"/>
                <w:color w:val="auto"/>
              </w:rPr>
            </w:pPr>
          </w:p>
        </w:tc>
        <w:tc>
          <w:tcPr>
            <w:tcW w:w="700" w:type="dxa"/>
            <w:vAlign w:val="bottom"/>
          </w:tcPr>
          <w:p>
            <w:pPr>
              <w:jc w:val="right"/>
              <w:ind w:right="172"/>
              <w:spacing w:after="0" w:line="172" w:lineRule="exact"/>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20"/>
              <w:spacing w:after="0" w:line="172" w:lineRule="exact"/>
              <w:rPr>
                <w:sz w:val="20"/>
                <w:szCs w:val="20"/>
                <w:color w:val="auto"/>
              </w:rPr>
            </w:pPr>
            <w:r>
              <w:rPr>
                <w:rFonts w:ascii="Arial" w:cs="Arial" w:eastAsia="Arial" w:hAnsi="Arial"/>
                <w:sz w:val="16"/>
                <w:szCs w:val="16"/>
                <w:b w:val="1"/>
                <w:bCs w:val="1"/>
                <w:color w:val="auto"/>
              </w:rPr>
              <w:t>Current</w:t>
            </w:r>
          </w:p>
        </w:tc>
        <w:tc>
          <w:tcPr>
            <w:tcW w:w="120" w:type="dxa"/>
            <w:vAlign w:val="bottom"/>
          </w:tcPr>
          <w:p>
            <w:pPr>
              <w:spacing w:after="0"/>
              <w:rPr>
                <w:sz w:val="14"/>
                <w:szCs w:val="14"/>
                <w:color w:val="auto"/>
              </w:rPr>
            </w:pPr>
          </w:p>
        </w:tc>
        <w:tc>
          <w:tcPr>
            <w:tcW w:w="880" w:type="dxa"/>
            <w:vAlign w:val="bottom"/>
            <w:gridSpan w:val="2"/>
          </w:tcPr>
          <w:p>
            <w:pPr>
              <w:jc w:val="center"/>
              <w:ind w:right="220"/>
              <w:spacing w:after="0" w:line="172" w:lineRule="exact"/>
              <w:rPr>
                <w:sz w:val="20"/>
                <w:szCs w:val="20"/>
                <w:color w:val="auto"/>
              </w:rPr>
            </w:pPr>
            <w:r>
              <w:rPr>
                <w:rFonts w:ascii="Arial" w:cs="Arial" w:eastAsia="Arial" w:hAnsi="Arial"/>
                <w:sz w:val="16"/>
                <w:szCs w:val="16"/>
                <w:b w:val="1"/>
                <w:bCs w:val="1"/>
                <w:color w:val="auto"/>
                <w:w w:val="94"/>
              </w:rPr>
              <w:t>Deferred</w:t>
            </w:r>
          </w:p>
        </w:tc>
        <w:tc>
          <w:tcPr>
            <w:tcW w:w="200" w:type="dxa"/>
            <w:vAlign w:val="bottom"/>
          </w:tcPr>
          <w:p>
            <w:pPr>
              <w:spacing w:after="0"/>
              <w:rPr>
                <w:sz w:val="14"/>
                <w:szCs w:val="14"/>
                <w:color w:val="auto"/>
              </w:rPr>
            </w:pPr>
          </w:p>
        </w:tc>
        <w:tc>
          <w:tcPr>
            <w:tcW w:w="700" w:type="dxa"/>
            <w:vAlign w:val="bottom"/>
          </w:tcPr>
          <w:p>
            <w:pPr>
              <w:jc w:val="right"/>
              <w:ind w:right="172"/>
              <w:spacing w:after="0" w:line="172" w:lineRule="exact"/>
              <w:rPr>
                <w:sz w:val="20"/>
                <w:szCs w:val="20"/>
                <w:color w:val="auto"/>
              </w:rPr>
            </w:pPr>
            <w:r>
              <w:rPr>
                <w:rFonts w:ascii="Arial" w:cs="Arial" w:eastAsia="Arial" w:hAnsi="Arial"/>
                <w:sz w:val="16"/>
                <w:szCs w:val="16"/>
                <w:b w:val="1"/>
                <w:bCs w:val="1"/>
                <w:color w:val="auto"/>
              </w:rPr>
              <w:t>Total</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Federal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r>
      <w:tr>
        <w:trPr>
          <w:trHeight w:val="230"/>
        </w:trPr>
        <w:tc>
          <w:tcPr>
            <w:tcW w:w="20" w:type="dxa"/>
            <w:vAlign w:val="bottom"/>
            <w:tcBorders>
              <w:bottom w:val="single" w:sz="8" w:color="CCEEFF"/>
            </w:tcBorders>
          </w:tcPr>
          <w:p>
            <w:pPr>
              <w:spacing w:after="0"/>
              <w:rPr>
                <w:sz w:val="19"/>
                <w:szCs w:val="19"/>
                <w:color w:val="auto"/>
              </w:rPr>
            </w:pPr>
          </w:p>
        </w:tc>
        <w:tc>
          <w:tcPr>
            <w:tcW w:w="230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State</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93"/>
              </w:rPr>
              <w:t>(12)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9"/>
              </w:rPr>
              <w:t>(4)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2021 and 2020, the net effects of temporary differences that gave rise to significant portions of the deferred tax assets and deferred tax liabilities were: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1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16"/>
                <w:szCs w:val="16"/>
                <w:color w:val="auto"/>
              </w:rPr>
            </w:pPr>
          </w:p>
        </w:tc>
        <w:tc>
          <w:tcPr>
            <w:tcW w:w="188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 31, 2021</w:t>
            </w:r>
          </w:p>
        </w:tc>
        <w:tc>
          <w:tcPr>
            <w:tcW w:w="220" w:type="dxa"/>
            <w:vAlign w:val="bottom"/>
          </w:tcPr>
          <w:p>
            <w:pPr>
              <w:spacing w:after="0"/>
              <w:rPr>
                <w:sz w:val="16"/>
                <w:szCs w:val="16"/>
                <w:color w:val="auto"/>
              </w:rPr>
            </w:pPr>
          </w:p>
        </w:tc>
        <w:tc>
          <w:tcPr>
            <w:tcW w:w="1780" w:type="dxa"/>
            <w:vAlign w:val="bottom"/>
          </w:tcPr>
          <w:p>
            <w:pPr>
              <w:ind w:left="120"/>
              <w:spacing w:after="0"/>
              <w:rPr>
                <w:sz w:val="20"/>
                <w:szCs w:val="20"/>
                <w:color w:val="auto"/>
              </w:rPr>
            </w:pPr>
            <w:r>
              <w:rPr>
                <w:rFonts w:ascii="Arial" w:cs="Arial" w:eastAsia="Arial" w:hAnsi="Arial"/>
                <w:sz w:val="16"/>
                <w:szCs w:val="16"/>
                <w:b w:val="1"/>
                <w:bCs w:val="1"/>
                <w:color w:val="auto"/>
              </w:rPr>
              <w:t>December 31, 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Deferred tax assets:</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tcPr>
          <w:p>
            <w:pPr>
              <w:ind w:left="200"/>
              <w:spacing w:after="0"/>
              <w:rPr>
                <w:sz w:val="20"/>
                <w:szCs w:val="20"/>
                <w:color w:val="auto"/>
              </w:rPr>
            </w:pPr>
            <w:r>
              <w:rPr>
                <w:rFonts w:ascii="Arial" w:cs="Arial" w:eastAsia="Arial" w:hAnsi="Arial"/>
                <w:sz w:val="18"/>
                <w:szCs w:val="18"/>
                <w:color w:val="auto"/>
              </w:rPr>
              <w:t>Lease liability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2,375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Pr>
          <w:p>
            <w:pPr>
              <w:ind w:left="152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Accruals, reserves and other</w:t>
            </w: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ind w:left="1520"/>
              <w:spacing w:after="0"/>
              <w:rPr>
                <w:sz w:val="20"/>
                <w:szCs w:val="20"/>
                <w:color w:val="auto"/>
              </w:rPr>
            </w:pPr>
            <w:r>
              <w:rPr>
                <w:rFonts w:ascii="Arial" w:cs="Arial" w:eastAsia="Arial" w:hAnsi="Arial"/>
                <w:sz w:val="18"/>
                <w:szCs w:val="18"/>
                <w:color w:val="auto"/>
              </w:rPr>
              <w:t>35</w:t>
            </w:r>
          </w:p>
        </w:tc>
      </w:tr>
      <w:tr>
        <w:trPr>
          <w:trHeight w:val="223"/>
        </w:trPr>
        <w:tc>
          <w:tcPr>
            <w:tcW w:w="20" w:type="dxa"/>
            <w:vAlign w:val="bottom"/>
            <w:tcBorders>
              <w:bottom w:val="single" w:sz="8" w:color="CCEEFF"/>
            </w:tcBorders>
          </w:tcPr>
          <w:p>
            <w:pPr>
              <w:spacing w:after="0"/>
              <w:rPr>
                <w:sz w:val="19"/>
                <w:szCs w:val="19"/>
                <w:color w:val="auto"/>
              </w:rPr>
            </w:pPr>
          </w:p>
        </w:tc>
        <w:tc>
          <w:tcPr>
            <w:tcW w:w="712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Total deferred tax assets</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rPr>
              <w:t>35</w:t>
            </w:r>
          </w:p>
        </w:tc>
      </w:tr>
      <w:tr>
        <w:trPr>
          <w:trHeight w:val="209"/>
        </w:trPr>
        <w:tc>
          <w:tcPr>
            <w:tcW w:w="2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Deferred tax liabilities:</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tcPr>
          <w:p>
            <w:pPr>
              <w:ind w:left="200"/>
              <w:spacing w:after="0"/>
              <w:rPr>
                <w:sz w:val="20"/>
                <w:szCs w:val="20"/>
                <w:color w:val="auto"/>
              </w:rPr>
            </w:pPr>
            <w:r>
              <w:rPr>
                <w:rFonts w:ascii="Arial" w:cs="Arial" w:eastAsia="Arial" w:hAnsi="Arial"/>
                <w:sz w:val="18"/>
                <w:szCs w:val="18"/>
                <w:color w:val="auto"/>
              </w:rPr>
              <w:t>Land, buildings and equipment, net</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(3,911)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ind w:left="1220"/>
              <w:spacing w:after="0"/>
              <w:rPr>
                <w:sz w:val="20"/>
                <w:szCs w:val="20"/>
                <w:color w:val="auto"/>
              </w:rPr>
            </w:pPr>
            <w:r>
              <w:rPr>
                <w:rFonts w:ascii="Arial" w:cs="Arial" w:eastAsia="Arial" w:hAnsi="Arial"/>
                <w:sz w:val="18"/>
                <w:szCs w:val="18"/>
                <w:color w:val="auto"/>
                <w:w w:val="94"/>
              </w:rPr>
              <w:t>(3,568)</w:t>
            </w:r>
          </w:p>
        </w:tc>
      </w:tr>
      <w:tr>
        <w:trPr>
          <w:trHeight w:val="229"/>
        </w:trPr>
        <w:tc>
          <w:tcPr>
            <w:tcW w:w="20" w:type="dxa"/>
            <w:vAlign w:val="bottom"/>
            <w:shd w:val="clear" w:color="auto" w:fill="CCEEFF"/>
          </w:tcPr>
          <w:p>
            <w:pPr>
              <w:spacing w:after="0"/>
              <w:rPr>
                <w:sz w:val="19"/>
                <w:szCs w:val="19"/>
                <w:color w:val="auto"/>
              </w:rPr>
            </w:pPr>
          </w:p>
        </w:tc>
        <w:tc>
          <w:tcPr>
            <w:tcW w:w="71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Right of use asset</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Borders>
              <w:bottom w:val="single" w:sz="8" w:color="CCEEFF"/>
            </w:tcBorders>
          </w:tcPr>
          <w:p>
            <w:pPr>
              <w:spacing w:after="0"/>
              <w:rPr>
                <w:sz w:val="19"/>
                <w:szCs w:val="19"/>
                <w:color w:val="auto"/>
              </w:rPr>
            </w:pPr>
          </w:p>
        </w:tc>
        <w:tc>
          <w:tcPr>
            <w:tcW w:w="712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Total deferred tax liabilities</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w w:val="94"/>
              </w:rPr>
              <w:t>(3,568)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12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Net deferred tax liability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w w:val="94"/>
              </w:rPr>
              <w:t>(3,533)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reconciles our effective income tax rate to the historical federal statutory rate of 21% for the years ended December 31, 2021, 2020 and 2019:</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6"/>
                <w:szCs w:val="16"/>
                <w:b w:val="1"/>
                <w:bCs w:val="1"/>
                <w:color w:val="auto"/>
                <w:w w:val="91"/>
              </w:rPr>
              <w:t>Year Ended December 31,</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2021</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2020</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2019</w:t>
            </w:r>
          </w:p>
        </w:tc>
        <w:tc>
          <w:tcPr>
            <w:tcW w:w="960" w:type="dxa"/>
            <w:vAlign w:val="bottom"/>
            <w:tcBorders>
              <w:bottom w:val="single" w:sz="8" w:color="auto"/>
            </w:tcBorders>
          </w:tcPr>
          <w:p>
            <w:pPr>
              <w:spacing w:after="0"/>
              <w:rPr>
                <w:sz w:val="18"/>
                <w:szCs w:val="18"/>
                <w:color w:val="auto"/>
              </w:rPr>
            </w:pPr>
          </w:p>
        </w:tc>
      </w:tr>
      <w:tr>
        <w:trPr>
          <w:trHeight w:val="185"/>
        </w:trPr>
        <w:tc>
          <w:tcPr>
            <w:tcW w:w="20" w:type="dxa"/>
            <w:vAlign w:val="bottom"/>
          </w:tcPr>
          <w:p>
            <w:pPr>
              <w:spacing w:after="0"/>
              <w:rPr>
                <w:sz w:val="16"/>
                <w:szCs w:val="16"/>
                <w:color w:val="auto"/>
              </w:rPr>
            </w:pPr>
          </w:p>
        </w:tc>
        <w:tc>
          <w:tcPr>
            <w:tcW w:w="3840" w:type="dxa"/>
            <w:vAlign w:val="bottom"/>
            <w:gridSpan w:val="2"/>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160" w:type="dxa"/>
            <w:vAlign w:val="bottom"/>
          </w:tcPr>
          <w:p>
            <w:pPr>
              <w:spacing w:after="0"/>
              <w:rPr>
                <w:sz w:val="16"/>
                <w:szCs w:val="16"/>
                <w:color w:val="auto"/>
              </w:rPr>
            </w:pPr>
          </w:p>
        </w:tc>
        <w:tc>
          <w:tcPr>
            <w:tcW w:w="1240" w:type="dxa"/>
            <w:vAlign w:val="bottom"/>
            <w:gridSpan w:val="3"/>
          </w:tcPr>
          <w:p>
            <w:pPr>
              <w:jc w:val="right"/>
              <w:ind w:right="560"/>
              <w:spacing w:after="0" w:line="185" w:lineRule="exact"/>
              <w:rPr>
                <w:sz w:val="20"/>
                <w:szCs w:val="20"/>
                <w:color w:val="auto"/>
              </w:rPr>
            </w:pPr>
            <w:r>
              <w:rPr>
                <w:rFonts w:ascii="Arial" w:cs="Arial" w:eastAsia="Arial" w:hAnsi="Arial"/>
                <w:sz w:val="18"/>
                <w:szCs w:val="18"/>
                <w:b w:val="1"/>
                <w:bCs w:val="1"/>
                <w:color w:val="auto"/>
                <w:w w:val="97"/>
              </w:rPr>
              <w:t>Amount</w:t>
            </w:r>
          </w:p>
        </w:tc>
        <w:tc>
          <w:tcPr>
            <w:tcW w:w="960" w:type="dxa"/>
            <w:vAlign w:val="bottom"/>
          </w:tcPr>
          <w:p>
            <w:pPr>
              <w:jc w:val="right"/>
              <w:ind w:right="230"/>
              <w:spacing w:after="0" w:line="185" w:lineRule="exact"/>
              <w:rPr>
                <w:sz w:val="20"/>
                <w:szCs w:val="20"/>
                <w:color w:val="auto"/>
              </w:rPr>
            </w:pPr>
            <w:r>
              <w:rPr>
                <w:rFonts w:ascii="Arial" w:cs="Arial" w:eastAsia="Arial" w:hAnsi="Arial"/>
                <w:sz w:val="18"/>
                <w:szCs w:val="18"/>
                <w:b w:val="1"/>
                <w:bCs w:val="1"/>
                <w:color w:val="auto"/>
                <w:w w:val="93"/>
              </w:rPr>
              <w:t>Percent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3"/>
          </w:tcPr>
          <w:p>
            <w:pPr>
              <w:ind w:left="60"/>
              <w:spacing w:after="0" w:line="185" w:lineRule="exact"/>
              <w:rPr>
                <w:sz w:val="20"/>
                <w:szCs w:val="20"/>
                <w:color w:val="auto"/>
              </w:rPr>
            </w:pPr>
            <w:r>
              <w:rPr>
                <w:rFonts w:ascii="Arial" w:cs="Arial" w:eastAsia="Arial" w:hAnsi="Arial"/>
                <w:sz w:val="18"/>
                <w:szCs w:val="18"/>
                <w:b w:val="1"/>
                <w:bCs w:val="1"/>
                <w:color w:val="auto"/>
              </w:rPr>
              <w:t>Amount</w:t>
            </w:r>
          </w:p>
        </w:tc>
        <w:tc>
          <w:tcPr>
            <w:tcW w:w="960" w:type="dxa"/>
            <w:vAlign w:val="bottom"/>
          </w:tcPr>
          <w:p>
            <w:pPr>
              <w:jc w:val="right"/>
              <w:ind w:right="210"/>
              <w:spacing w:after="0" w:line="185" w:lineRule="exact"/>
              <w:rPr>
                <w:sz w:val="20"/>
                <w:szCs w:val="20"/>
                <w:color w:val="auto"/>
              </w:rPr>
            </w:pPr>
            <w:r>
              <w:rPr>
                <w:rFonts w:ascii="Arial" w:cs="Arial" w:eastAsia="Arial" w:hAnsi="Arial"/>
                <w:sz w:val="18"/>
                <w:szCs w:val="18"/>
                <w:b w:val="1"/>
                <w:bCs w:val="1"/>
                <w:color w:val="auto"/>
                <w:w w:val="96"/>
              </w:rPr>
              <w:t>Percent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3"/>
          </w:tcPr>
          <w:p>
            <w:pPr>
              <w:jc w:val="right"/>
              <w:ind w:right="580"/>
              <w:spacing w:after="0" w:line="185" w:lineRule="exact"/>
              <w:rPr>
                <w:sz w:val="20"/>
                <w:szCs w:val="20"/>
                <w:color w:val="auto"/>
              </w:rPr>
            </w:pPr>
            <w:r>
              <w:rPr>
                <w:rFonts w:ascii="Arial" w:cs="Arial" w:eastAsia="Arial" w:hAnsi="Arial"/>
                <w:sz w:val="18"/>
                <w:szCs w:val="18"/>
                <w:b w:val="1"/>
                <w:bCs w:val="1"/>
                <w:color w:val="auto"/>
                <w:w w:val="99"/>
              </w:rPr>
              <w:t>Amount</w:t>
            </w:r>
          </w:p>
        </w:tc>
        <w:tc>
          <w:tcPr>
            <w:tcW w:w="960" w:type="dxa"/>
            <w:vAlign w:val="bottom"/>
          </w:tcPr>
          <w:p>
            <w:pPr>
              <w:jc w:val="right"/>
              <w:ind w:right="230"/>
              <w:spacing w:after="0" w:line="185" w:lineRule="exact"/>
              <w:rPr>
                <w:sz w:val="20"/>
                <w:szCs w:val="20"/>
                <w:color w:val="auto"/>
              </w:rPr>
            </w:pPr>
            <w:r>
              <w:rPr>
                <w:rFonts w:ascii="Arial" w:cs="Arial" w:eastAsia="Arial" w:hAnsi="Arial"/>
                <w:sz w:val="18"/>
                <w:szCs w:val="18"/>
                <w:b w:val="1"/>
                <w:bCs w:val="1"/>
                <w:color w:val="auto"/>
                <w:w w:val="93"/>
              </w:rPr>
              <w:t>Percent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income tax expense at statutory rate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20" w:type="dxa"/>
            <w:vAlign w:val="bottom"/>
            <w:tcBorders>
              <w:bottom w:val="single" w:sz="8" w:color="CCEEFF"/>
            </w:tcBorders>
          </w:tcPr>
          <w:p>
            <w:pPr>
              <w:spacing w:after="0"/>
              <w:rPr>
                <w:sz w:val="19"/>
                <w:szCs w:val="19"/>
                <w:color w:val="auto"/>
              </w:rPr>
            </w:pPr>
          </w:p>
        </w:tc>
        <w:tc>
          <w:tcPr>
            <w:tcW w:w="3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REIT income not subject to federal income tax</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(214,037)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(187,839)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(115,395)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(20.8)</w:t>
            </w:r>
          </w:p>
        </w:tc>
      </w:tr>
      <w:tr>
        <w:trPr>
          <w:trHeight w:val="223"/>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6"/>
              </w:rPr>
              <w:t>Pre-tax gain attributable to taxable subsidiaries</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r>
      <w:tr>
        <w:trPr>
          <w:trHeight w:val="223"/>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State income taxes, net of federal benefits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0.1</w:t>
            </w:r>
          </w:p>
        </w:tc>
      </w:tr>
      <w:tr>
        <w:trPr>
          <w:trHeight w:val="230"/>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Non-deductible expenses and other</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840" w:type="dxa"/>
            <w:vAlign w:val="bottom"/>
            <w:gridSpan w:val="2"/>
          </w:tcPr>
          <w:p>
            <w:pPr>
              <w:ind w:left="240"/>
              <w:spacing w:after="0"/>
              <w:rPr>
                <w:sz w:val="20"/>
                <w:szCs w:val="20"/>
                <w:color w:val="auto"/>
              </w:rPr>
            </w:pPr>
            <w:r>
              <w:rPr>
                <w:rFonts w:ascii="Arial" w:cs="Arial" w:eastAsia="Arial" w:hAnsi="Arial"/>
                <w:sz w:val="18"/>
                <w:szCs w:val="18"/>
                <w:color w:val="auto"/>
              </w:rPr>
              <w:t>Income tax expense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0.3 %</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declared dividends of $1.380, $1.255 and $1.170 per common share during the years ended December 31, 2021, 2020 and 2019, respectively. For U.S. federal income tax purposes, the portion of the dividends allocated to stockholders for the years ended December 31, 2021, 2020 and 2019 are characterized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7" w:name="page138"/>
    <w:bookmarkEnd w:id="1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w w:val="99"/>
              </w:rPr>
              <w:t>Year Ended December 31,</w:t>
            </w:r>
          </w:p>
        </w:tc>
        <w:tc>
          <w:tcPr>
            <w:tcW w:w="4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5120" w:type="dxa"/>
            <w:vAlign w:val="bottom"/>
            <w:gridSpan w:val="2"/>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per share)</w:t>
            </w:r>
          </w:p>
        </w:tc>
        <w:tc>
          <w:tcPr>
            <w:tcW w:w="1260" w:type="dxa"/>
            <w:vAlign w:val="bottom"/>
          </w:tcPr>
          <w:p>
            <w:pPr>
              <w:jc w:val="right"/>
              <w:ind w:right="32"/>
              <w:spacing w:after="0" w:line="172" w:lineRule="exact"/>
              <w:rPr>
                <w:sz w:val="20"/>
                <w:szCs w:val="20"/>
                <w:color w:val="auto"/>
              </w:rPr>
            </w:pPr>
            <w:r>
              <w:rPr>
                <w:rFonts w:ascii="Arial" w:cs="Arial" w:eastAsia="Arial" w:hAnsi="Arial"/>
                <w:sz w:val="16"/>
                <w:szCs w:val="16"/>
                <w:b w:val="1"/>
                <w:bCs w:val="1"/>
                <w:color w:val="auto"/>
              </w:rPr>
              <w:t>2021</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00" w:type="dxa"/>
            <w:vAlign w:val="bottom"/>
          </w:tcPr>
          <w:p>
            <w:pPr>
              <w:jc w:val="right"/>
              <w:ind w:right="732"/>
              <w:spacing w:after="0" w:line="172" w:lineRule="exact"/>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00" w:type="dxa"/>
            <w:vAlign w:val="bottom"/>
          </w:tcPr>
          <w:p>
            <w:pPr>
              <w:jc w:val="right"/>
              <w:ind w:right="732"/>
              <w:spacing w:after="0" w:line="172" w:lineRule="exact"/>
              <w:rPr>
                <w:sz w:val="20"/>
                <w:szCs w:val="20"/>
                <w:color w:val="auto"/>
              </w:rPr>
            </w:pPr>
            <w:r>
              <w:rPr>
                <w:rFonts w:ascii="Arial" w:cs="Arial" w:eastAsia="Arial" w:hAnsi="Arial"/>
                <w:sz w:val="16"/>
                <w:szCs w:val="16"/>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Ordinary dividends</w:t>
            </w:r>
          </w:p>
        </w:tc>
        <w:tc>
          <w:tcPr>
            <w:tcW w:w="1260" w:type="dxa"/>
            <w:vAlign w:val="bottom"/>
            <w:shd w:val="clear" w:color="auto" w:fill="CCEEFF"/>
          </w:tcPr>
          <w:p>
            <w:pPr>
              <w:jc w:val="right"/>
              <w:ind w:right="107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0.7108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0.8465</w:t>
            </w:r>
          </w:p>
        </w:tc>
      </w:tr>
      <w:tr>
        <w:trPr>
          <w:trHeight w:val="229"/>
        </w:trPr>
        <w:tc>
          <w:tcPr>
            <w:tcW w:w="20" w:type="dxa"/>
            <w:vAlign w:val="bottom"/>
          </w:tcPr>
          <w:p>
            <w:pPr>
              <w:spacing w:after="0"/>
              <w:rPr>
                <w:sz w:val="19"/>
                <w:szCs w:val="19"/>
                <w:color w:val="auto"/>
              </w:rPr>
            </w:pPr>
          </w:p>
        </w:tc>
        <w:tc>
          <w:tcPr>
            <w:tcW w:w="5120" w:type="dxa"/>
            <w:vAlign w:val="bottom"/>
            <w:gridSpan w:val="2"/>
          </w:tcPr>
          <w:p>
            <w:pPr>
              <w:ind w:left="200"/>
              <w:spacing w:after="0" w:line="230" w:lineRule="exact"/>
              <w:rPr>
                <w:sz w:val="20"/>
                <w:szCs w:val="20"/>
                <w:color w:val="auto"/>
              </w:rPr>
            </w:pPr>
            <w:r>
              <w:rPr>
                <w:rFonts w:ascii="Arial" w:cs="Arial" w:eastAsia="Arial" w:hAnsi="Arial"/>
                <w:sz w:val="18"/>
                <w:szCs w:val="18"/>
                <w:color w:val="auto"/>
              </w:rPr>
              <w:t xml:space="preserve">Section 199A dividends </w:t>
            </w:r>
            <w:r>
              <w:rPr>
                <w:rFonts w:ascii="Arial" w:cs="Arial" w:eastAsia="Arial" w:hAnsi="Arial"/>
                <w:sz w:val="23"/>
                <w:szCs w:val="23"/>
                <w:color w:val="auto"/>
                <w:vertAlign w:val="superscript"/>
              </w:rPr>
              <w:t>(1)</w:t>
            </w:r>
          </w:p>
        </w:tc>
        <w:tc>
          <w:tcPr>
            <w:tcW w:w="1260" w:type="dxa"/>
            <w:vAlign w:val="bottom"/>
          </w:tcPr>
          <w:p>
            <w:pPr>
              <w:jc w:val="right"/>
              <w:ind w:right="107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0.7108</w:t>
            </w:r>
          </w:p>
        </w:tc>
        <w:tc>
          <w:tcPr>
            <w:tcW w:w="80" w:type="dxa"/>
            <w:vAlign w:val="bottom"/>
          </w:tcPr>
          <w:p>
            <w:pPr>
              <w:spacing w:after="0"/>
              <w:rPr>
                <w:sz w:val="19"/>
                <w:szCs w:val="19"/>
                <w:color w:val="auto"/>
              </w:rPr>
            </w:pPr>
          </w:p>
        </w:tc>
        <w:tc>
          <w:tcPr>
            <w:tcW w:w="480" w:type="dxa"/>
            <w:vAlign w:val="bottom"/>
          </w:tcPr>
          <w:p>
            <w:pPr>
              <w:jc w:val="right"/>
              <w:ind w:right="272"/>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1.2225</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0.8159</w:t>
            </w:r>
          </w:p>
        </w:tc>
      </w:tr>
      <w:tr>
        <w:trPr>
          <w:trHeight w:val="230"/>
        </w:trPr>
        <w:tc>
          <w:tcPr>
            <w:tcW w:w="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ind w:left="200"/>
              <w:spacing w:after="0" w:line="230" w:lineRule="exact"/>
              <w:rPr>
                <w:sz w:val="20"/>
                <w:szCs w:val="20"/>
                <w:color w:val="auto"/>
              </w:rPr>
            </w:pPr>
            <w:r>
              <w:rPr>
                <w:rFonts w:ascii="Arial" w:cs="Arial" w:eastAsia="Arial" w:hAnsi="Arial"/>
                <w:sz w:val="18"/>
                <w:szCs w:val="18"/>
                <w:color w:val="auto"/>
              </w:rPr>
              <w:t xml:space="preserve">Qualified dividend </w:t>
            </w:r>
            <w:r>
              <w:rPr>
                <w:rFonts w:ascii="Arial" w:cs="Arial" w:eastAsia="Arial" w:hAnsi="Arial"/>
                <w:sz w:val="23"/>
                <w:szCs w:val="23"/>
                <w:color w:val="auto"/>
                <w:vertAlign w:val="superscript"/>
              </w:rPr>
              <w:t>(1)</w:t>
            </w:r>
          </w:p>
        </w:tc>
        <w:tc>
          <w:tcPr>
            <w:tcW w:w="1260" w:type="dxa"/>
            <w:vAlign w:val="bottom"/>
            <w:shd w:val="clear" w:color="auto" w:fill="CCEEFF"/>
          </w:tcPr>
          <w:p>
            <w:pPr>
              <w:jc w:val="right"/>
              <w:ind w:right="1072"/>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0.0306</w:t>
            </w:r>
          </w:p>
        </w:tc>
      </w:tr>
      <w:tr>
        <w:trPr>
          <w:trHeight w:val="270"/>
        </w:trPr>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29"/>
        </w:trPr>
        <w:tc>
          <w:tcPr>
            <w:tcW w:w="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Non-dividend distribution</w:t>
            </w:r>
          </w:p>
        </w:tc>
        <w:tc>
          <w:tcPr>
            <w:tcW w:w="1260" w:type="dxa"/>
            <w:vAlign w:val="bottom"/>
            <w:shd w:val="clear" w:color="auto" w:fill="CCEEFF"/>
          </w:tcPr>
          <w:p>
            <w:pPr>
              <w:jc w:val="right"/>
              <w:ind w:right="107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0.6392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0.0985</w:t>
            </w:r>
          </w:p>
        </w:tc>
      </w:tr>
      <w:tr>
        <w:trPr>
          <w:trHeight w:val="290"/>
        </w:trPr>
        <w:tc>
          <w:tcPr>
            <w:tcW w:w="5140" w:type="dxa"/>
            <w:vAlign w:val="bottom"/>
            <w:gridSpan w:val="3"/>
          </w:tcPr>
          <w:p>
            <w:pPr>
              <w:spacing w:after="0"/>
              <w:rPr>
                <w:sz w:val="20"/>
                <w:szCs w:val="20"/>
                <w:color w:val="auto"/>
              </w:rPr>
            </w:pPr>
            <w:r>
              <w:rPr>
                <w:rFonts w:ascii="Arial" w:cs="Arial" w:eastAsia="Arial" w:hAnsi="Arial"/>
                <w:sz w:val="18"/>
                <w:szCs w:val="18"/>
                <w:color w:val="auto"/>
              </w:rPr>
              <w:t>____________________</w:t>
            </w: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ind w:left="320" w:hanging="312"/>
        <w:spacing w:after="0"/>
        <w:tabs>
          <w:tab w:leader="none" w:pos="320" w:val="left"/>
        </w:tabs>
        <w:numPr>
          <w:ilvl w:val="0"/>
          <w:numId w:val="102"/>
        </w:numPr>
        <w:rPr>
          <w:rFonts w:ascii="Arial" w:cs="Arial" w:eastAsia="Arial" w:hAnsi="Arial"/>
          <w:sz w:val="14"/>
          <w:szCs w:val="14"/>
          <w:i w:val="1"/>
          <w:iCs w:val="1"/>
          <w:color w:val="auto"/>
        </w:rPr>
      </w:pPr>
      <w:r>
        <w:rPr>
          <w:rFonts w:ascii="Arial" w:cs="Arial" w:eastAsia="Arial" w:hAnsi="Arial"/>
          <w:sz w:val="14"/>
          <w:szCs w:val="14"/>
          <w:i w:val="1"/>
          <w:iCs w:val="1"/>
          <w:color w:val="auto"/>
        </w:rPr>
        <w:t>These amounts are a subset of, and are included in, the ordinary dividend amounts.</w:t>
      </w:r>
    </w:p>
    <w:p>
      <w:pPr>
        <w:spacing w:after="0" w:line="2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2021, we had estimated NOLs of $151.6 million, generated by our REIT, that will expire in 2029, unless they are utilized by us prior to expiration.</w:t>
      </w:r>
    </w:p>
    <w:p>
      <w:pPr>
        <w:spacing w:after="0" w:line="11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As of December 31, 2021, the 2018, 2019, and 2020 tax years remain subject to examination by federal, state and local tax authorities. The tax filings for tax year 2021 have not yet been filed, and once made, will be subject to examination by taxing authorities for a period of three years.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15 — Segment Information</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real property business and our golf course business represent two reportable segments. The real property business segment consists of leased real property and our real estate lending activities and represents the substantial majority of our business. The golf course business segment consists of four golf courses, with each being operating segments that are aggregated into one reportable segment.</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results of each reportable segment presented below are consistent with the way our management assesses these results and allocates resources. The following tables present certain information with respect to our segments: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 2021</w:t>
            </w: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51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Pr>
          <w:p>
            <w:pPr>
              <w:spacing w:after="0"/>
              <w:rPr>
                <w:sz w:val="14"/>
                <w:szCs w:val="14"/>
                <w:color w:val="auto"/>
              </w:rPr>
            </w:pPr>
          </w:p>
        </w:tc>
        <w:tc>
          <w:tcPr>
            <w:tcW w:w="1820" w:type="dxa"/>
            <w:vAlign w:val="bottom"/>
          </w:tcPr>
          <w:p>
            <w:pPr>
              <w:jc w:val="right"/>
              <w:ind w:right="91"/>
              <w:spacing w:after="0" w:line="172" w:lineRule="exact"/>
              <w:rPr>
                <w:sz w:val="20"/>
                <w:szCs w:val="20"/>
                <w:color w:val="auto"/>
              </w:rPr>
            </w:pPr>
            <w:r>
              <w:rPr>
                <w:rFonts w:ascii="Arial" w:cs="Arial" w:eastAsia="Arial" w:hAnsi="Arial"/>
                <w:sz w:val="16"/>
                <w:szCs w:val="16"/>
                <w:b w:val="1"/>
                <w:bCs w:val="1"/>
                <w:color w:val="auto"/>
                <w:w w:val="90"/>
              </w:rPr>
              <w:t>Real Property Business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2"/>
          </w:tcPr>
          <w:p>
            <w:pPr>
              <w:jc w:val="center"/>
              <w:ind w:right="260"/>
              <w:spacing w:after="0" w:line="172" w:lineRule="exact"/>
              <w:rPr>
                <w:sz w:val="20"/>
                <w:szCs w:val="20"/>
                <w:color w:val="auto"/>
              </w:rPr>
            </w:pPr>
            <w:r>
              <w:rPr>
                <w:rFonts w:ascii="Arial" w:cs="Arial" w:eastAsia="Arial" w:hAnsi="Arial"/>
                <w:sz w:val="16"/>
                <w:szCs w:val="16"/>
                <w:b w:val="1"/>
                <w:bCs w:val="1"/>
                <w:color w:val="auto"/>
                <w:w w:val="88"/>
              </w:rPr>
              <w:t>Golf Course Business</w:t>
            </w:r>
          </w:p>
        </w:tc>
        <w:tc>
          <w:tcPr>
            <w:tcW w:w="220" w:type="dxa"/>
            <w:vAlign w:val="bottom"/>
          </w:tcPr>
          <w:p>
            <w:pPr>
              <w:spacing w:after="0"/>
              <w:rPr>
                <w:sz w:val="14"/>
                <w:szCs w:val="14"/>
                <w:color w:val="auto"/>
              </w:rPr>
            </w:pPr>
          </w:p>
        </w:tc>
        <w:tc>
          <w:tcPr>
            <w:tcW w:w="1760" w:type="dxa"/>
            <w:vAlign w:val="bottom"/>
          </w:tcPr>
          <w:p>
            <w:pPr>
              <w:jc w:val="right"/>
              <w:ind w:right="251"/>
              <w:spacing w:after="0" w:line="172" w:lineRule="exact"/>
              <w:rPr>
                <w:sz w:val="20"/>
                <w:szCs w:val="20"/>
                <w:color w:val="auto"/>
              </w:rPr>
            </w:pPr>
            <w:r>
              <w:rPr>
                <w:rFonts w:ascii="Arial" w:cs="Arial" w:eastAsia="Arial" w:hAnsi="Arial"/>
                <w:sz w:val="16"/>
                <w:szCs w:val="16"/>
                <w:b w:val="1"/>
                <w:bCs w:val="1"/>
                <w:color w:val="auto"/>
              </w:rPr>
              <w:t>VICI Consolidated</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1,479,021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1,509,568</w:t>
            </w:r>
          </w:p>
        </w:tc>
      </w:tr>
      <w:tr>
        <w:trPr>
          <w:trHeight w:val="230"/>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(392,390)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(392,390)</w:t>
            </w:r>
          </w:p>
        </w:tc>
      </w:tr>
      <w:tr>
        <w:trPr>
          <w:trHeight w:val="229"/>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upon lease modification</w:t>
            </w: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Loss on extinguishment of debt</w:t>
            </w: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(15,622)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(15,622)</w:t>
            </w:r>
          </w:p>
        </w:tc>
      </w:tr>
      <w:tr>
        <w:trPr>
          <w:trHeight w:val="230"/>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1,019,225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1,026,045</w:t>
            </w:r>
          </w:p>
        </w:tc>
      </w:tr>
      <w:tr>
        <w:trPr>
          <w:trHeight w:val="230"/>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(1,373)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(1,514)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(2,887)</w:t>
            </w:r>
          </w:p>
        </w:tc>
      </w:tr>
      <w:tr>
        <w:trPr>
          <w:trHeight w:val="229"/>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1,017,852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1,023,158</w:t>
            </w:r>
          </w:p>
        </w:tc>
      </w:tr>
      <w:tr>
        <w:trPr>
          <w:trHeight w:val="270"/>
        </w:trPr>
        <w:tc>
          <w:tcPr>
            <w:tcW w:w="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230"/>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17,499,533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17,597,373</w:t>
            </w:r>
          </w:p>
        </w:tc>
      </w:tr>
      <w:tr>
        <w:trPr>
          <w:trHeight w:val="230"/>
        </w:trPr>
        <w:tc>
          <w:tcPr>
            <w:tcW w:w="20" w:type="dxa"/>
            <w:vAlign w:val="bottom"/>
          </w:tcPr>
          <w:p>
            <w:pPr>
              <w:spacing w:after="0"/>
              <w:rPr>
                <w:sz w:val="20"/>
                <w:szCs w:val="20"/>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5,392,844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17,355</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5,410,199</w:t>
            </w:r>
          </w:p>
        </w:tc>
      </w:tr>
      <w:tr>
        <w:trPr>
          <w:trHeight w:val="904"/>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Pr>
          <w:p>
            <w:pPr>
              <w:jc w:val="right"/>
              <w:ind w:right="1151"/>
              <w:spacing w:after="0"/>
              <w:rPr>
                <w:sz w:val="20"/>
                <w:szCs w:val="20"/>
                <w:color w:val="auto"/>
              </w:rPr>
            </w:pPr>
            <w:r>
              <w:rPr>
                <w:rFonts w:ascii="Arial" w:cs="Arial" w:eastAsia="Arial" w:hAnsi="Arial"/>
                <w:sz w:val="18"/>
                <w:szCs w:val="18"/>
                <w:color w:val="auto"/>
              </w:rPr>
              <w:t>F - 56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8" w:name="page139"/>
    <w:bookmarkEnd w:id="1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 2020</w:t>
            </w: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51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Pr>
          <w:p>
            <w:pPr>
              <w:spacing w:after="0"/>
              <w:rPr>
                <w:sz w:val="14"/>
                <w:szCs w:val="14"/>
                <w:color w:val="auto"/>
              </w:rPr>
            </w:pPr>
          </w:p>
        </w:tc>
        <w:tc>
          <w:tcPr>
            <w:tcW w:w="1820" w:type="dxa"/>
            <w:vAlign w:val="bottom"/>
          </w:tcPr>
          <w:p>
            <w:pPr>
              <w:jc w:val="right"/>
              <w:ind w:right="91"/>
              <w:spacing w:after="0" w:line="172" w:lineRule="exact"/>
              <w:rPr>
                <w:sz w:val="20"/>
                <w:szCs w:val="20"/>
                <w:color w:val="auto"/>
              </w:rPr>
            </w:pPr>
            <w:r>
              <w:rPr>
                <w:rFonts w:ascii="Arial" w:cs="Arial" w:eastAsia="Arial" w:hAnsi="Arial"/>
                <w:sz w:val="16"/>
                <w:szCs w:val="16"/>
                <w:b w:val="1"/>
                <w:bCs w:val="1"/>
                <w:color w:val="auto"/>
                <w:w w:val="90"/>
              </w:rPr>
              <w:t>Real Property Business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2"/>
          </w:tcPr>
          <w:p>
            <w:pPr>
              <w:jc w:val="center"/>
              <w:ind w:right="260"/>
              <w:spacing w:after="0" w:line="172" w:lineRule="exact"/>
              <w:rPr>
                <w:sz w:val="20"/>
                <w:szCs w:val="20"/>
                <w:color w:val="auto"/>
              </w:rPr>
            </w:pPr>
            <w:r>
              <w:rPr>
                <w:rFonts w:ascii="Arial" w:cs="Arial" w:eastAsia="Arial" w:hAnsi="Arial"/>
                <w:sz w:val="16"/>
                <w:szCs w:val="16"/>
                <w:b w:val="1"/>
                <w:bCs w:val="1"/>
                <w:color w:val="auto"/>
                <w:w w:val="88"/>
              </w:rPr>
              <w:t>Golf Course Business</w:t>
            </w:r>
          </w:p>
        </w:tc>
        <w:tc>
          <w:tcPr>
            <w:tcW w:w="220" w:type="dxa"/>
            <w:vAlign w:val="bottom"/>
          </w:tcPr>
          <w:p>
            <w:pPr>
              <w:spacing w:after="0"/>
              <w:rPr>
                <w:sz w:val="14"/>
                <w:szCs w:val="14"/>
                <w:color w:val="auto"/>
              </w:rPr>
            </w:pPr>
          </w:p>
        </w:tc>
        <w:tc>
          <w:tcPr>
            <w:tcW w:w="1760" w:type="dxa"/>
            <w:vAlign w:val="bottom"/>
          </w:tcPr>
          <w:p>
            <w:pPr>
              <w:jc w:val="right"/>
              <w:ind w:right="251"/>
              <w:spacing w:after="0" w:line="172" w:lineRule="exact"/>
              <w:rPr>
                <w:sz w:val="20"/>
                <w:szCs w:val="20"/>
                <w:color w:val="auto"/>
              </w:rPr>
            </w:pPr>
            <w:r>
              <w:rPr>
                <w:rFonts w:ascii="Arial" w:cs="Arial" w:eastAsia="Arial" w:hAnsi="Arial"/>
                <w:sz w:val="16"/>
                <w:szCs w:val="16"/>
                <w:b w:val="1"/>
                <w:bCs w:val="1"/>
                <w:color w:val="auto"/>
              </w:rPr>
              <w:t>VICI Consolidated</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1,201,782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1,225,574</w:t>
            </w:r>
          </w:p>
        </w:tc>
      </w:tr>
      <w:tr>
        <w:trPr>
          <w:trHeight w:val="229"/>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(308,605)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(308,605)</w:t>
            </w:r>
          </w:p>
        </w:tc>
      </w:tr>
      <w:tr>
        <w:trPr>
          <w:trHeight w:val="229"/>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upon lease modification</w:t>
            </w: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333,352</w:t>
            </w:r>
          </w:p>
        </w:tc>
      </w:tr>
      <w:tr>
        <w:trPr>
          <w:trHeight w:val="230"/>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Loss on extinguishment of debt</w:t>
            </w: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(39,059)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(39,059)</w:t>
            </w:r>
          </w:p>
        </w:tc>
      </w:tr>
      <w:tr>
        <w:trPr>
          <w:trHeight w:val="229"/>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894,474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897,039</w:t>
            </w:r>
          </w:p>
        </w:tc>
      </w:tr>
      <w:tr>
        <w:trPr>
          <w:trHeight w:val="230"/>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(831)</w:t>
            </w:r>
          </w:p>
        </w:tc>
      </w:tr>
      <w:tr>
        <w:trPr>
          <w:trHeight w:val="229"/>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894,198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896,208</w:t>
            </w:r>
          </w:p>
        </w:tc>
      </w:tr>
      <w:tr>
        <w:trPr>
          <w:trHeight w:val="270"/>
        </w:trPr>
        <w:tc>
          <w:tcPr>
            <w:tcW w:w="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229"/>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16,968,975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17,063,613</w:t>
            </w:r>
          </w:p>
        </w:tc>
      </w:tr>
      <w:tr>
        <w:trPr>
          <w:trHeight w:val="230"/>
        </w:trPr>
        <w:tc>
          <w:tcPr>
            <w:tcW w:w="20" w:type="dxa"/>
            <w:vAlign w:val="bottom"/>
          </w:tcPr>
          <w:p>
            <w:pPr>
              <w:spacing w:after="0"/>
              <w:rPr>
                <w:sz w:val="20"/>
                <w:szCs w:val="20"/>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7,551,391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18,477</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7,569,868</w:t>
            </w:r>
          </w:p>
        </w:tc>
      </w:tr>
      <w:tr>
        <w:trPr>
          <w:trHeight w:val="442"/>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 2019</w:t>
            </w:r>
          </w:p>
        </w:tc>
        <w:tc>
          <w:tcPr>
            <w:tcW w:w="2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r>
      <w:tr>
        <w:trPr>
          <w:trHeight w:val="172"/>
        </w:trPr>
        <w:tc>
          <w:tcPr>
            <w:tcW w:w="20" w:type="dxa"/>
            <w:vAlign w:val="bottom"/>
          </w:tcPr>
          <w:p>
            <w:pPr>
              <w:spacing w:after="0"/>
              <w:rPr>
                <w:sz w:val="14"/>
                <w:szCs w:val="14"/>
                <w:color w:val="auto"/>
              </w:rPr>
            </w:pPr>
          </w:p>
        </w:tc>
        <w:tc>
          <w:tcPr>
            <w:tcW w:w="51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Pr>
          <w:p>
            <w:pPr>
              <w:spacing w:after="0"/>
              <w:rPr>
                <w:sz w:val="14"/>
                <w:szCs w:val="14"/>
                <w:color w:val="auto"/>
              </w:rPr>
            </w:pPr>
          </w:p>
        </w:tc>
        <w:tc>
          <w:tcPr>
            <w:tcW w:w="1820" w:type="dxa"/>
            <w:vAlign w:val="bottom"/>
          </w:tcPr>
          <w:p>
            <w:pPr>
              <w:jc w:val="right"/>
              <w:ind w:right="91"/>
              <w:spacing w:after="0" w:line="172" w:lineRule="exact"/>
              <w:rPr>
                <w:sz w:val="20"/>
                <w:szCs w:val="20"/>
                <w:color w:val="auto"/>
              </w:rPr>
            </w:pPr>
            <w:r>
              <w:rPr>
                <w:rFonts w:ascii="Arial" w:cs="Arial" w:eastAsia="Arial" w:hAnsi="Arial"/>
                <w:sz w:val="16"/>
                <w:szCs w:val="16"/>
                <w:b w:val="1"/>
                <w:bCs w:val="1"/>
                <w:color w:val="auto"/>
                <w:w w:val="90"/>
              </w:rPr>
              <w:t>Real Property Business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2"/>
          </w:tcPr>
          <w:p>
            <w:pPr>
              <w:jc w:val="center"/>
              <w:ind w:right="260"/>
              <w:spacing w:after="0" w:line="172" w:lineRule="exact"/>
              <w:rPr>
                <w:sz w:val="20"/>
                <w:szCs w:val="20"/>
                <w:color w:val="auto"/>
              </w:rPr>
            </w:pPr>
            <w:r>
              <w:rPr>
                <w:rFonts w:ascii="Arial" w:cs="Arial" w:eastAsia="Arial" w:hAnsi="Arial"/>
                <w:sz w:val="16"/>
                <w:szCs w:val="16"/>
                <w:b w:val="1"/>
                <w:bCs w:val="1"/>
                <w:color w:val="auto"/>
                <w:w w:val="88"/>
              </w:rPr>
              <w:t>Golf Course Business</w:t>
            </w:r>
          </w:p>
        </w:tc>
        <w:tc>
          <w:tcPr>
            <w:tcW w:w="220" w:type="dxa"/>
            <w:vAlign w:val="bottom"/>
          </w:tcPr>
          <w:p>
            <w:pPr>
              <w:spacing w:after="0"/>
              <w:rPr>
                <w:sz w:val="14"/>
                <w:szCs w:val="14"/>
                <w:color w:val="auto"/>
              </w:rPr>
            </w:pPr>
          </w:p>
        </w:tc>
        <w:tc>
          <w:tcPr>
            <w:tcW w:w="1760" w:type="dxa"/>
            <w:vAlign w:val="bottom"/>
          </w:tcPr>
          <w:p>
            <w:pPr>
              <w:jc w:val="right"/>
              <w:ind w:right="251"/>
              <w:spacing w:after="0" w:line="172" w:lineRule="exact"/>
              <w:rPr>
                <w:sz w:val="20"/>
                <w:szCs w:val="20"/>
                <w:color w:val="auto"/>
              </w:rPr>
            </w:pPr>
            <w:r>
              <w:rPr>
                <w:rFonts w:ascii="Arial" w:cs="Arial" w:eastAsia="Arial" w:hAnsi="Arial"/>
                <w:sz w:val="16"/>
                <w:szCs w:val="16"/>
                <w:b w:val="1"/>
                <w:bCs w:val="1"/>
                <w:color w:val="auto"/>
              </w:rPr>
              <w:t>VICI Consolidated</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865,858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894,798</w:t>
            </w:r>
          </w:p>
        </w:tc>
      </w:tr>
      <w:tr>
        <w:trPr>
          <w:trHeight w:val="230"/>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(248,384)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(248,384)</w:t>
            </w:r>
          </w:p>
        </w:tc>
      </w:tr>
      <w:tr>
        <w:trPr>
          <w:trHeight w:val="229"/>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(58,143)</w:t>
            </w:r>
          </w:p>
        </w:tc>
      </w:tr>
      <w:tr>
        <w:trPr>
          <w:trHeight w:val="229"/>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549,503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6,483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555,986</w:t>
            </w:r>
          </w:p>
        </w:tc>
      </w:tr>
      <w:tr>
        <w:trPr>
          <w:trHeight w:val="230"/>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w:t>
            </w:r>
          </w:p>
        </w:tc>
      </w:tr>
      <w:tr>
        <w:trPr>
          <w:trHeight w:val="230"/>
        </w:trPr>
        <w:tc>
          <w:tcPr>
            <w:tcW w:w="20" w:type="dxa"/>
            <w:vAlign w:val="bottom"/>
          </w:tcPr>
          <w:p>
            <w:pPr>
              <w:spacing w:after="0"/>
              <w:rPr>
                <w:sz w:val="20"/>
                <w:szCs w:val="20"/>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549,033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5,248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554,281</w:t>
            </w:r>
          </w:p>
        </w:tc>
      </w:tr>
      <w:tr>
        <w:trPr>
          <w:trHeight w:val="904"/>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Pr>
          <w:p>
            <w:pPr>
              <w:jc w:val="right"/>
              <w:ind w:right="1151"/>
              <w:spacing w:after="0"/>
              <w:rPr>
                <w:sz w:val="20"/>
                <w:szCs w:val="20"/>
                <w:color w:val="auto"/>
              </w:rPr>
            </w:pPr>
            <w:r>
              <w:rPr>
                <w:rFonts w:ascii="Arial" w:cs="Arial" w:eastAsia="Arial" w:hAnsi="Arial"/>
                <w:sz w:val="18"/>
                <w:szCs w:val="18"/>
                <w:color w:val="auto"/>
              </w:rPr>
              <w:t>F - 57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07"/>
        </w:trPr>
        <w:tc>
          <w:tcPr>
            <w:tcW w:w="7140" w:type="dxa"/>
            <w:vAlign w:val="bottom"/>
            <w:gridSpan w:val="3"/>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8"/>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5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2"/>
          </w:tcPr>
          <w:p>
            <w:pPr>
              <w:ind w:left="1020"/>
              <w:spacing w:after="0"/>
              <w:rPr>
                <w:sz w:val="20"/>
                <w:szCs w:val="20"/>
                <w:color w:val="auto"/>
              </w:rPr>
            </w:pPr>
            <w:r>
              <w:rPr>
                <w:rFonts w:ascii="Arial" w:cs="Arial" w:eastAsia="Arial" w:hAnsi="Arial"/>
                <w:sz w:val="18"/>
                <w:szCs w:val="18"/>
                <w:b w:val="1"/>
                <w:bCs w:val="1"/>
                <w:color w:val="auto"/>
                <w:w w:val="86"/>
              </w:rPr>
              <w:t>Schedule I</w:t>
            </w: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140" w:type="dxa"/>
            <w:vAlign w:val="bottom"/>
            <w:gridSpan w:val="5"/>
          </w:tcPr>
          <w:p>
            <w:pPr>
              <w:jc w:val="center"/>
              <w:ind w:left="470"/>
              <w:spacing w:after="0"/>
              <w:rPr>
                <w:sz w:val="20"/>
                <w:szCs w:val="20"/>
                <w:color w:val="auto"/>
              </w:rPr>
            </w:pPr>
            <w:r>
              <w:rPr>
                <w:rFonts w:ascii="Arial" w:cs="Arial" w:eastAsia="Arial" w:hAnsi="Arial"/>
                <w:sz w:val="18"/>
                <w:szCs w:val="18"/>
                <w:b w:val="1"/>
                <w:bCs w:val="1"/>
                <w:color w:val="auto"/>
              </w:rPr>
              <w:t>CONDENSED FINANCIAL INFORMATION OF REGISTRANT PARENT COMPANY ONLY</w:t>
            </w: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60" w:type="dxa"/>
            <w:vAlign w:val="bottom"/>
          </w:tcPr>
          <w:p>
            <w:pPr>
              <w:jc w:val="center"/>
              <w:ind w:left="2730"/>
              <w:spacing w:after="0"/>
              <w:rPr>
                <w:sz w:val="20"/>
                <w:szCs w:val="20"/>
                <w:color w:val="auto"/>
              </w:rPr>
            </w:pPr>
            <w:r>
              <w:rPr>
                <w:rFonts w:ascii="Arial" w:cs="Arial" w:eastAsia="Arial" w:hAnsi="Arial"/>
                <w:sz w:val="18"/>
                <w:szCs w:val="18"/>
                <w:b w:val="1"/>
                <w:bCs w:val="1"/>
                <w:color w:val="auto"/>
              </w:rPr>
              <w:t>VICI PROPERTIES INC.</w:t>
            </w: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60" w:type="dxa"/>
            <w:vAlign w:val="bottom"/>
          </w:tcPr>
          <w:p>
            <w:pPr>
              <w:jc w:val="center"/>
              <w:ind w:left="2730"/>
              <w:spacing w:after="0"/>
              <w:rPr>
                <w:sz w:val="20"/>
                <w:szCs w:val="20"/>
                <w:color w:val="auto"/>
              </w:rPr>
            </w:pPr>
            <w:r>
              <w:rPr>
                <w:rFonts w:ascii="Arial" w:cs="Arial" w:eastAsia="Arial" w:hAnsi="Arial"/>
                <w:sz w:val="18"/>
                <w:szCs w:val="18"/>
                <w:b w:val="1"/>
                <w:bCs w:val="1"/>
                <w:color w:val="auto"/>
                <w:w w:val="98"/>
              </w:rPr>
              <w:t>CONDENSED BALANCE SHEETS</w:t>
            </w: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960" w:type="dxa"/>
            <w:vAlign w:val="bottom"/>
            <w:gridSpan w:val="4"/>
          </w:tcPr>
          <w:p>
            <w:pPr>
              <w:jc w:val="center"/>
              <w:ind w:left="63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2021</w:t>
            </w:r>
          </w:p>
        </w:tc>
        <w:tc>
          <w:tcPr>
            <w:tcW w:w="180" w:type="dxa"/>
            <w:vAlign w:val="bottom"/>
          </w:tcPr>
          <w:p>
            <w:pPr>
              <w:spacing w:after="0"/>
              <w:rPr>
                <w:sz w:val="22"/>
                <w:szCs w:val="22"/>
                <w:color w:val="auto"/>
              </w:rPr>
            </w:pPr>
          </w:p>
        </w:tc>
        <w:tc>
          <w:tcPr>
            <w:tcW w:w="182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15,851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15,833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20" w:type="dxa"/>
            <w:vAlign w:val="bottom"/>
            <w:gridSpan w:val="2"/>
          </w:tcPr>
          <w:p>
            <w:pPr>
              <w:ind w:left="140"/>
              <w:spacing w:after="0"/>
              <w:rPr>
                <w:sz w:val="20"/>
                <w:szCs w:val="20"/>
                <w:color w:val="auto"/>
              </w:rPr>
            </w:pPr>
            <w:r>
              <w:rPr>
                <w:rFonts w:ascii="Arial" w:cs="Arial" w:eastAsia="Arial" w:hAnsi="Arial"/>
                <w:sz w:val="18"/>
                <w:szCs w:val="18"/>
                <w:color w:val="auto"/>
              </w:rPr>
              <w:t>Due from affiliates</w:t>
            </w: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7,208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7,383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Investment in subsidiaries</w:t>
            </w: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12,311,168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9,571,044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gridSpan w:val="2"/>
          </w:tcPr>
          <w:p>
            <w:pPr>
              <w:ind w:left="60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12,335,263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9,594,346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58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5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Liabilities</w:t>
            </w: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Accrued expenses and deferred 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Dividends payable</w:t>
            </w: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226,309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176,992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226,995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Stockholders’ equity</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120" w:type="dxa"/>
            <w:vAlign w:val="bottom"/>
            <w:gridSpan w:val="2"/>
          </w:tcPr>
          <w:p>
            <w:pPr>
              <w:ind w:left="220"/>
              <w:spacing w:after="0" w:line="176" w:lineRule="exact"/>
              <w:rPr>
                <w:sz w:val="20"/>
                <w:szCs w:val="20"/>
                <w:color w:val="auto"/>
              </w:rPr>
            </w:pPr>
            <w:r>
              <w:rPr>
                <w:rFonts w:ascii="Arial" w:cs="Arial" w:eastAsia="Arial" w:hAnsi="Arial"/>
                <w:sz w:val="18"/>
                <w:szCs w:val="18"/>
                <w:color w:val="auto"/>
                <w:w w:val="97"/>
              </w:rPr>
              <w:t>Common stock, $0.01 par value, 1,350,000,000 shares authorized and 628,942,092 and</w:t>
            </w:r>
          </w:p>
        </w:tc>
        <w:tc>
          <w:tcPr>
            <w:tcW w:w="2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20" w:type="dxa"/>
            <w:vAlign w:val="bottom"/>
            <w:gridSpan w:val="2"/>
          </w:tcPr>
          <w:p>
            <w:pPr>
              <w:ind w:left="220"/>
              <w:spacing w:after="0" w:line="176" w:lineRule="exact"/>
              <w:rPr>
                <w:sz w:val="20"/>
                <w:szCs w:val="20"/>
                <w:color w:val="auto"/>
              </w:rPr>
            </w:pPr>
            <w:r>
              <w:rPr>
                <w:rFonts w:ascii="Arial" w:cs="Arial" w:eastAsia="Arial" w:hAnsi="Arial"/>
                <w:sz w:val="18"/>
                <w:szCs w:val="18"/>
                <w:color w:val="auto"/>
                <w:w w:val="93"/>
              </w:rPr>
              <w:t>536,669,722 shares issued and outstanding at December 31, 2021 and December 31, 2020,</w:t>
            </w:r>
          </w:p>
        </w:tc>
        <w:tc>
          <w:tcPr>
            <w:tcW w:w="200" w:type="dxa"/>
            <w:vAlign w:val="bottom"/>
          </w:tcPr>
          <w:p>
            <w:pPr>
              <w:spacing w:after="0"/>
              <w:rPr>
                <w:sz w:val="15"/>
                <w:szCs w:val="15"/>
                <w:color w:val="auto"/>
              </w:rPr>
            </w:pPr>
          </w:p>
        </w:tc>
        <w:tc>
          <w:tcPr>
            <w:tcW w:w="1800" w:type="dxa"/>
            <w:vAlign w:val="bottom"/>
            <w:vMerge w:val="restart"/>
          </w:tcPr>
          <w:p>
            <w:pPr>
              <w:jc w:val="right"/>
              <w:spacing w:after="0"/>
              <w:rPr>
                <w:sz w:val="20"/>
                <w:szCs w:val="20"/>
                <w:color w:val="auto"/>
              </w:rPr>
            </w:pPr>
            <w:r>
              <w:rPr>
                <w:rFonts w:ascii="Arial" w:cs="Arial" w:eastAsia="Arial" w:hAnsi="Arial"/>
                <w:sz w:val="18"/>
                <w:szCs w:val="18"/>
                <w:color w:val="auto"/>
              </w:rPr>
              <w:t>6,289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vMerge w:val="restart"/>
          </w:tcPr>
          <w:p>
            <w:pPr>
              <w:jc w:val="right"/>
              <w:spacing w:after="0"/>
              <w:rPr>
                <w:sz w:val="20"/>
                <w:szCs w:val="20"/>
                <w:color w:val="auto"/>
              </w:rPr>
            </w:pPr>
            <w:r>
              <w:rPr>
                <w:rFonts w:ascii="Arial" w:cs="Arial" w:eastAsia="Arial" w:hAnsi="Arial"/>
                <w:sz w:val="18"/>
                <w:szCs w:val="18"/>
                <w:color w:val="auto"/>
              </w:rPr>
              <w:t>5,367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20" w:type="dxa"/>
            <w:vAlign w:val="bottom"/>
            <w:gridSpan w:val="2"/>
          </w:tcPr>
          <w:p>
            <w:pPr>
              <w:ind w:left="220"/>
              <w:spacing w:after="0"/>
              <w:rPr>
                <w:sz w:val="20"/>
                <w:szCs w:val="20"/>
                <w:color w:val="auto"/>
              </w:rPr>
            </w:pPr>
            <w:r>
              <w:rPr>
                <w:rFonts w:ascii="Arial" w:cs="Arial" w:eastAsia="Arial" w:hAnsi="Arial"/>
                <w:sz w:val="18"/>
                <w:szCs w:val="18"/>
                <w:color w:val="auto"/>
              </w:rPr>
              <w:t>respectively</w:t>
            </w:r>
          </w:p>
        </w:tc>
        <w:tc>
          <w:tcPr>
            <w:tcW w:w="200" w:type="dxa"/>
            <w:vAlign w:val="bottom"/>
          </w:tcPr>
          <w:p>
            <w:pPr>
              <w:spacing w:after="0"/>
              <w:rPr>
                <w:sz w:val="19"/>
                <w:szCs w:val="19"/>
                <w:color w:val="auto"/>
              </w:rPr>
            </w:pPr>
          </w:p>
        </w:tc>
        <w:tc>
          <w:tcPr>
            <w:tcW w:w="1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2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w w:val="92"/>
              </w:rPr>
              <w:t>Preferred stock, $0.01 par value, 50,000,000 shares authorized and no shares outstanding at</w:t>
            </w:r>
          </w:p>
        </w:tc>
        <w:tc>
          <w:tcPr>
            <w:tcW w:w="200" w:type="dxa"/>
            <w:vAlign w:val="bottom"/>
            <w:shd w:val="clear" w:color="auto" w:fill="CCEEFF"/>
          </w:tcPr>
          <w:p>
            <w:pPr>
              <w:spacing w:after="0"/>
              <w:rPr>
                <w:sz w:val="15"/>
                <w:szCs w:val="15"/>
                <w:color w:val="auto"/>
              </w:rPr>
            </w:pPr>
          </w:p>
        </w:tc>
        <w:tc>
          <w:tcPr>
            <w:tcW w:w="1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December 31, 2021 and 2020</w:t>
            </w:r>
          </w:p>
        </w:tc>
        <w:tc>
          <w:tcPr>
            <w:tcW w:w="200" w:type="dxa"/>
            <w:vAlign w:val="bottom"/>
            <w:shd w:val="clear" w:color="auto" w:fill="CCEEFF"/>
          </w:tcPr>
          <w:p>
            <w:pPr>
              <w:spacing w:after="0"/>
              <w:rPr>
                <w:sz w:val="19"/>
                <w:szCs w:val="19"/>
                <w:color w:val="auto"/>
              </w:rPr>
            </w:pPr>
          </w:p>
        </w:tc>
        <w:tc>
          <w:tcPr>
            <w:tcW w:w="19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gridSpan w:val="2"/>
          </w:tcPr>
          <w:p>
            <w:pPr>
              <w:ind w:left="220"/>
              <w:spacing w:after="0"/>
              <w:rPr>
                <w:sz w:val="20"/>
                <w:szCs w:val="20"/>
                <w:color w:val="auto"/>
              </w:rPr>
            </w:pPr>
            <w:r>
              <w:rPr>
                <w:rFonts w:ascii="Arial" w:cs="Arial" w:eastAsia="Arial" w:hAnsi="Arial"/>
                <w:sz w:val="18"/>
                <w:szCs w:val="18"/>
                <w:color w:val="auto"/>
              </w:rPr>
              <w:t>Additional paid in capital</w:t>
            </w: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11,755,069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9,363,540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346,026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12,108,268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9,415,840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gridSpan w:val="2"/>
          </w:tcPr>
          <w:p>
            <w:pPr>
              <w:ind w:left="70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12,335,263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9,594,346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40" w:name="page141"/>
    <w:bookmarkEnd w:id="1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FINANCIAL INFORMATION OF REGISTRANT PARENT COMPANY ONLY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VICI PROPERTIES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51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Year Ended December 31,</w:t>
            </w: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10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3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3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5"/>
        </w:trPr>
        <w:tc>
          <w:tcPr>
            <w:tcW w:w="51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Expenses</w:t>
            </w: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1140" w:type="dxa"/>
            <w:vAlign w:val="bottom"/>
            <w:shd w:val="clear" w:color="auto" w:fill="CCEEFF"/>
          </w:tcPr>
          <w:p>
            <w:pPr>
              <w:jc w:val="right"/>
              <w:ind w:right="95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00" w:type="dxa"/>
            <w:vAlign w:val="bottom"/>
          </w:tcPr>
          <w:p>
            <w:pPr>
              <w:ind w:left="340"/>
              <w:spacing w:after="0"/>
              <w:rPr>
                <w:sz w:val="20"/>
                <w:szCs w:val="20"/>
                <w:color w:val="auto"/>
              </w:rPr>
            </w:pPr>
            <w:r>
              <w:rPr>
                <w:rFonts w:ascii="Arial" w:cs="Arial" w:eastAsia="Arial" w:hAnsi="Arial"/>
                <w:sz w:val="18"/>
                <w:szCs w:val="18"/>
                <w:color w:val="auto"/>
              </w:rPr>
              <w:t>Total expenses</w:t>
            </w:r>
          </w:p>
        </w:tc>
        <w:tc>
          <w:tcPr>
            <w:tcW w:w="1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Equity in earnings of investment in subsidiary</w:t>
            </w:r>
          </w:p>
        </w:tc>
        <w:tc>
          <w:tcPr>
            <w:tcW w:w="1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1,013,840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891,620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532,699</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13,265</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1,013,851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891,674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545,964</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w:t>
            </w:r>
          </w:p>
        </w:tc>
        <w:tc>
          <w:tcPr>
            <w:tcW w:w="1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140" w:type="dxa"/>
            <w:vAlign w:val="bottom"/>
            <w:tcBorders>
              <w:top w:val="single" w:sz="8" w:color="auto"/>
              <w:bottom w:val="single" w:sz="8" w:color="auto"/>
            </w:tcBorders>
          </w:tcPr>
          <w:p>
            <w:pPr>
              <w:jc w:val="right"/>
              <w:ind w:right="95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1,013,851</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891,674</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545,964</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Other comprehensive income</w:t>
            </w: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140" w:type="dxa"/>
            <w:vAlign w:val="bottom"/>
            <w:shd w:val="clear" w:color="auto" w:fill="CCEEFF"/>
          </w:tcPr>
          <w:p>
            <w:pPr>
              <w:jc w:val="right"/>
              <w:ind w:right="95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1,013,851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891,674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545,964</w:t>
            </w:r>
          </w:p>
        </w:tc>
        <w:tc>
          <w:tcPr>
            <w:tcW w:w="0" w:type="dxa"/>
            <w:vAlign w:val="bottom"/>
          </w:tcPr>
          <w:p>
            <w:pPr>
              <w:spacing w:after="0"/>
              <w:rPr>
                <w:sz w:val="1"/>
                <w:szCs w:val="1"/>
                <w:color w:val="auto"/>
              </w:rPr>
            </w:pPr>
          </w:p>
        </w:tc>
      </w:tr>
      <w:tr>
        <w:trPr>
          <w:trHeight w:val="175"/>
        </w:trPr>
        <w:tc>
          <w:tcPr>
            <w:tcW w:w="5100" w:type="dxa"/>
            <w:vAlign w:val="bottom"/>
          </w:tcPr>
          <w:p>
            <w:pPr>
              <w:ind w:left="220"/>
              <w:spacing w:after="0" w:line="176" w:lineRule="exact"/>
              <w:rPr>
                <w:sz w:val="20"/>
                <w:szCs w:val="20"/>
                <w:color w:val="auto"/>
              </w:rPr>
            </w:pPr>
            <w:r>
              <w:rPr>
                <w:rFonts w:ascii="Arial" w:cs="Arial" w:eastAsia="Arial" w:hAnsi="Arial"/>
                <w:sz w:val="18"/>
                <w:szCs w:val="18"/>
                <w:color w:val="auto"/>
              </w:rPr>
              <w:t>Unrealized gain (loss) on cash flow hedges - investment in</w:t>
            </w:r>
          </w:p>
        </w:tc>
        <w:tc>
          <w:tcPr>
            <w:tcW w:w="1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29,166</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(27,443)</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(42,954)</w:t>
            </w:r>
          </w:p>
        </w:tc>
        <w:tc>
          <w:tcPr>
            <w:tcW w:w="0" w:type="dxa"/>
            <w:vAlign w:val="bottom"/>
          </w:tcPr>
          <w:p>
            <w:pPr>
              <w:spacing w:after="0"/>
              <w:rPr>
                <w:sz w:val="1"/>
                <w:szCs w:val="1"/>
                <w:color w:val="auto"/>
              </w:rPr>
            </w:pPr>
          </w:p>
        </w:tc>
      </w:tr>
      <w:tr>
        <w:trPr>
          <w:trHeight w:val="230"/>
        </w:trPr>
        <w:tc>
          <w:tcPr>
            <w:tcW w:w="5100" w:type="dxa"/>
            <w:vAlign w:val="bottom"/>
          </w:tcPr>
          <w:p>
            <w:pPr>
              <w:ind w:left="220"/>
              <w:spacing w:after="0"/>
              <w:rPr>
                <w:sz w:val="20"/>
                <w:szCs w:val="20"/>
                <w:color w:val="auto"/>
              </w:rPr>
            </w:pPr>
            <w:r>
              <w:rPr>
                <w:rFonts w:ascii="Arial" w:cs="Arial" w:eastAsia="Arial" w:hAnsi="Arial"/>
                <w:sz w:val="18"/>
                <w:szCs w:val="18"/>
                <w:color w:val="auto"/>
              </w:rPr>
              <w:t>subsidiaries</w:t>
            </w:r>
          </w:p>
        </w:tc>
        <w:tc>
          <w:tcPr>
            <w:tcW w:w="11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1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1"/>
              </w:rPr>
              <w:t>Reclassification of realized loss on cash flow hedges to net income</w:t>
            </w:r>
          </w:p>
        </w:tc>
        <w:tc>
          <w:tcPr>
            <w:tcW w:w="1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64,239</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investment in subsidiaries</w:t>
            </w:r>
          </w:p>
        </w:tc>
        <w:tc>
          <w:tcPr>
            <w:tcW w:w="11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20" w:type="dxa"/>
            <w:vAlign w:val="bottom"/>
            <w:gridSpan w:val="2"/>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140" w:type="dxa"/>
            <w:vAlign w:val="bottom"/>
            <w:tcBorders>
              <w:top w:val="single" w:sz="8" w:color="auto"/>
              <w:bottom w:val="single" w:sz="8" w:color="auto"/>
            </w:tcBorders>
          </w:tcPr>
          <w:p>
            <w:pPr>
              <w:jc w:val="right"/>
              <w:ind w:right="95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1,107,256</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864,231</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503,010</w:t>
            </w: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41" w:name="page142"/>
    <w:bookmarkEnd w:id="1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FINANCIAL INFORMATION OF REGISTRANT PARENT COMPANY ONLY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VICI PROPERTIES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5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Year Ended December 31,</w:t>
            </w: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r>
      <w:tr>
        <w:trPr>
          <w:trHeight w:val="207"/>
        </w:trPr>
        <w:tc>
          <w:tcPr>
            <w:tcW w:w="5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10"/>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30"/>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30"/>
              <w:spacing w:after="0"/>
              <w:rPr>
                <w:sz w:val="20"/>
                <w:szCs w:val="20"/>
                <w:color w:val="auto"/>
              </w:rPr>
            </w:pPr>
            <w:r>
              <w:rPr>
                <w:rFonts w:ascii="Arial" w:cs="Arial" w:eastAsia="Arial" w:hAnsi="Arial"/>
                <w:sz w:val="16"/>
                <w:szCs w:val="16"/>
                <w:b w:val="1"/>
                <w:bCs w:val="1"/>
                <w:color w:val="auto"/>
              </w:rPr>
              <w:t>2019</w:t>
            </w:r>
          </w:p>
        </w:tc>
      </w:tr>
      <w:tr>
        <w:trPr>
          <w:trHeight w:val="215"/>
        </w:trPr>
        <w:tc>
          <w:tcPr>
            <w:tcW w:w="510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1,013,851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891,674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545,964</w:t>
            </w:r>
          </w:p>
        </w:tc>
      </w:tr>
      <w:tr>
        <w:trPr>
          <w:trHeight w:val="175"/>
        </w:trPr>
        <w:tc>
          <w:tcPr>
            <w:tcW w:w="5100" w:type="dxa"/>
            <w:vAlign w:val="bottom"/>
          </w:tcPr>
          <w:p>
            <w:pPr>
              <w:ind w:left="140"/>
              <w:spacing w:after="0" w:line="176" w:lineRule="exact"/>
              <w:rPr>
                <w:sz w:val="20"/>
                <w:szCs w:val="20"/>
                <w:color w:val="auto"/>
              </w:rPr>
            </w:pPr>
            <w:r>
              <w:rPr>
                <w:rFonts w:ascii="Arial" w:cs="Arial" w:eastAsia="Arial" w:hAnsi="Arial"/>
                <w:sz w:val="18"/>
                <w:szCs w:val="18"/>
                <w:color w:val="auto"/>
                <w:w w:val="99"/>
              </w:rPr>
              <w:t>Adjustments to reconcile net income to cash flows provided by</w:t>
            </w:r>
          </w:p>
        </w:tc>
        <w:tc>
          <w:tcPr>
            <w:tcW w:w="4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230"/>
        </w:trPr>
        <w:tc>
          <w:tcPr>
            <w:tcW w:w="510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in income from subsidiaries</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(1,013,840)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(891,620)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(532,699)</w:t>
            </w: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Distributions of earnings from subsidiaries</w:t>
            </w:r>
          </w:p>
        </w:tc>
        <w:tc>
          <w:tcPr>
            <w:tcW w:w="46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13,334</w:t>
            </w:r>
          </w:p>
        </w:tc>
      </w:tr>
      <w:tr>
        <w:trPr>
          <w:trHeight w:val="23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operating assets and liabilities:</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5100" w:type="dxa"/>
            <w:vAlign w:val="bottom"/>
          </w:tcPr>
          <w:p>
            <w:pPr>
              <w:ind w:left="220"/>
              <w:spacing w:after="0"/>
              <w:rPr>
                <w:sz w:val="20"/>
                <w:szCs w:val="20"/>
                <w:color w:val="auto"/>
              </w:rPr>
            </w:pPr>
            <w:r>
              <w:rPr>
                <w:rFonts w:ascii="Arial" w:cs="Arial" w:eastAsia="Arial" w:hAnsi="Arial"/>
                <w:sz w:val="18"/>
                <w:szCs w:val="18"/>
                <w:color w:val="auto"/>
              </w:rPr>
              <w:t>Change in other assets</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(1,288)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accrued expenses and deferred revenue</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r>
      <w:tr>
        <w:trPr>
          <w:trHeight w:val="229"/>
        </w:trPr>
        <w:tc>
          <w:tcPr>
            <w:tcW w:w="5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Change in intercompany balances, net</w:t>
            </w: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(1,985)</w:t>
            </w:r>
          </w:p>
        </w:tc>
      </w:tr>
      <w:tr>
        <w:trPr>
          <w:trHeight w:val="223"/>
        </w:trPr>
        <w:tc>
          <w:tcPr>
            <w:tcW w:w="51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Cash flows from operating activities</w:t>
            </w: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26,032</w:t>
            </w:r>
          </w:p>
        </w:tc>
      </w:tr>
      <w:tr>
        <w:trPr>
          <w:trHeight w:val="250"/>
        </w:trPr>
        <w:tc>
          <w:tcPr>
            <w:tcW w:w="5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Investment in subsidiary</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(2,387,866)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(1,540,227)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(1,700,748)</w:t>
            </w:r>
          </w:p>
        </w:tc>
      </w:tr>
      <w:tr>
        <w:trPr>
          <w:trHeight w:val="23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Distributions from subsidiaries</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759,350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614,314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232,875</w:t>
            </w:r>
          </w:p>
        </w:tc>
      </w:tr>
      <w:tr>
        <w:trPr>
          <w:trHeight w:val="229"/>
        </w:trPr>
        <w:tc>
          <w:tcPr>
            <w:tcW w:w="5100" w:type="dxa"/>
            <w:vAlign w:val="bottom"/>
          </w:tcPr>
          <w:p>
            <w:pPr>
              <w:ind w:left="140"/>
              <w:spacing w:after="0"/>
              <w:rPr>
                <w:sz w:val="20"/>
                <w:szCs w:val="20"/>
                <w:color w:val="auto"/>
              </w:rPr>
            </w:pPr>
            <w:r>
              <w:rPr>
                <w:rFonts w:ascii="Arial" w:cs="Arial" w:eastAsia="Arial" w:hAnsi="Arial"/>
                <w:sz w:val="18"/>
                <w:szCs w:val="18"/>
                <w:color w:val="auto"/>
              </w:rPr>
              <w:t>Investments in short-term investments</w:t>
            </w:r>
          </w:p>
        </w:tc>
        <w:tc>
          <w:tcPr>
            <w:tcW w:w="46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(342,767)</w:t>
            </w:r>
          </w:p>
        </w:tc>
      </w:tr>
      <w:tr>
        <w:trPr>
          <w:trHeight w:val="23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Maturities of short-term investments</w:t>
            </w:r>
          </w:p>
        </w:tc>
        <w:tc>
          <w:tcPr>
            <w:tcW w:w="4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760,419</w:t>
            </w:r>
          </w:p>
        </w:tc>
      </w:tr>
      <w:tr>
        <w:trPr>
          <w:trHeight w:val="223"/>
        </w:trPr>
        <w:tc>
          <w:tcPr>
            <w:tcW w:w="510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Cash flows used in investing activities</w:t>
            </w:r>
          </w:p>
        </w:tc>
        <w:tc>
          <w:tcPr>
            <w:tcW w:w="4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(1,628,516)</w:t>
            </w:r>
          </w:p>
        </w:tc>
        <w:tc>
          <w:tcPr>
            <w:tcW w:w="12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(925,913)</w:t>
            </w:r>
          </w:p>
        </w:tc>
        <w:tc>
          <w:tcPr>
            <w:tcW w:w="12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(1,050,221)</w:t>
            </w:r>
          </w:p>
        </w:tc>
      </w:tr>
      <w:tr>
        <w:trPr>
          <w:trHeight w:val="250"/>
        </w:trPr>
        <w:tc>
          <w:tcPr>
            <w:tcW w:w="5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follow-on offering of common stock</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2,386,911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1,539,862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1,164,307</w:t>
            </w:r>
          </w:p>
        </w:tc>
      </w:tr>
      <w:tr>
        <w:trPr>
          <w:trHeight w:val="230"/>
        </w:trPr>
        <w:tc>
          <w:tcPr>
            <w:tcW w:w="5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Dividends paid</w:t>
            </w: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(758,790)</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(612,205)</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(503,958)</w:t>
            </w:r>
          </w:p>
        </w:tc>
      </w:tr>
      <w:tr>
        <w:trPr>
          <w:trHeight w:val="223"/>
        </w:trPr>
        <w:tc>
          <w:tcPr>
            <w:tcW w:w="51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Cash flows provided by financing activities</w:t>
            </w: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1,628,121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927,657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660,349</w:t>
            </w:r>
          </w:p>
        </w:tc>
      </w:tr>
      <w:tr>
        <w:trPr>
          <w:trHeight w:val="250"/>
        </w:trPr>
        <w:tc>
          <w:tcPr>
            <w:tcW w:w="5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Net increase (decrease) in cash, cash equivalents and restricted cash</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(363,840)</w:t>
            </w:r>
          </w:p>
        </w:tc>
      </w:tr>
      <w:tr>
        <w:trPr>
          <w:trHeight w:val="23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9"/>
              </w:rPr>
              <w:t>Cash, cash equivalents and restricted cash, beginning of period</w:t>
            </w: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377,752</w:t>
            </w: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13,912</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42" w:name="page143"/>
    <w:bookmarkEnd w:id="1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FINANCIAL INFORMATION OF REGISTRANT PARENT COMPANY ONLY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VICI PROPERTIES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INFORMATION</w:t>
      </w:r>
    </w:p>
    <w:p>
      <w:pPr>
        <w:spacing w:after="0" w:line="234" w:lineRule="exact"/>
        <w:rPr>
          <w:sz w:val="20"/>
          <w:szCs w:val="20"/>
          <w:color w:val="auto"/>
        </w:rPr>
      </w:pPr>
    </w:p>
    <w:p>
      <w:pPr>
        <w:ind w:left="340" w:hanging="332"/>
        <w:spacing w:after="0"/>
        <w:tabs>
          <w:tab w:leader="none" w:pos="34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and Basis of Presentation</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condensed parent company financial information has been prepared in accordance with Rule 12-04, Schedule 1 of Regulation S-X, as the restricted net assets of VICI exceeds 25% of the consolidated net assets of VICI. This information should be read in conjunction with our Financial Statements included elsewhere in this filing.</w:t>
      </w:r>
    </w:p>
    <w:p>
      <w:pPr>
        <w:spacing w:after="0" w:line="126" w:lineRule="exact"/>
        <w:rPr>
          <w:sz w:val="20"/>
          <w:szCs w:val="20"/>
          <w:color w:val="auto"/>
        </w:rPr>
      </w:pPr>
    </w:p>
    <w:p>
      <w:pPr>
        <w:ind w:left="340" w:hanging="332"/>
        <w:spacing w:after="0"/>
        <w:tabs>
          <w:tab w:leader="none" w:pos="34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net assets of subsidiaries</w:t>
      </w:r>
    </w:p>
    <w:p>
      <w:pPr>
        <w:spacing w:after="0" w:line="17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VICI PropCo has certain restrictions on its ability to pay dividends or make intercompany loans and advances pursuant to financing arrangements. On December 22, 2017, VICI PropCo entered into the Existing Credit Agreement governing the Term Loan B Facility and the Secured Revolving Credit Facility. The Existing Credit Agreement contains customary covenants that, among other things, limit the ability of VICI PropCo and its restricted subsidiaries to: (i) incur additional indebtedness; (ii) merge with a third party or engage in other fundamental changes; (iii) make restricted payments; (iv) enter into, create, incur or assume any liens; (v) make certain sales and other dispositions of assets; (vi) enter into certain transactions with affiliates; (vii) make certain payments on certain other indebtedness; (viii) make certain investments; and (ix) incur restrictions on the ability of restricted subsidiaries to make certain distributions, loans or transfers of assets to VICI PropCo or any restricted subsidiary. These covenants are subject to a number of exceptions and qualifications, including the ability to make unlimited restricted payments to maintain our REIT status and to avoid the payment of federal or state income or excise tax, the ability to make restricted payments in an amount not to exceed 95% of our Funds from Operations (as defined in the Existing Credit Agreement) subject to no event of default under the Existing Credit Agreement and pro forma compliance with the financial covenant pursuant to the Existing Credit Agreement, and the ability to make additional restricted payments in an aggregate amount not to exceed the greater of 0.6% of Adjusted Total Assets (as defined in the Existing Credit Agreement) or $30,000,000. Commencing with the first full fiscal quarter ended after December 22, 2017, if the outstanding amount of the Secured Revolving Credit Facility plus any drawings under letters of credit issued pursuant to the Existing Credit Agreement that have not been reimbursed as of the end of any fiscal quarter exceeds 30% of the aggregate amount of the Secured Revolving Credit Facility, VICI PropCo and its restricted subsidiaries on a consolidated basis would be required to maintain a maximum Total Net Debt to Adjusted Total Assets Ratio, as defined in the Existing Credit Agreement, as of the last day of any applicable fiscal quarter. On September 15, 2021, we repaid in full the Term Loan B Facility and, as of December 31, 2021, no amount was outstanding under the existing Secured Revolving Credit Facility. Subsequent to year end on February 8, 2022, we entered into the Credit Agreement providing for the Credit Facilities, comprised of (i) the Revolving Credit Facility in the amount of $2.5 billion and the Delayed Draw Term Loan in the amount of $1.0 billion and concurrently terminated our Secured Revolving Credit Facility (including the first priority lien on substantially all of VICI PropCo’s and its existing and subsequently acquired wholly owned material domestic restricted subsidiaries’ material assets) and Existing Credit Agreement. Pursuant to the terms of the Credit Agreement, the Operating Partnership is subject to, among other things, customary covenants and the maintenance of various financial covenants.</w:t>
      </w:r>
    </w:p>
    <w:p>
      <w:pPr>
        <w:spacing w:after="0" w:line="34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November 2019 Senior Unsecured Notes and the February 2020 Senior Unsecured Notes (together, the “Senior Unsecured Notes”) were issued in November 2019 and February 2020, respectively, pursuant to indentures (the “Senior Unsecured Notes Indentures”) by and among the Operating Partnership and VICI Note Co. Inc. (the “Co-Issuer” and, together with the Operating Partnership, the “Senior Unsecured Notes Issuers”), the subsidiary guarantors party thereto and UMB Bank, National Association, as trustee. The Senior Unsecured Notes Indentures contain covenants that limit the Issuers’ and their restricted subsidiaries’ ability to, among other things: (i) incur additional debt; (ii) pay dividends on or make other distributions in respect of their capital stock or make other restricted payments; (iii) make certain investments; (iv) sell certain assets; (v) create or permit to exist dividend and/or payment restrictions affecting their restricted subsidiaries; (vi) create liens on certain assets to secure debt; (vii) consolidate, merge, sell or otherwise dispose of all or substantially all of their assets; (viii) enter into certain transactions with their affiliates; and (ix) designate their subsidiaries as unrestricted subsidiaries. These covenants are subject to a number of exceptions and qualifications, including the ability to declare or pay any cash dividend or make any cash distribution to VICI to the extent necessary for VICI to fund a dividend or distribution by VICI that it believes is necessary to maintain its status as a REIT or to avoid payment of any tax for any calendar year that could be avoided by reason of such distribution, and the ability to make certain restricted payments not to exceed 95% of our cumulative Funds From Operations (as defined in the Senior Unsecured Notes Indentures), plus the aggregate net proceeds from (i) the sale of certain equity interests in, (ii) capital contributions to, and (iii) certain convertible indebtedness of the Operating Partnership.</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amount of restricted net assets the Company’s consolidated subsidiaries held as of December 31, 2021 was approximately $7.4 billion.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43" w:name="page144"/>
    <w:bookmarkEnd w:id="1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w:t>
      </w:r>
    </w:p>
    <w:p>
      <w:pPr>
        <w:spacing w:after="0" w:line="171" w:lineRule="exact"/>
        <w:rPr>
          <w:sz w:val="20"/>
          <w:szCs w:val="20"/>
          <w:color w:val="auto"/>
        </w:rPr>
      </w:pPr>
    </w:p>
    <w:p>
      <w:pPr>
        <w:ind w:left="340" w:hanging="332"/>
        <w:spacing w:after="0"/>
        <w:tabs>
          <w:tab w:leader="none" w:pos="34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long-term obligations</w:t>
      </w:r>
    </w:p>
    <w:p>
      <w:pPr>
        <w:spacing w:after="0" w:line="175" w:lineRule="exact"/>
        <w:rPr>
          <w:sz w:val="20"/>
          <w:szCs w:val="20"/>
          <w:color w:val="auto"/>
        </w:rPr>
      </w:pPr>
    </w:p>
    <w:p>
      <w:pPr>
        <w:ind w:right="2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For a discussion of our commitments, contingencies, and long-term obligations under its senior secured credit facilities, see </w:t>
      </w:r>
      <w:hyperlink w:anchor="page122">
        <w:r>
          <w:rPr>
            <w:rFonts w:ascii="Arial" w:cs="Arial" w:eastAsia="Arial" w:hAnsi="Arial"/>
            <w:sz w:val="18"/>
            <w:szCs w:val="18"/>
            <w:u w:val="single" w:color="auto"/>
            <w:color w:val="0000FF"/>
          </w:rPr>
          <w:t>Note 7 - Debt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our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- 5</w:t>
      </w:r>
    </w:p>
    <w:p>
      <w:pPr>
        <w:sectPr>
          <w:pgSz w:w="11900" w:h="16838" w:orient="portrait"/>
          <w:cols w:equalWidth="0" w:num="1">
            <w:col w:w="11240"/>
          </w:cols>
          <w:pgMar w:left="320" w:top="179"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REGISTRANT’S SECURITIES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The following is a summary of the rights and preferences of our common stock. This summary does not purport to be complete and is subject to and is qualified in its entirety by reference to our charter and bylaws and applicable provisions of the Maryland General Corporation Law (“MGCL”). While we believe the following summary covers the material terms of our common stock, the description may not include all of the information that is important to you. We encourage you to read carefully our charter and bylaws and the applicable provisions of the MGCL for a more complete understanding of our common stock. Each of our charter and bylaws is attached as an exhibit to the Annual Report on Form 10-K.</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charter authorizes us to issue up to 1,350,000,000 shares of common stock, $0.01 par value per share, and up to 50,000,000 shares of preferred stock, $0.01 par value per share, of which 12,000,000 shares are classified as Series A preferred stock, $0.01 par value per share. Our charter authorizes our board of directors, without stockholder approval, to amend our charter to increase or decrease the aggregate number of shares of stock that we are authorized to issue or the number of authorized shares of any class or series, subject to the terms of any outstanding preferred stock.</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2021, 628,942,092 shares of our common stock are issued and outstanding, and no shares of preferred stock of any kind (including Series A preferred stock) are issued or outstanding.</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Under Maryland law, a stockholder generally is not liable for a corporation’s debts or obligations solely as a result of the stockholder’s status as a stockholder.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Subject to the restrictions on ownership and transfer of our stock discussed below under the caption “Restrictions on Ownership and Transfer” and the voting rights of holders of outstanding shares of any other class or series of our stock, holders of our common stock will be entitled to one vote for each share held of record on all matters on which stockholders are entitled to vote generally, including the election or removal of directors. The holders of our common stock will not have cumulative voting rights in the election of directors.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Holders of our common stock will be entitled to receive dividends if, as and when authorized by our board of directors and declared by us out of assets legally available for the payment of dividends. Upon our liquidation, dissolution or winding up and after payment in full of all amounts required to be paid to creditors and to the holders of outstanding shares of any class or series of our stock having liquidation preferences, if any, the holders of our common stock will be entitled to receive pro rata our remaining assets available for distribution. Holders of our common stock will not have preemptive, subscription, redemption, preference, exchange, conversion or appraisal rights. There will be no sinking fund provisions applicable to the common stock. All issued and outstanding shares of our common stock will be fully paid and nonassessable and will have equal dividend and liquidation rights. The rights, powers, preferences and privileges of holders of our common stock will be subject to those of the holders of any shares of our preferred stock or any other class or series of stock we may authorize and issue in the future.</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Under Maryland law, a Maryland corporation generally may not amend its charter (with limited exceptions), consolidate, merge, convert, sell all or substantially all of its assets, engage in a statutory share exchange or dissolve unless the action is advised by its board of directors and approved by the affirmative vote of stockholders entitled to cast at least two-thirds of the votes entitled to be cast on the matter. As permitted by Maryland law, our charter provides that any of these actions, once advised by our board of directors, may be approved by the affirmative vote of stockholders entitled to cast a majority of all of the votes entitled to be cast on the matter, except for amendments to the charter provisions relating to indemnification and limitation of liability and certain amendments to our charter affecting these provisions, which require the affirmative vote of stockholders entitled to cast 75% of all of the votes entitled to be cast generally in the election of directors. See “Certain Provisions of Maryland Law and Our Charter and Bylaws.” Maryland law also permits a corporation to transfer all or substantially all of its assets without the approval of its stockholders to an entity owned, directly or indirectly, by the corporation. In addition, because many of our operating assets are held by our subsidiaries, these subsidiaries will be able to merge or sell all or substantially all of their assets without the approval of our stockholders.</w:t>
      </w:r>
    </w:p>
    <w:p>
      <w:pPr>
        <w:sectPr>
          <w:pgSz w:w="11900" w:h="16838" w:orient="portrait"/>
          <w:cols w:equalWidth="0" w:num="1">
            <w:col w:w="11240"/>
          </w:cols>
          <w:pgMar w:left="320" w:top="135" w:right="3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color w:val="auto"/>
        </w:rPr>
        <w:t>Power to Reclassify and Issue Stock</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Subject to the rights of holders of any outstanding shares of our preferred stock, our board of directors will be able to, without approval of holders of our common stock, classify and reclassify any unissued shares of our stock into other classes or series of stock, including one or more classes or series of stock that have preference over our common stock with respect to dividends or upon liquidation, or have voting rights and other rights that differ from the rights of the common stock, and authorize us to issue the newly-classified shares. Before authorizing the issuance of shares of any new class or series, our board of directors will be required to set, subject to the provisions in our charter relating to the restrictions on ownership and transfer of our stock, the preferences, conversion or other rights, voting powers, restrictions, limitations as to dividends or other distributions, qualifications and terms or conditions of redemption for each class or series of stock. In addition, our charter authorizes our board of directors, with the approval of a majority of our board of directors and without stockholder approval, to amend our charter to increase or decrease the aggregate number of shares of stock, or the number of shares of any class or series of stock, that we are authorized to issue, subject to the rights of holders of our preferred stock. These actions will be able to be taken without the approval of holders of our common stock unless such approval is required by applicable law, the terms of any other class or series of our stock or the rules of any stock exchange or automated quotation system on which any of our stock is listed or traded.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Prior to issuance of shares of each class or series of preferred stock having terms not already established pursuant to our charter, our board of directors is required by the MGCL and our charter to set the preferences, conversion and other rights, voting powers, restrictions, limitations as to dividends and other distributions, qualifications and terms and conditions of redemption for each such class or series. Our board of directors could authorize the issuance of shares of preferred stock that have priority over our common stock with respect to dividends or rights upon liquidation or with terms and conditions which could have the effect of delaying, deferring or preventing a transaction or a change of control of our company that might involve a premium price for holders of our common stock or otherwise be in their best interests.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Preferred Stock</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Of the 50,000,000 shares of preferred stock authorized for issuance under our charter, 12,000,000 shares are classified as Series A preferred stock, $0.01 par value per share, all of which automatically converted on November 6, 2017 in accordance with the terms of the Series A preferred stock into shares of our common stock. As a result of this conversion, none of the authorized shares of Series A preferred stock are currently issued or outstanding. Our board of directors has no plans to issue any shares of Series A preferred stock as currently constituted, and given the terms applicable to the Series A preferred stock and the circumstances in which originally issued, any such additional issuance would be impractical. Our board of directors could, however, without stockholder approval, reclassify the authorized but unissued shares of Series A preferred stock as preferred stock without further designation, or into one or more other or additional series or classes of our capital stock, pursuant to its power to reclassify stock, as described above, and cause us to issue the newly-classified shares, subject, however, to the rights of holders of any then outstanding shares of our preferred stock. For detail regarding these and other terms applicable to our authorized Series A preferred stock, we encourage you to read carefully the terms thereof, as set forth in our charter.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order for us to qualify as a REIT for U.S. Federal income tax purposes, our stock must be beneficially owned by 100 or more persons during at least 335 days of a taxable year of 12 months or during a proportionate part of a shorter taxable year. Also, not more than 50% of the value of the outstanding shares of our stock may be owned, directly or indirectly, by five or fewer individuals (as defined in the Internal Revenue Code of 1986, as amended from time to time (the “Code”) to include certain entities such as qualified pension plans) during the last half of a taxable year.</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charter contains restrictions on the ownership and transfer of our stock. Subject to the exceptions described below, our charter provides that no person or entity will be able to beneficially own, or be deemed to own by virtue of the applicable constructive ownership provisions of the Code, with respect to any class or series of our capital stock (including our common stock), more than 9.8% (in value or by number of shares, whichever is more restrictive) of the aggregate of the outstanding shares of such class or series of our capital stock.</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17" w:right="339" w:bottom="1440" w:gutter="0" w:footer="0" w:header="0"/>
        </w:sectPr>
      </w:pPr>
    </w:p>
    <w:bookmarkStart w:id="146" w:name="page147"/>
    <w:bookmarkEnd w:id="146"/>
    <w:p>
      <w:pPr>
        <w:jc w:val="both"/>
        <w:spacing w:after="0" w:line="259" w:lineRule="auto"/>
        <w:rPr>
          <w:sz w:val="20"/>
          <w:szCs w:val="20"/>
          <w:color w:val="auto"/>
        </w:rPr>
      </w:pPr>
      <w:r>
        <w:rPr>
          <w:rFonts w:ascii="Arial" w:cs="Arial" w:eastAsia="Arial" w:hAnsi="Arial"/>
          <w:sz w:val="18"/>
          <w:szCs w:val="18"/>
          <w:color w:val="auto"/>
        </w:rPr>
        <w:t>The constructive ownership rules under the Code are complex and may cause stock owned actually or constructively by a group of related individuals and/or entities to be owned constructively by one individual or entity. As a result, the acquisition of 9.8% or less of a class or series of our capital stock, or the acquisition of an interest in an entity that owns our stock, could, nevertheless, cause the acquirer or another individual or entity to own our stock in excess of the ownership limit.</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 exemption from the 9.8% ownership limit was granted to certain stockholders, and our board may in the future provide exceptions to the ownership limit for other stockholders, subject to certain initial and ongoing conditions designed to protect our status as a REIT. In addition, our charter provides that our board of directors will have the power to, upon receipt of certain representations and agreements and in its sole discretion, prospectively or retroactively, exempt a person from the ownership limit or establish a different limit on ownership for a particular stockholder if the stockholder’s ownership in excess of the ownership limit would not result in our being “closely held” under Section 856(h) of the Code (without regard to whether the ownership interest is held during the last half of a taxable year) or otherwise failing to qualify as a REIT. As a condition to granting a waiver of the ownership limit or creating an excepted holder limit, our board of directors will be able, but will not be required, to require an opinion of counsel or IRS ruling satisfactory to our board of directors as it may deem necessary or advisable to determine or ensure our status as a REIT and may impose such other conditions or restrictions as it deems appropriate.</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granting a waiver of the ownership limit or creating or modifying an excepted holder limit, or at any other time, our charter provides that our board of directors will be able to increase or decrease the ownership limit unless, after giving effect to any increased or decreased ownership limit, five or fewer individuals (as defined in the Code to include certain entities such as qualified pension plans) could beneficially own or constructively own, in the aggregate, more than 50% in value of the shares of our stock then outstanding or we would otherwise fail to qualify as a REIT. A decreased ownership limit will not apply to any person or entity whose percentage ownership of our stock is in excess of the decreased ownership limit until the person or entity’s ownership of our stock equals or falls below the decreased ownership limit, but any further acquisition of our stock will be subject to the decreased ownership limit.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Our charter also provides that:</w:t>
      </w:r>
    </w:p>
    <w:p>
      <w:pPr>
        <w:spacing w:after="0" w:line="225" w:lineRule="exact"/>
        <w:rPr>
          <w:sz w:val="20"/>
          <w:szCs w:val="20"/>
          <w:color w:val="auto"/>
        </w:rPr>
      </w:pPr>
    </w:p>
    <w:p>
      <w:pPr>
        <w:jc w:val="both"/>
        <w:ind w:left="660" w:hanging="328"/>
        <w:spacing w:after="0" w:line="263"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person is prohibited from owning shares of our stock that, if effective, would cause us to constructively own more than 10% of the ownership interests, assets or net profits in (i) any of our tenants or (ii) any tenant of one of our direct or indirect subsidiaries, to the extent such ownership would cause us to fail to qualify as a REIT;</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person is prohibited from beneficially or constructively owning shares of our stock that would result in our being “closely held” under Section 856(h) of the Code (without regard to whether the ownership interest is held during the last half of a taxable year) or otherwise cause us to fail to qualify as a REIT; and</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person is prohibited from transferring shares of our stock if the transfer would result in shares of our stock being beneficially owned by fewer than 100 persons.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charter provides that any person who acquires or attempts or intends to acquire beneficial or constructive ownership of shares of our stock that will or may violate the ownership limit or any other restrictions on ownership and transfer of our stock discussed above, and any person who owned or would have owned shares of our stock that are transferred to a trust for the benefit of one or more charitable beneficiaries described below, will be required to give immediate written notice of such an event or, in the case of a proposed or attempted transfer, give at least five days’ prior written notice to us and provide us with such other information as we may request in order to determine the effect of the transfer on our status as a REIT. The provisions of our charter relating to the restrictions on ownership and transfer of our stock will not apply if our board of directors determines that it is no longer in our best interests to attempt to qualify, or to continue to qualify, as a REIT, or that compliance is no longer required in order for us to qualify as a REIT.</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charter provides that any attempted transfer of our stock that, if effective, would result in our stock being beneficially owned by fewer than 100 persons will be void ab initio and the intended transferee will acquire no rights in such shares of stock. Our charter provides that any attempted transfer of our stock that, if effective, would result in a violation of the ownership limit (or other limit established by our charter or our board of directors), any person owning shares of our stock that, if effective, would cause us to constructively own more than 10% of the ownership interests, assets or net profits in (i) any of our tenants or (ii) any tenant of one of our direct or indirect subsidiaries, to the extent such ownership would cause us to fail to qualify as a REIT, or our being “closely held” under Section 856(h) of the Code or our otherwise failing to qualify as a REIT, will be void ab initio and the intended transferee will acquire no rights in such shares of stock and, if such voidness is not effective, the number of shares causing the violation (rounded up to the nearest whole share) will be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313" w:right="339" w:bottom="1440" w:gutter="0" w:footer="0" w:header="0"/>
        </w:sectPr>
      </w:pPr>
    </w:p>
    <w:bookmarkStart w:id="147" w:name="page148"/>
    <w:bookmarkEnd w:id="147"/>
    <w:p>
      <w:pPr>
        <w:jc w:val="both"/>
        <w:spacing w:after="0" w:line="255" w:lineRule="auto"/>
        <w:rPr>
          <w:sz w:val="20"/>
          <w:szCs w:val="20"/>
          <w:color w:val="auto"/>
        </w:rPr>
      </w:pPr>
      <w:r>
        <w:rPr>
          <w:rFonts w:ascii="Arial" w:cs="Arial" w:eastAsia="Arial" w:hAnsi="Arial"/>
          <w:sz w:val="18"/>
          <w:szCs w:val="18"/>
          <w:color w:val="auto"/>
        </w:rPr>
        <w:t>transferred automatically to a trust for the exclusive benefit of one or more charitable beneficiaries, and the intended transferee will not acquire any rights in the shares. The automatic transfer will be effective as of the close of business on the business day before the date of the attempted transfer or other event that resulted in a transfer to the trust. Our charter provides that if the transfer to the trust as described above does not occur or is not automatically effective, for any reason, to prevent a violation of the applicable restrictions on ownership and transfer of our stock, then the attempted transfer which, if effective, would have resulted in a violation on the restrictions of ownership and transfer of our stock, will be void ab initio and the intended transferee will acquire no rights in such shares of stock.</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charter provides that shares of our stock held in the trust will be issued and outstanding shares. The intended transferee may not benefit economically from ownership of any shares of our stock held in the trust and will have no rights to dividends and no rights to vote or other rights attributable to the shares of our stock held in the trust. The trustee of the trust will exercise all voting rights and receive all dividends and other distributions with respect to shares held in the trust for the exclusive benefit of the charitable beneficiary of the trust. Our charter provides that any dividend or other distribution paid before we discover that the shares have been transferred to a trust as described above must be repaid by the recipient to the trustee upon demand by us. Pursuant to our charter, subject to Maryland law, effective as of the date that the shares have been transferred to the trust, the trustee will have the authority to rescind as void any vote cast by an intended transferee before our discovery that the shares have been transferred to the trustee and to recast the vote in accordance with the direction of the trustee acting for the benefit of the charitable beneficiary of the trust.</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our charter, within 20 days of receiving notice from us of a transfer of shares to the trust, the trustee must sell the shares to a person, designated by the trustee, that would be permitted to own the shares without violating the ownership limit or the other restrictions on ownership and transfer of our stock in our charter. After such sale of the shares, the interest of the charitable beneficiary in the shares sold will terminate and the trustee must distribute to the intended transferee, an amount equal to the lesser of:</w:t>
      </w:r>
    </w:p>
    <w:p>
      <w:pPr>
        <w:spacing w:after="0" w:line="187" w:lineRule="exact"/>
        <w:rPr>
          <w:sz w:val="20"/>
          <w:szCs w:val="20"/>
          <w:color w:val="auto"/>
        </w:rPr>
      </w:pPr>
    </w:p>
    <w:p>
      <w:pPr>
        <w:jc w:val="both"/>
        <w:ind w:left="660" w:hanging="328"/>
        <w:spacing w:after="0" w:line="263" w:lineRule="auto"/>
        <w:tabs>
          <w:tab w:leader="none" w:pos="65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price paid by the intended transferee for the shares or, if the intended transferee did not give value for the shares in connection with the event that resulted in the transfer to the trust at the market price of the shares on the day of the event that resulted in the transfer of such shares to the trust; and</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sales proceeds received by the trustee for the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net sales proceeds in excess of the amount payable to the intended transferee shall be paid to the charitable beneficiary.</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charter provides that shares of our stock held in the trust will be deemed to be offered for sale to us, or our designee, at a price per share equal to the lesser of:</w:t>
      </w:r>
    </w:p>
    <w:p>
      <w:pPr>
        <w:spacing w:after="0" w:line="170" w:lineRule="exact"/>
        <w:rPr>
          <w:sz w:val="20"/>
          <w:szCs w:val="20"/>
          <w:color w:val="auto"/>
        </w:rPr>
      </w:pPr>
    </w:p>
    <w:p>
      <w:pPr>
        <w:ind w:left="660" w:hanging="328"/>
        <w:spacing w:after="0" w:line="277" w:lineRule="auto"/>
        <w:tabs>
          <w:tab w:leader="none" w:pos="65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price per share in the transaction that resulted in the transfer to the trust or, in the case of a gift, devise or other such transaction, at market price, at the time of such gift, devise or other such transaction;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market price on the date we accept, or our designee accepts, such offer.</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amount payable to the transferee may be reduced by the amount of any dividends or other distributions that we paid to the intended transferee before we discovered that the shares had been transferred to the trust and that is owed by the intended transferee to the trustee as described above. We may accept the offer until the trustee has otherwise sold the shares of our stock held in the trust. Pursuant to our charter, upon a sale to us, the interest of the charitable beneficiary in the shares sold will terminate and the trustee must distribute the net proceeds of the sale to the intended transferee and distribute any dividends or other distributions held by the trustee with respect to the shares to the charitable beneficiary.</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Every owner of 5% or more (or such lower percentage as required by the Code or the regulations promulgated thereunder) of the outstanding shares of our stock, within 30 days after the end of each taxable year, must give us written notice stating the person’s name and address, the number of shares of each class and series of our stock that the person beneficially owns and a description of the manner in which the shares are held. Each such owner also must provide us with any additional information that we request in order to determine the effect, if any, of the person’s beneficial ownership on our status as a REIT and to ensure compliance with the ownership limit. In addition, any person or entity that is a beneficial owner or constructive owner of shares of our stock and any person or entity (including the stockholder of record) who is holding shares of our stock for a beneficial owner or constructive owner will be required to, on request, disclose to us such information as we may request in order to determine our status as a REIT or to comply, or determine our compliance, with the requirements of any governmental or taxing authority.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313" w:right="339" w:bottom="1440" w:gutter="0" w:footer="0" w:header="0"/>
        </w:sectPr>
      </w:pPr>
    </w:p>
    <w:bookmarkStart w:id="148" w:name="page149"/>
    <w:bookmarkEnd w:id="148"/>
    <w:p>
      <w:pPr>
        <w:jc w:val="both"/>
        <w:spacing w:after="0" w:line="277" w:lineRule="auto"/>
        <w:rPr>
          <w:sz w:val="20"/>
          <w:szCs w:val="20"/>
          <w:color w:val="auto"/>
        </w:rPr>
      </w:pPr>
      <w:r>
        <w:rPr>
          <w:rFonts w:ascii="Arial" w:cs="Arial" w:eastAsia="Arial" w:hAnsi="Arial"/>
          <w:sz w:val="18"/>
          <w:szCs w:val="18"/>
          <w:color w:val="auto"/>
        </w:rPr>
        <w:t>If our board of directors authorizes any of our shares to be represented by certificates, the certificates will bear a legend referring to the restrictions described above.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restrictions on ownership and transfer of our stock could delay, defer or prevent a transaction or a change of control of us that might involve a premium price for our common stock or otherwise be in the best interests of our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Securities Owned or Controlled by an Unsuitable Person or Affiliate</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to the restrictions set forth above, all of our outstanding shares of capital stock will be held subject to applicable gaming laws. Any person owning or controlling at least 5% of the outstanding shares of any class of our capital stock will be required to promptly notify us of such person’s identity. Our charter provides that any shares of our capital stock that are owned or controlled by an unsuitable person or an affiliate of an unsuitable person are redeemable by us, out of funds legally available for that redemption, to the extent required by the gaming authorities making the determination of unsuitability or to the extent determined to be necessary or advisable by our board of directors. From and after the redemption date, the securities will not be considered outstanding and all rights of the unsuitable person or affiliate will cease, other than the right to receive the redemption price. The redemption price with respect to any securities to be redeemed will be the price, if any, required to be paid by the gaming authority making the finding of unsuitability or if the gaming authority does not require a price to be paid (including if the finding of unsuitability is made by our board of directors alone), an amount that in no event exceeds (1) the market price of such securities as reported on a securities exchange, a generally recognized reporting system or domestic over-the-counter market, as applicable, or (2) if such securities are not quoted by any recognized reporting system, then the fair market value thereof, as determined in good faith and in the reasonable discretion of the board of directors. The redemption price may be paid in cash, by promissory note, or both, as required by the applicable gaming authority and, if not, as determined by us. If all or a portion of the redemption price is paid with a promissory note, such note shall have a ten year term, bear interest at 3% and amortize in 120 equal monthly installments and contain such other terms determined by our board.</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charter provides that the redemption right is not exclusive and that our capital stock that is owned or controlled by an unsuitable person or an affiliate of an unsuitable person may also be transferred to a trust for the benefit of a designated charitable beneficiary, and that any such unsuitable person or affiliate will not be entitled to any dividends on the shares or be entitled to vote the shares or receive any proceeds from the subsequent sale of the shares in excess of the lesser of the price paid by the unsuitable person or affiliate for the shares or the amount realized from the sale, in each case less a discount in a percentage (up to 100%) to be determined by our board of directors in its sole and absolute discretion.</w:t>
      </w:r>
    </w:p>
    <w:p>
      <w:pPr>
        <w:spacing w:after="0" w:line="1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charter requires any unsuitable person and any affiliate of an unsuitable person to indemnify us and our affiliated companies for any and all losses, costs and expenses, including attorneys’ fees, incurred by us and our affiliated companies as a result of the unsuitable person’s ownership or control or failure to promptly divest itself of any securities of our securities when and in the specific manner required by a gaming authority or by our charter.</w:t>
      </w:r>
    </w:p>
    <w:p>
      <w:pPr>
        <w:spacing w:after="0" w:line="14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Under our charter, an unsuitable person will be defined as one who (i) fails or refuses to file an application, or has withdrawn or requested the withdrawal of a pending application, to be found suitable by any gaming authority or for any gaming license, (ii) is denied or disqualified from eligibility for any gaming license by any gaming authority, (iii) is determined by any gaming authority to be unsuitable or disqualified to own or control any of our capital stock or the capital stock or any other equity securities of any of our affiliates, (iv) is determined by any gaming authority to be unsuitable to be affiliated, associated or involved with a person engaged in gaming activities or holding a gaming license in any gaming jurisdiction, (v) causes any gaming license of our company or any of our affiliates to be lost, rejected, rescinded, suspended, revoked or not renewed, or causes our company or any of our affiliates to be threatened by any gaming authority with the loss, rejection, rescission, suspension, revocation or non-renewal of any gaming license, or (vi) is deemed likely, in the sole and absolute discretion of our board, to preclude or materially delay, impede, impair, threaten or jeopardize any gaming license, cause or otherwise result in, the disapproval, cancellation, termination, material adverse modification or non-renewal of any material contract with a gaming authority to which our company or our affiliates is a party, or cause or otherwise result in the imposition of any materially burdensome or unacceptable terms or conditions on any gaming license of our company or any of our affiliates.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340" w:right="3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auto"/>
        </w:rPr>
        <w:t>Issuance of Common Stock upon Redemption of Partnership Units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Operating Partnership, VICI Properties L.P., is a Delaware limited partnership. All of our assets (other than the golf course assets), are held by, and all of our operations (other than the golf course operations) are and will be conducted through, our Operating Partnership, either directly or through subsidiaries. VICI Properties GP LLC, our wholly-owned subsidiary, is the sole General Partner of our Operating Partnership. Some of our property acquisitions could be financed by issuing units of our Operating Partnership in exchange for property owned by third parties. Such third parties would then be entitled to share in cash distributions from, and in the profits and losses of, our Operating Partnership in proportion to their respective percentage interests in our Operating Partnership. Holders of outstanding partnership units will on the twelve-month anniversary a limited partner first becoming a holder of common units of the Operating Partnership (subject to the terms of the limited partnership agreement), have the right to elect to redeem their partnership units for cash, based upon the value of an equivalent number of shares of our common stock at the time of the election to redeem, subject to our right instead, and as expressly permitted in our charter, to acquire the partnership units tendered for redemption in exchange for an equivalent number of shares of our common stock, subject to the restrictions on ownership and transfer of our stock set forth in our charter.</w:t>
      </w:r>
    </w:p>
    <w:p>
      <w:pPr>
        <w:spacing w:after="0" w:line="16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Provisions in the limited partnership agreement may delay or make more difficult unsolicited acquisitions of us or changes in our control. These provisions could discourage third parties from making proposals involving an unsolicited acquisition of us or change of our control, although some stockholders might consider such proposals, if made, desirable. These provisions also make it more difficult for third parties to alter the management structure of our Operating Partnership without the concurrence of our board of directors. These provisions include, among others:</w:t>
      </w:r>
    </w:p>
    <w:p>
      <w:pPr>
        <w:spacing w:after="0" w:line="77" w:lineRule="exact"/>
        <w:rPr>
          <w:sz w:val="20"/>
          <w:szCs w:val="20"/>
          <w:color w:val="auto"/>
        </w:rPr>
      </w:pPr>
    </w:p>
    <w:p>
      <w:pPr>
        <w:ind w:left="660" w:hanging="328"/>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redemption rights of limited partners and certain assignees of partnership units or other Operating Partnership interests;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transfer restrictions on partnership units and restrictions on admission of partners;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 requirement that VICI Properties GP LLC may not be removed as the General Partner of our Operating Partnership without its consent;</w:t>
      </w:r>
    </w:p>
    <w:p>
      <w:pPr>
        <w:spacing w:after="0" w:line="142" w:lineRule="exact"/>
        <w:rPr>
          <w:rFonts w:ascii="Arial" w:cs="Arial" w:eastAsia="Arial" w:hAnsi="Arial"/>
          <w:sz w:val="17"/>
          <w:szCs w:val="17"/>
          <w:color w:val="auto"/>
        </w:rPr>
      </w:pPr>
    </w:p>
    <w:p>
      <w:pPr>
        <w:jc w:val="both"/>
        <w:ind w:left="660" w:hanging="328"/>
        <w:spacing w:after="0" w:line="279" w:lineRule="auto"/>
        <w:tabs>
          <w:tab w:leader="none" w:pos="65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ability of the General Partner in some cases to amend the limited partnership agreement and to cause our Operating Partnership to issue preferred partnership interests in our Operating Partnership with terms that it may determine, in either case, without the approval or consent of any limited partner; and</w:t>
      </w:r>
    </w:p>
    <w:p>
      <w:pPr>
        <w:spacing w:after="0" w:line="74" w:lineRule="exact"/>
        <w:rPr>
          <w:rFonts w:ascii="Arial" w:cs="Arial" w:eastAsia="Arial" w:hAnsi="Arial"/>
          <w:sz w:val="18"/>
          <w:szCs w:val="18"/>
          <w:color w:val="auto"/>
        </w:rPr>
      </w:pPr>
    </w:p>
    <w:p>
      <w:pPr>
        <w:ind w:left="660" w:right="20" w:hanging="328"/>
        <w:spacing w:after="0" w:line="293" w:lineRule="auto"/>
        <w:tabs>
          <w:tab w:leader="none" w:pos="65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right of any future limited partners to consent to transfers of units of other Operating Partnership interests except under specified circumstances, including in connection with mergers, consolidations and other business combinations involving us.</w:t>
      </w:r>
    </w:p>
    <w:p>
      <w:pPr>
        <w:spacing w:after="0" w:line="1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foregoing discussion of our Operating Partnership and select related matters does not purport to be complete and is subject to and qualified in its entirety by reference to the limited partnership agreement of VICI Properties L.P., which is filed as an exhibit to the Annual Report on Form 10-K.</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Maryland Law and Our Charter and Bylaws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summary of certain provisions of Maryland law and of our charter and bylaws is only a summary, and is subject to, and qualified in its entirety by reference to, our charter and bylaws and the applicable provisions of the MGCL.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and Removal of Directors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charter and bylaws provide that the number of our directors may be established only by our board of directors but may not be more than fifteen or fewer than the minimum number permitted by the MGCL, which is one. Our bylaws provide for the election of directors, in uncontested elections, by a majority of the votes cast. In contested elections, the election of directors shall be by a plurality of the votes cast. Our bylaws provide that a director may not be an “unsuitable person” as defined in our charter, and that the term of office of any director found by our board of directors to be an unsuitable person will expire.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bylaws provide that any vacancy on our board of directors may be filled only by the affirmative vote of a majority of the remaining directors in office, even if the remaining directors do not constitute a quorum of the board of directors except that a</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309" w:right="339" w:bottom="1440" w:gutter="0" w:footer="0" w:header="0"/>
        </w:sectPr>
      </w:pPr>
    </w:p>
    <w:bookmarkStart w:id="150" w:name="page151"/>
    <w:bookmarkEnd w:id="150"/>
    <w:p>
      <w:pPr>
        <w:spacing w:after="0"/>
        <w:rPr>
          <w:sz w:val="20"/>
          <w:szCs w:val="20"/>
          <w:color w:val="auto"/>
        </w:rPr>
      </w:pPr>
      <w:r>
        <w:rPr>
          <w:rFonts w:ascii="Arial" w:cs="Arial" w:eastAsia="Arial" w:hAnsi="Arial"/>
          <w:sz w:val="16"/>
          <w:szCs w:val="16"/>
          <w:color w:val="auto"/>
        </w:rPr>
        <w:t>vacancy created by the removal of a director by stockholders may also be filled by the requisite vote or consent of stockholders set forth in our bylaws.</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charter also provides that, subject to the rights of holders of one or more classes or series of preferred stock to elect one or more directors, a director may be removed, with or without cause, by the affirmative vote of stockholders holding a majority of all of the shares of our stock entitled to vote generally in the election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Charter and Bylaws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Except as provided in our charter with respect to indemnification and limitation of liability and certain amendments to our charter affecting these provisions, which must each be advised by our board of directors and receive the affirmative vote of stockholders entitled to cast 75% of all the votes entitled to be cast generally in the election of directors, amendments to our charter must be advised by our board of directors and, with limited exceptions, approved by the affirmative vote of our stockholders entitled to cast a majority of all of the votes entitled to be cast on the matter. Each of our board of directors and our stockholders, by the affirmative vote of not less than a majority of all shares then outstanding and entitled to be cast on the matter, have the power to amend our bylaws.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MGCL, certain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and, in circumstances specified in the statute, an asset transfer or issuance or reclassification of equity securities. An interested stockholder is defined as:</w:t>
      </w:r>
    </w:p>
    <w:p>
      <w:pPr>
        <w:spacing w:after="0" w:line="187" w:lineRule="exact"/>
        <w:rPr>
          <w:sz w:val="20"/>
          <w:szCs w:val="20"/>
          <w:color w:val="auto"/>
        </w:rPr>
      </w:pPr>
    </w:p>
    <w:p>
      <w:pPr>
        <w:ind w:left="660" w:hanging="328"/>
        <w:spacing w:after="0"/>
        <w:tabs>
          <w:tab w:leader="none" w:pos="6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any person who beneficially, directly or indirectly, owns 10% or more of the voting power of the corporation’s outstanding voting stock; or</w:t>
      </w:r>
    </w:p>
    <w:p>
      <w:pPr>
        <w:spacing w:after="0" w:line="12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before the date in question, was the beneficial owner, directly or indirectly, of 10% or more of the voting power of the corporation’s then outstanding voting stock.</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person is not an interested stockholder under the MGCL if the corporation’s board of directors approves in advance the transaction by which the person otherwise would have become an interested stockholder. In approving the transaction, the board of directors may provide that its approval is subject to compliance, at or after the time of approval, with any terms and conditions determined by the board.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After the five-year prohibition, any business combination between the Maryland corporation and the interested stockholder generally must be recommended by the corporation’s board of directors and approved by the affirmative vote of at least:</w:t>
      </w:r>
    </w:p>
    <w:p>
      <w:pPr>
        <w:spacing w:after="0" w:line="62" w:lineRule="exact"/>
        <w:rPr>
          <w:sz w:val="20"/>
          <w:szCs w:val="20"/>
          <w:color w:val="auto"/>
        </w:rPr>
      </w:pPr>
    </w:p>
    <w:p>
      <w:pPr>
        <w:ind w:left="660" w:hanging="328"/>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117" w:lineRule="exact"/>
        <w:rPr>
          <w:rFonts w:ascii="Arial" w:cs="Arial" w:eastAsia="Arial" w:hAnsi="Arial"/>
          <w:sz w:val="18"/>
          <w:szCs w:val="18"/>
          <w:color w:val="auto"/>
        </w:rPr>
      </w:pPr>
    </w:p>
    <w:p>
      <w:pPr>
        <w:jc w:val="both"/>
        <w:ind w:left="660" w:right="20" w:hanging="328"/>
        <w:spacing w:after="0" w:line="263" w:lineRule="auto"/>
        <w:tabs>
          <w:tab w:leader="none" w:pos="6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two-thirds of the votes entitled to be cast by holders of outstanding shares of voting stock of the corporation other than shares held by the interested stockholder with whom or with whose affiliate the business combination is to be effected or held by an affiliate or associate of the interested stockholder.</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These super-majority vote requirements do not apply if the corporation’s common stockholders receive a minimum price, as defined under the MGCL, for their shares in the form of cash or other consideration in the same form as previously paid by the interested stockholder for its shares.</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foregoing provisions of the MGCL do not apply, however, to business combinations that are exempted by the board of directors before the time that the interested stockholder becomes an interested stockholder. In addition, our charter provides that, notwithstanding any other provision of our charter or our bylaws, these provisions, known as the Maryland Business Combination Act (Title 3, Subtitle 6 of the MGCL), will not apply to any business combination between us and any interested stockholder of ours and that we expressly elect not to be governed by the operative provisions of the Maryland Business Combination Act in whole or in part. Any amendment to such provision of our charter must be advised by our board of directors and approved by the affirmative vote of stockholders entitled to cast a majority of all votes entitled to be cast on the matter. Consequently, the five-year prohibition and the supermajority vote requirements will not apply to a business combination between us and any other person. As a result, any person described in the preceding sentence may be able to</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313" w:right="339" w:bottom="1440" w:gutter="0" w:footer="0" w:header="0"/>
        </w:sectPr>
      </w:pPr>
    </w:p>
    <w:bookmarkStart w:id="151" w:name="page152"/>
    <w:bookmarkEnd w:id="151"/>
    <w:p>
      <w:pPr>
        <w:jc w:val="both"/>
        <w:spacing w:after="0" w:line="259" w:lineRule="auto"/>
        <w:rPr>
          <w:sz w:val="20"/>
          <w:szCs w:val="20"/>
          <w:color w:val="auto"/>
        </w:rPr>
      </w:pPr>
      <w:r>
        <w:rPr>
          <w:rFonts w:ascii="Arial" w:cs="Arial" w:eastAsia="Arial" w:hAnsi="Arial"/>
          <w:sz w:val="18"/>
          <w:szCs w:val="18"/>
          <w:color w:val="auto"/>
        </w:rPr>
        <w:t>enter into a business combination with us that may not be in the best interests of our stockholders, without compliance with the supermajority vote requirements and other provisions of the statute. We cannot assure you that this provision of our charter will not be amended or repealed in the future. In that event, business combinations between us and an interested stockholder or an affiliate of an interested stockholder would be subject to the five-year prohibition and the super-majority vote requirements.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Maryland Control Share Acquisition Act provides that a holder of control shares of a Maryland corporation acquired in a control share acquisition has no voting rights with respect to the control shares except to the extent approved by a vote of two-thirds of the votes entitled to be cast on the matter. Shares owned by the acquirer, by officers or by employees who are directors of the corporation are excluded from shares entitled to vote on the matter. Control shares are voting shares of stock that, if aggregated with all other shares of stock owned by the acquirer or in respect of which the acquirer is able to exercise or direct the exercise of voting power (except solely by virtue of a revocable proxy), would entitle the acquirer to exercise or direct voting power in electing directors within one of the following ranges of voting power:</w:t>
      </w:r>
    </w:p>
    <w:p>
      <w:pPr>
        <w:spacing w:after="0" w:line="192" w:lineRule="exact"/>
        <w:rPr>
          <w:sz w:val="20"/>
          <w:szCs w:val="20"/>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Control shares do not include shares the acquirer is then entitled to vote as a result of having previously obtained stockholder approval or shares acquired directly from us. A control share acquisition means the acquisition of issued and outstanding control shares, subject to certain exceptions.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voting rights are not approved at the meeting or if the acquirer does not deliver an acquiring person statement as required by the statute, then the corporation may, subject to certain limitations and conditions, redeem for fair value any or all of the control shares, except those for which voting rights have previously been approved. Fair value is determined, without regard to the absence of voting rights for the control shares, as of the date of the last acquisition of control shares by the acquiring person in a control share acquisition; or, if a meeting of stockholders is held at which the voting rights of the shares are considered and not approved, then as of the date of the meeting. If voting rights for control shares are approved at a stockholders meeting and the acquirer becomes entitled to exercise or direct the exercise of a majority of the voting power, all other stockholders may exercise appraisal rights. The fair value of the shares as determined for purposes of appraisal rights may not be less than the highest price per share paid by the acquirer in the control share acquisition.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Maryland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bylaws contain a provision exempting any acquisition of our stock by any person from the foregoing provisions on control shares. In the event that our bylaws are amended by our stockholders to modify or eliminate this provision, acquisitions of our common stock may constitute a control share acquisition and may be subject to the Maryland Control Share Acquisition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Subtitle 8</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Subtitle 8 of Title 3 of the MGCL (“Subtitle 8”) permits a Maryland corporation with a class of equity securities registered under the Exchange Act and at least three independent directors to elect, by provision in its charter or bylaws or a resolution of its board of directors and without the need for stockholder approval, and notwithstanding any contrary provision in the charter or bylaws, unless the charter or a resolution adopted by the board of directors prohibits such election, to be subject to any or all of five provisions, including:</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313" w:right="339" w:bottom="1440" w:gutter="0" w:footer="0" w:header="0"/>
        </w:sectPr>
      </w:pPr>
    </w:p>
    <w:bookmarkStart w:id="152" w:name="page153"/>
    <w:bookmarkEnd w:id="152"/>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classified board of directors;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two-thirds vote requirement for removing a director;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requirement that the number of directors be fixed only by vote of the board of directors;</w:t>
      </w:r>
    </w:p>
    <w:p>
      <w:pPr>
        <w:spacing w:after="0" w:line="117"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 requirement that a vacancy on the board of directors be filled only by the affirmative vote of a majority of the remaining directors and for the remainder of the full term of the class of directors in which the vacancy occurred and until a successor is elected and qualifies; and</w:t>
      </w:r>
    </w:p>
    <w:p>
      <w:pPr>
        <w:spacing w:after="0" w:line="3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provision that a special meeting of stockholders must be called upon stockholder request only on the written request of stockholders entitled to cast a majority of the votes entitled to be cast at the meeting.</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do not currently have a classified board. Our charter provides that we are prohibited from electing to be subject to any or all of the provisions of Subtitle 8 unless such election is first approved by the affirmative vote of stockholders of not less than a majority of all shares of ours then outstanding and entitled to be cast on the matter.</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Through provisions in our charter and bylaws unrelated to Subtitle 8, we already (1) vest in our board of directors the exclusive power to fix the number of directors, and (2) require the request of stockholders entitled to cast a majority of the votes entitled to be cast at the meeting to call a special meeting (unless the special meeting is called by our board of directors, the chairman of our board of directors, our president or chief executive officer as described below under “Special Meetings of Stockholders”).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board of directors, the chairman of our board of directors, our president or our chief executive officer may call a special meeting of our stockholders. Our bylaws provide that a special meeting of our stockholders to act on any matter that may properly be considered at a meeting of our stockholders must also be called by our secretary upon the written request of stockholders entitled to cast a majority of all the votes entitled to be cast on such matter at the meeting and containing the information required by our bylaws.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MGCL generally provides that, unless the charter of the corporation authorizes stockholder action by less than unanimous consent, stockholder action may be taken by consent in lieu of a meeting only if it is given by all stockholders entitled to vote on the matter. Our charter permits stockholder action by consent in lieu of a meeting to the extent permitted by our bylaws. Our bylaws provide that any action required or permitted to be taken at any meeting of the holders of common stock entitled to vote generally in the election of directors may be taken without a meeting (a) if a unanimous consent setting forth the action is given in writing or by electronic transmission by each stockholder entitled to vote on the matter and filed with the minutes of proceedings of the stockholders or (b) if the action is advised, and submitted to the stockholders for approval, by our board and a consent in writing or by electronic transmission of stockholders entitled to cast not less than the minimum number of votes that would be necessary to authorize or take the action at a meeting of stockholders is delivered to us in accordance with the MGCL. We will be required to give notice of any action taken by less than unanimous consent to each stockholder not later than ten days after the effective time of such action.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Competing Interests and Activities of Our Directors or Officers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charter provides that we have the power to renounce, by resolution of the board of directors, any interest or expectancy in, or in being offered an opportunity to participate in, business opportunities or classes or categories of business opportunities that are (i) presented to us or (ii) developed by or presented to one or more of our directors or officers.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of Director Nomination and New Business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bylaws provide that nominations of individuals for election as directors and proposals of business to be considered by stockholders at any annual meeting may be made only (1) pursuant to our notice of the meeting, (2) by or at the direction of our board of directors or any duly authorized committee of our board of directors or (3) by any stockholder present in person or by proxy who was a stockholder of record at the time of provision of notice by the stockholders and at the time of the meeting, who is entitled to vote at the meeting in the election of the individuals so nominated or on such other proposed business, who is not an “unsuitable person” as defined in our charter, and who has complied with the advance notice procedures of our bylaws. Stockholders generally must provide notice to our secretary not earlier than the 150th day or later</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05" w:right="339" w:bottom="1440" w:gutter="0" w:footer="0" w:header="0"/>
        </w:sectPr>
      </w:pPr>
    </w:p>
    <w:bookmarkStart w:id="153" w:name="page154"/>
    <w:bookmarkEnd w:id="153"/>
    <w:p>
      <w:pPr>
        <w:spacing w:after="0"/>
        <w:rPr>
          <w:sz w:val="20"/>
          <w:szCs w:val="20"/>
          <w:color w:val="auto"/>
        </w:rPr>
      </w:pPr>
      <w:r>
        <w:rPr>
          <w:rFonts w:ascii="Arial" w:cs="Arial" w:eastAsia="Arial" w:hAnsi="Arial"/>
          <w:sz w:val="17"/>
          <w:szCs w:val="17"/>
          <w:color w:val="auto"/>
        </w:rPr>
        <w:t>than the close of business on the 120th day before the first anniversary of the date of our proxy statement for the preceding year’s annual meeting.</w:t>
      </w:r>
    </w:p>
    <w:p>
      <w:pPr>
        <w:spacing w:after="0" w:line="2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Only the business specified in the notice of the meeting may be brought before a special meeting of our stockholders. Nominations of individuals for election as directors at a special meeting of stockholders may be made only (1) by or at the direction of our board of directors or any duly authorized committee of our board of directors or (2) if the special meeting has been called in accordance with our bylaws for the purpose of electing directors, by a stockholder who is a stockholder of record both at the time of provision of notice and at the time of the special meeting, who is entitled to vote at the meeting in the election of each individual so nominated and who has complied with the advance notice procedures of our bylaws. Stockholders generally must provide notice to our secretary not earlier than the 120th day before such special meeting or later than the later of the close of business on the 90th day before such special meeting or the tenth day after the first public announcement of the date of the special meeting and the nominees of our board of directors to be elected at the meeting.</w:t>
      </w:r>
    </w:p>
    <w:p>
      <w:pPr>
        <w:spacing w:after="0" w:line="1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 stockholder’s notice must contain certain information specified by our bylaws about the stockholder, its affiliates and any proposed business or nominee for election as a director, including information about the economic interest of the stockholder, its affiliates and any proposed nominee in us.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Certain Provisions of Maryland Law and our Charter and Bylaws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restrictions on ownership and transfer of our stock discussed under the caption “Restrictions on Ownership and Transfer of our Common Stock” prohibit any person from acquiring, with respect to any class or series of our capital stock, more than 9.8% (in value or by number of shares, whichever is more restrictive) of the aggregate of the outstanding shares of such class or series of our capital stock, including our common stock, without the approval of our board of directors. These provisions may delay, defer or prevent a change in control of us. Further, subject to the rights of holders of preferred stock, our board of directors has the power to increase the aggregate number of authorized shares, or the number of authorized shares of any class or series, and to classify and reclassify any unissued shares of our stock into other classes or series of stock, and to authorize us to issue the newly-classified shares, as discussed above under the captions “Common Stock” and “Power to Reclassify and Issue Stock,” and could authorize the issuance of shares of common stock or another class or series of stock, including a class or series of preferred stock, that could have the effect of delaying, deferring or preventing a change in control of us. We believe that the power to increase the aggregate number of authorized shares and to classify or reclassify unissued shares of common or preferred stock, without approval of holders of our common stock, provides us with increased flexibility in structuring possible future financings and acquisitions and in meeting other needs that might arise.</w:t>
      </w:r>
    </w:p>
    <w:p>
      <w:pPr>
        <w:spacing w:after="0" w:line="18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charter and bylaws also provide that the number of directors may be established only by our board of directors, which prevents our stockholders from increasing the number of our directors and filling any vacancies created by such increase with their own nominees. The provisions of our bylaws discussed above under the captions “Special Meetings of Stockholders” and “Advance Notice of Director Nomination and New Business” require stockholders seeking to call a special meeting, nominate an individual for election as a director or propose other business at an annual meeting to comply with certain notice and information requirements. We believe that these provisions will help to assure the continuity and stability of our business strategies and policies as determined by our board of directors and promote good corporate governance by providing us with clear procedures for calling special meetings, information about a stockholder proponent’s interest in us and adequate time to consider stockholder nominees and other business proposals. However, these provisions, alone or in combination, could make it more difficult for our stockholders to remove incumbent directors or fill vacancies on our board of directors with their own nominees and could delay, defer or prevent a change in control, including a proxy contest or tender offer that might involve a premium price for our common stockholders or otherwise be in the best interest of our stockholders.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Forum</w:t>
      </w:r>
    </w:p>
    <w:p>
      <w:pPr>
        <w:spacing w:after="0" w:line="117"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Our bylaws provide that, unless we consent in writing to the selection of an alternative forum, the Circuit Court for Baltimore City, Maryland, or, if that court does not have jurisdiction, the United States District Court for the District of Maryland, Baltimore Division, will be the sole and exclusive forum for</w:t>
      </w:r>
    </w:p>
    <w:p>
      <w:pPr>
        <w:jc w:val="both"/>
        <w:ind w:firstLine="8"/>
        <w:spacing w:after="0" w:line="281" w:lineRule="auto"/>
        <w:tabs>
          <w:tab w:leader="none" w:pos="25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any derivative action or proceeding brought on our behalf, (b) any action asserting a claim of breach of any duty owed by any of our present or former directors or officers or other employees or stockholders to us or to our stockholders, as applicable, or any standard of conduct applicable to our directors,</w:t>
      </w:r>
    </w:p>
    <w:p>
      <w:pPr>
        <w:spacing w:after="0" w:line="1" w:lineRule="exact"/>
        <w:rPr>
          <w:rFonts w:ascii="Arial" w:cs="Arial" w:eastAsia="Arial" w:hAnsi="Arial"/>
          <w:sz w:val="16"/>
          <w:szCs w:val="16"/>
          <w:color w:val="auto"/>
        </w:rPr>
      </w:pPr>
    </w:p>
    <w:p>
      <w:pPr>
        <w:jc w:val="both"/>
        <w:ind w:firstLine="8"/>
        <w:spacing w:after="0" w:line="255" w:lineRule="auto"/>
        <w:tabs>
          <w:tab w:leader="none" w:pos="25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action asserting a claim against us or any of our present or former directors or officers or other employees arising pursuant to any provision of the MGCL or our charter or bylaws or (d) any action asserting a claim against us or any of our present or former directors or officers or other employees that is governed by the internal affairs doctrine.</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05" w:right="3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color w:val="auto"/>
        </w:rPr>
        <w:t>Limitation of Liability and Indemnification of Directors and Officers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Maryland law permits us to include a provision in our charter eliminating the liability of our directors and officers to us and our stockholders for money damages, except for liability resulting from (a) actual receipt of an improper benefit or profit in money, property or services or (b) a final judgment based upon a finding that his or her action or failure to act was the result of active and deliberate dishonesty by the director or officer and was material to the cause of action adjudicated. Our charter contains a provision that eliminates our directors’ and officers’ liability to us and our stockholders for money damages to the maximum extent permitted by Maryland law.</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MGCL requires us (unless our charter were to provide otherwise, which our charter does not) to indemnify a director or officer who has been successful, on the merits or otherwise, in the defense of any proceeding to which he or she is made or threatened to be made a party by reason of his or her service in that capacity. The MGCL permits us to indemnify our present and former directors and officers, among others, against judgments, penalties, fines, settlements and reasonable expenses actually incurred by them in connection with any proceeding to which they may be made or threatened to be made a part to, or witness in, by reason of their service in those or certain other capacities unless it is established that:</w:t>
      </w:r>
    </w:p>
    <w:p>
      <w:pPr>
        <w:spacing w:after="0" w:line="176" w:lineRule="exact"/>
        <w:rPr>
          <w:sz w:val="20"/>
          <w:szCs w:val="20"/>
          <w:color w:val="auto"/>
        </w:rPr>
      </w:pPr>
    </w:p>
    <w:p>
      <w:pPr>
        <w:ind w:left="660" w:hanging="328"/>
        <w:spacing w:after="0" w:line="277" w:lineRule="auto"/>
        <w:tabs>
          <w:tab w:leader="none" w:pos="65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act or omission of the director or officer was material to the matter giving rise to the proceeding and (a) was committed in bad faith or (b) was the result of active and deliberate dishonesty;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director or officer actually received an improper personal benefit in money, property or services;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 the case of any criminal proceeding, the director or officer had reasonable cause to believe that the act or omission was unlawful.</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However, the MGCL prohibits us from indemnifying a director or officer who has been adjudged liable in a suit by us or on our behalf or in which the director or officer was adjudged liable on the basis that a personal benefit was improperly received. A court may order indemnification if it determines that the director or officer is fairly and reasonably entitled to indemnification, even though the director or officer did not meet the standard of conduct for indemnification set forth above or was adjudged liable on the basis that personal benefit was improperly received. However, indemnification for an adverse judgment in a suit by us or on our behalf, or for a judgment of liability on the basis that personal benefit was improperly received, is limited to expenses.</w:t>
      </w:r>
    </w:p>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the MGCL permits us to advance reasonable expenses to a director or officer upon our receipt of (a) a written affirmation by the director or officer of his or her good faith belief that he or she has met the standard of conduct necessary for indemnification and (b) a written undertaking by him or her or on his or her behalf to repay the amount paid or reimbursed if it is ultimately determined that the standard of conduct was not met.</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charter provides that we will have the power to obligate ourselves, and our bylaws obligate us, to the maximum extent permitted by Maryland law in effect from time to time, to indemnify and, without requiring a preliminary determination of the ultimate entitlement to indemnification, pay or reimburse reasonable expenses in advance of final disposition of a proceeding to:</w:t>
      </w:r>
    </w:p>
    <w:p>
      <w:pPr>
        <w:spacing w:after="0" w:line="184" w:lineRule="exact"/>
        <w:rPr>
          <w:sz w:val="20"/>
          <w:szCs w:val="20"/>
          <w:color w:val="auto"/>
        </w:rPr>
      </w:pPr>
    </w:p>
    <w:p>
      <w:pPr>
        <w:ind w:left="660" w:hanging="328"/>
        <w:spacing w:after="0" w:line="277" w:lineRule="auto"/>
        <w:tabs>
          <w:tab w:leader="none" w:pos="65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present or former director or officer who is made or threatened to be made a party to, or witness in, a proceeding by reason of his or her service in that capacity; or</w:t>
      </w:r>
    </w:p>
    <w:p>
      <w:pPr>
        <w:spacing w:after="0" w:line="62" w:lineRule="exact"/>
        <w:rPr>
          <w:rFonts w:ascii="Arial" w:cs="Arial" w:eastAsia="Arial" w:hAnsi="Arial"/>
          <w:sz w:val="18"/>
          <w:szCs w:val="18"/>
          <w:color w:val="auto"/>
        </w:rPr>
      </w:pPr>
    </w:p>
    <w:p>
      <w:pPr>
        <w:jc w:val="both"/>
        <w:ind w:left="660" w:hanging="328"/>
        <w:spacing w:after="0" w:line="311" w:lineRule="auto"/>
        <w:tabs>
          <w:tab w:leader="none" w:pos="65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any individual who, while a director or officer of our company and at our request, serves or has served as a director, officer, partner, trustee, member or manager of another corporation, REIT, limited liability company, partnership, joint venture, trust, employee benefit plan or any other enterprise and who is made or threatened to be made a party to, or witness in, the proceeding by reason of his or her service in that capacity.</w:t>
      </w:r>
    </w:p>
    <w:p>
      <w:pPr>
        <w:spacing w:after="0" w:line="1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charter and bylaws provide that we have the power, with approval of our board, to provide such indemnification and advance of expenses to a person who served a predecessor of us in any such capacity described above and to any employee or agent of us or a predecessor of us.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entered into an indemnification agreement with each of our directors and executive officers. Insofar as indemnification for liabilities arising under the Securities Act may be permitted to directors or executive officers, we have been informed that in the opinion of the SEC such indemnification is against public policy and is therefore unenforceable.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309" w:right="339" w:bottom="1440" w:gutter="0" w:footer="0" w:header="0"/>
        </w:sectPr>
      </w:pPr>
    </w:p>
    <w:bookmarkStart w:id="155" w:name="page156"/>
    <w:bookmarkEnd w:id="155"/>
    <w:p>
      <w:pPr>
        <w:spacing w:after="0" w:line="277" w:lineRule="auto"/>
        <w:rPr>
          <w:sz w:val="20"/>
          <w:szCs w:val="20"/>
          <w:color w:val="auto"/>
        </w:rPr>
      </w:pPr>
      <w:r>
        <w:rPr>
          <w:rFonts w:ascii="Arial" w:cs="Arial" w:eastAsia="Arial" w:hAnsi="Arial"/>
          <w:sz w:val="18"/>
          <w:szCs w:val="18"/>
          <w:color w:val="auto"/>
        </w:rPr>
        <w:t>We have purchased and maintain insurance on behalf of all of our directors and executive officers against liability asserted against or incurred by them in their official capacities, whether or not we are required to have the power to indemnify them against the same liability.</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313" w:right="339" w:bottom="1440" w:gutter="0" w:footer="0" w:header="0"/>
        </w:sectPr>
      </w:pPr>
    </w:p>
    <w:bookmarkStart w:id="156" w:name="page157"/>
    <w:bookmarkEnd w:id="156"/>
    <w:p>
      <w:pPr>
        <w:jc w:val="right"/>
        <w:spacing w:after="0"/>
        <w:rPr>
          <w:sz w:val="20"/>
          <w:szCs w:val="20"/>
          <w:color w:val="auto"/>
        </w:rPr>
      </w:pPr>
      <w:r>
        <w:rPr>
          <w:rFonts w:ascii="Arial" w:cs="Arial" w:eastAsia="Arial" w:hAnsi="Arial"/>
          <w:sz w:val="22"/>
          <w:szCs w:val="22"/>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SIXTH AMENDMENT TO LEASE</w:t>
      </w:r>
    </w:p>
    <w:p>
      <w:pPr>
        <w:spacing w:after="0" w:line="179"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SIXTH AMENDMENT TO LEASE</w:t>
      </w:r>
      <w:r>
        <w:rPr>
          <w:rFonts w:ascii="Arial" w:cs="Arial" w:eastAsia="Arial" w:hAnsi="Arial"/>
          <w:sz w:val="22"/>
          <w:szCs w:val="22"/>
          <w:color w:val="auto"/>
        </w:rPr>
        <w:t xml:space="preserve"> (this “</w:t>
      </w:r>
      <w:r>
        <w:rPr>
          <w:rFonts w:ascii="Arial" w:cs="Arial" w:eastAsia="Arial" w:hAnsi="Arial"/>
          <w:sz w:val="22"/>
          <w:szCs w:val="22"/>
          <w:u w:val="single" w:color="auto"/>
          <w:color w:val="auto"/>
        </w:rPr>
        <w:t>Amendment</w:t>
      </w:r>
      <w:r>
        <w:rPr>
          <w:rFonts w:ascii="Arial" w:cs="Arial" w:eastAsia="Arial" w:hAnsi="Arial"/>
          <w:sz w:val="22"/>
          <w:szCs w:val="22"/>
          <w:color w:val="auto"/>
        </w:rPr>
        <w:t xml:space="preserve">”) is entered into as of November 1, 2021, by and among </w:t>
      </w:r>
      <w:r>
        <w:rPr>
          <w:rFonts w:ascii="Arial" w:cs="Arial" w:eastAsia="Arial" w:hAnsi="Arial"/>
          <w:sz w:val="22"/>
          <w:szCs w:val="22"/>
          <w:b w:val="1"/>
          <w:bCs w:val="1"/>
          <w:color w:val="auto"/>
        </w:rPr>
        <w:t xml:space="preserve">CPLV PROPERTY OWNER LLC </w:t>
      </w:r>
      <w:r>
        <w:rPr>
          <w:rFonts w:ascii="Arial" w:cs="Arial" w:eastAsia="Arial" w:hAnsi="Arial"/>
          <w:sz w:val="22"/>
          <w:szCs w:val="22"/>
          <w:color w:val="auto"/>
        </w:rPr>
        <w:t>and</w:t>
      </w:r>
      <w:r>
        <w:rPr>
          <w:rFonts w:ascii="Arial" w:cs="Arial" w:eastAsia="Arial" w:hAnsi="Arial"/>
          <w:sz w:val="22"/>
          <w:szCs w:val="22"/>
          <w:b w:val="1"/>
          <w:bCs w:val="1"/>
          <w:color w:val="auto"/>
        </w:rPr>
        <w:t xml:space="preserve"> CLAUDINE PROPCO LLC</w:t>
      </w:r>
      <w:r>
        <w:rPr>
          <w:rFonts w:ascii="Arial" w:cs="Arial" w:eastAsia="Arial" w:hAnsi="Arial"/>
          <w:sz w:val="22"/>
          <w:szCs w:val="22"/>
          <w:color w:val="auto"/>
        </w:rPr>
        <w:t>, each a Delaware limited liability company (collectively,</w:t>
      </w:r>
      <w:r>
        <w:rPr>
          <w:rFonts w:ascii="Arial" w:cs="Arial" w:eastAsia="Arial" w:hAnsi="Arial"/>
          <w:sz w:val="22"/>
          <w:szCs w:val="22"/>
          <w:b w:val="1"/>
          <w:bCs w:val="1"/>
          <w:color w:val="auto"/>
        </w:rPr>
        <w:t xml:space="preserve"> </w:t>
      </w:r>
      <w:r>
        <w:rPr>
          <w:rFonts w:ascii="Arial" w:cs="Arial" w:eastAsia="Arial" w:hAnsi="Arial"/>
          <w:sz w:val="22"/>
          <w:szCs w:val="22"/>
          <w:color w:val="auto"/>
        </w:rPr>
        <w:t>and together with their respective successors and assigns, “</w:t>
      </w:r>
      <w:r>
        <w:rPr>
          <w:rFonts w:ascii="Arial" w:cs="Arial" w:eastAsia="Arial" w:hAnsi="Arial"/>
          <w:sz w:val="22"/>
          <w:szCs w:val="22"/>
          <w:u w:val="single" w:color="auto"/>
          <w:color w:val="auto"/>
        </w:rPr>
        <w:t>Landlord</w:t>
      </w:r>
      <w:r>
        <w:rPr>
          <w:rFonts w:ascii="Arial" w:cs="Arial" w:eastAsia="Arial" w:hAnsi="Arial"/>
          <w:sz w:val="22"/>
          <w:szCs w:val="22"/>
          <w:color w:val="auto"/>
        </w:rPr>
        <w:t xml:space="preserve">”), </w:t>
      </w:r>
      <w:r>
        <w:rPr>
          <w:rFonts w:ascii="Arial" w:cs="Arial" w:eastAsia="Arial" w:hAnsi="Arial"/>
          <w:sz w:val="22"/>
          <w:szCs w:val="22"/>
          <w:b w:val="1"/>
          <w:bCs w:val="1"/>
          <w:color w:val="auto"/>
        </w:rPr>
        <w:t>DESERT PALACE LLC</w:t>
      </w:r>
      <w:r>
        <w:rPr>
          <w:rFonts w:ascii="Arial" w:cs="Arial" w:eastAsia="Arial" w:hAnsi="Arial"/>
          <w:sz w:val="22"/>
          <w:szCs w:val="22"/>
          <w:color w:val="auto"/>
        </w:rPr>
        <w:t xml:space="preserve">, a Nevada limited liability company, </w:t>
      </w:r>
      <w:r>
        <w:rPr>
          <w:rFonts w:ascii="Arial" w:cs="Arial" w:eastAsia="Arial" w:hAnsi="Arial"/>
          <w:sz w:val="22"/>
          <w:szCs w:val="22"/>
          <w:b w:val="1"/>
          <w:bCs w:val="1"/>
          <w:color w:val="auto"/>
        </w:rPr>
        <w:t>CEOC, LLC</w:t>
      </w:r>
      <w:r>
        <w:rPr>
          <w:rFonts w:ascii="Arial" w:cs="Arial" w:eastAsia="Arial" w:hAnsi="Arial"/>
          <w:sz w:val="22"/>
          <w:szCs w:val="22"/>
          <w:color w:val="auto"/>
        </w:rPr>
        <w:t xml:space="preserve">, a Delaware limited liability company (for itself and as successor by merger to Caesars Entertainment Operating Company, Inc., a Delaware corporation), and </w:t>
      </w:r>
      <w:r>
        <w:rPr>
          <w:rFonts w:ascii="Arial" w:cs="Arial" w:eastAsia="Arial" w:hAnsi="Arial"/>
          <w:sz w:val="22"/>
          <w:szCs w:val="22"/>
          <w:b w:val="1"/>
          <w:bCs w:val="1"/>
          <w:color w:val="auto"/>
        </w:rPr>
        <w:t>HARRAH’S LAS VEGAS, LLC,</w:t>
      </w:r>
      <w:r>
        <w:rPr>
          <w:rFonts w:ascii="Arial" w:cs="Arial" w:eastAsia="Arial" w:hAnsi="Arial"/>
          <w:sz w:val="22"/>
          <w:szCs w:val="22"/>
          <w:color w:val="auto"/>
        </w:rPr>
        <w:t xml:space="preserve"> a Nevada limited liability company (collectively, and together with their respective successors and assigns, “</w:t>
      </w:r>
      <w:r>
        <w:rPr>
          <w:rFonts w:ascii="Arial" w:cs="Arial" w:eastAsia="Arial" w:hAnsi="Arial"/>
          <w:sz w:val="22"/>
          <w:szCs w:val="22"/>
          <w:u w:val="single" w:color="auto"/>
          <w:color w:val="auto"/>
        </w:rPr>
        <w:t>Tenant</w:t>
      </w:r>
      <w:r>
        <w:rPr>
          <w:rFonts w:ascii="Arial" w:cs="Arial" w:eastAsia="Arial" w:hAnsi="Arial"/>
          <w:sz w:val="22"/>
          <w:szCs w:val="22"/>
          <w:color w:val="auto"/>
        </w:rPr>
        <w:t xml:space="preserve">”) and, solely for the purposes of the last paragraph of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of the Lease (as defined below), Propco TRS LLC, a Delaware limited liability company (“</w:t>
      </w:r>
      <w:r>
        <w:rPr>
          <w:rFonts w:ascii="Arial" w:cs="Arial" w:eastAsia="Arial" w:hAnsi="Arial"/>
          <w:sz w:val="22"/>
          <w:szCs w:val="22"/>
          <w:u w:val="single" w:color="auto"/>
          <w:color w:val="auto"/>
        </w:rPr>
        <w:t>Propco</w:t>
      </w:r>
      <w:r>
        <w:rPr>
          <w:rFonts w:ascii="Arial" w:cs="Arial" w:eastAsia="Arial" w:hAnsi="Arial"/>
          <w:sz w:val="22"/>
          <w:szCs w:val="22"/>
          <w:color w:val="auto"/>
        </w:rPr>
        <w:t xml:space="preserve"> </w:t>
      </w:r>
      <w:r>
        <w:rPr>
          <w:rFonts w:ascii="Arial" w:cs="Arial" w:eastAsia="Arial" w:hAnsi="Arial"/>
          <w:sz w:val="22"/>
          <w:szCs w:val="22"/>
          <w:u w:val="single" w:color="auto"/>
          <w:color w:val="auto"/>
        </w:rPr>
        <w:t>TRS</w:t>
      </w:r>
      <w:r>
        <w:rPr>
          <w:rFonts w:ascii="Arial" w:cs="Arial" w:eastAsia="Arial" w:hAnsi="Arial"/>
          <w:sz w:val="22"/>
          <w:szCs w:val="22"/>
          <w:color w:val="auto"/>
        </w:rPr>
        <w: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179"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Landlord, Tenant and, solely for the purposes of the last paragraph of</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1.1</w:t>
      </w:r>
      <w:r>
        <w:rPr>
          <w:rFonts w:ascii="Arial" w:cs="Arial" w:eastAsia="Arial" w:hAnsi="Arial"/>
          <w:sz w:val="21"/>
          <w:szCs w:val="21"/>
          <w:b w:val="1"/>
          <w:bCs w:val="1"/>
          <w:color w:val="auto"/>
        </w:rPr>
        <w:t xml:space="preserve"> </w:t>
      </w:r>
      <w:r>
        <w:rPr>
          <w:rFonts w:ascii="Arial" w:cs="Arial" w:eastAsia="Arial" w:hAnsi="Arial"/>
          <w:sz w:val="21"/>
          <w:szCs w:val="21"/>
          <w:color w:val="auto"/>
        </w:rPr>
        <w:t>of the Lease, Propco TRS</w:t>
      </w:r>
      <w:r>
        <w:rPr>
          <w:rFonts w:ascii="Arial" w:cs="Arial" w:eastAsia="Arial" w:hAnsi="Arial"/>
          <w:sz w:val="21"/>
          <w:szCs w:val="21"/>
          <w:b w:val="1"/>
          <w:bCs w:val="1"/>
          <w:color w:val="auto"/>
        </w:rPr>
        <w:t xml:space="preserve"> </w:t>
      </w:r>
      <w:r>
        <w:rPr>
          <w:rFonts w:ascii="Arial" w:cs="Arial" w:eastAsia="Arial" w:hAnsi="Arial"/>
          <w:sz w:val="21"/>
          <w:szCs w:val="21"/>
          <w:color w:val="auto"/>
        </w:rPr>
        <w:t>are parties to that certain Lease (CPLV), dated as of October 6, 2017, as amended by that certain First Amendment to Lease (CPLV), dated as of December 26, 2018, as amended by that certain Omnibus Amendment to Leases, dated as of June 1, 2020, as amended by that certain Second Amendment to Lease (CPLV), dated as of July 20, 2020, as amended by that certain Third Amendment to Lease, dated as of September 30, 2020, as amended by that certain Amended and Restated Omnibus Amendment to Leases, dated as of October 27, 2020, as amended by that certain Fourth Amendment to Lease, dated as of November 18, 2020, and as amended by that certain Fifth Amendment to Lease, dated as of September 3, 2021 (collectively, as amended, the “</w:t>
      </w:r>
      <w:r>
        <w:rPr>
          <w:rFonts w:ascii="Arial" w:cs="Arial" w:eastAsia="Arial" w:hAnsi="Arial"/>
          <w:sz w:val="21"/>
          <w:szCs w:val="21"/>
          <w:u w:val="single" w:color="auto"/>
          <w:color w:val="auto"/>
        </w:rPr>
        <w:t>Lease</w:t>
      </w:r>
      <w:r>
        <w:rPr>
          <w:rFonts w:ascii="Arial" w:cs="Arial" w:eastAsia="Arial" w:hAnsi="Arial"/>
          <w:sz w:val="21"/>
          <w:szCs w:val="21"/>
          <w:color w:val="auto"/>
        </w:rPr>
        <w:t>”), pursuant to which Landlord leases to Tenant, and Tenant leases from Landlord, certain real property as more particularly described in the Lease;</w:t>
      </w:r>
    </w:p>
    <w:p>
      <w:pPr>
        <w:spacing w:after="0" w:line="15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on the date hereof, (x) Harrah’s Bossier City LLC, Harrah’s Shreveport/Bossier City Investment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LLC (“</w:t>
      </w:r>
      <w:r>
        <w:rPr>
          <w:rFonts w:ascii="Arial" w:cs="Arial" w:eastAsia="Arial" w:hAnsi="Arial"/>
          <w:sz w:val="19"/>
          <w:szCs w:val="19"/>
          <w:u w:val="single" w:color="auto"/>
          <w:color w:val="auto"/>
        </w:rPr>
        <w:t>Operator Parent</w:t>
      </w:r>
      <w:r>
        <w:rPr>
          <w:rFonts w:ascii="Arial" w:cs="Arial" w:eastAsia="Arial" w:hAnsi="Arial"/>
          <w:sz w:val="19"/>
          <w:szCs w:val="19"/>
          <w:color w:val="auto"/>
        </w:rPr>
        <w:t>”), Harrah’s Bossier City Investment Company, L.L.C. (“</w:t>
      </w:r>
      <w:r>
        <w:rPr>
          <w:rFonts w:ascii="Arial" w:cs="Arial" w:eastAsia="Arial" w:hAnsi="Arial"/>
          <w:sz w:val="19"/>
          <w:szCs w:val="19"/>
          <w:u w:val="single" w:color="auto"/>
          <w:color w:val="auto"/>
        </w:rPr>
        <w:t>Operator</w:t>
      </w:r>
      <w:r>
        <w:rPr>
          <w:rFonts w:ascii="Arial" w:cs="Arial" w:eastAsia="Arial" w:hAnsi="Arial"/>
          <w:sz w:val="19"/>
          <w:szCs w:val="19"/>
          <w:color w:val="auto"/>
        </w:rPr>
        <w:t>”), Rubico Gaming, LLC (“</w:t>
      </w:r>
      <w:r>
        <w:rPr>
          <w:rFonts w:ascii="Arial" w:cs="Arial" w:eastAsia="Arial" w:hAnsi="Arial"/>
          <w:sz w:val="19"/>
          <w:szCs w:val="19"/>
          <w:u w:val="single" w:color="auto"/>
          <w:color w:val="auto"/>
        </w:rPr>
        <w:t>Purchaser</w:t>
      </w:r>
      <w:r>
        <w:rPr>
          <w:rFonts w:ascii="Arial" w:cs="Arial" w:eastAsia="Arial" w:hAnsi="Arial"/>
          <w:sz w:val="19"/>
          <w:szCs w:val="19"/>
          <w:color w:val="auto"/>
        </w:rPr>
        <w:t>”) and Rubico Acquisition Corp (“</w:t>
      </w:r>
      <w:r>
        <w:rPr>
          <w:rFonts w:ascii="Arial" w:cs="Arial" w:eastAsia="Arial" w:hAnsi="Arial"/>
          <w:sz w:val="19"/>
          <w:szCs w:val="19"/>
          <w:u w:val="single" w:color="auto"/>
          <w:color w:val="auto"/>
        </w:rPr>
        <w:t>Purchaser Parent</w:t>
      </w:r>
      <w:r>
        <w:rPr>
          <w:rFonts w:ascii="Arial" w:cs="Arial" w:eastAsia="Arial" w:hAnsi="Arial"/>
          <w:sz w:val="19"/>
          <w:szCs w:val="19"/>
          <w:color w:val="auto"/>
        </w:rPr>
        <w:t>” and together with Purchaser, collectively, “</w:t>
      </w:r>
      <w:r>
        <w:rPr>
          <w:rFonts w:ascii="Arial" w:cs="Arial" w:eastAsia="Arial" w:hAnsi="Arial"/>
          <w:sz w:val="19"/>
          <w:szCs w:val="19"/>
          <w:u w:val="single" w:color="auto"/>
          <w:color w:val="auto"/>
        </w:rPr>
        <w:t>Rubico</w:t>
      </w:r>
      <w:r>
        <w:rPr>
          <w:rFonts w:ascii="Arial" w:cs="Arial" w:eastAsia="Arial" w:hAnsi="Arial"/>
          <w:sz w:val="19"/>
          <w:szCs w:val="19"/>
          <w:color w:val="auto"/>
        </w:rPr>
        <w:t>”) are closing a purchase and sale transaction under that certain Agreement of Sale, dated as of September 3, 2020, with respect to certain real property associated with the gaming and entertainment facility known as Harrah’s Bossier City (Louisiana Downs) located in Bossier City, Louisiana and (y) Operator Parent, Operator and Rubico are closing a purchase and sale transaction under that certain Equity Purchase Agreement, dated as of September 3, 2020, with respect to Operator Parent’s one hundred percent (100%) equity interest in Operator, which entity operates the facility described in the immediately preceding clause (x) and, prior to the effectiveness of this Amendment, leased such facility pursuant to the terms of the “Regional Lease” (as defined in the Lease) (the transactions described in the preceding clauses (x) and (y) are referred to herein collectively as the “</w:t>
      </w:r>
      <w:r>
        <w:rPr>
          <w:rFonts w:ascii="Arial" w:cs="Arial" w:eastAsia="Arial" w:hAnsi="Arial"/>
          <w:sz w:val="19"/>
          <w:szCs w:val="19"/>
          <w:u w:val="single" w:color="auto"/>
          <w:color w:val="auto"/>
        </w:rPr>
        <w:t>LAD Transaction</w:t>
      </w:r>
      <w:r>
        <w:rPr>
          <w:rFonts w:ascii="Arial" w:cs="Arial" w:eastAsia="Arial" w:hAnsi="Arial"/>
          <w:sz w:val="19"/>
          <w:szCs w:val="19"/>
          <w:color w:val="auto"/>
        </w:rPr>
        <w:t>”); and</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in connection with the LAD Transaction, the parties hereto desire to amend the Lease as set forth herein.</w:t>
      </w:r>
    </w:p>
    <w:p>
      <w:pPr>
        <w:spacing w:after="0" w:line="214"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covenants and agreements hereinafter set forth and for other good</w:t>
      </w:r>
      <w:r>
        <w:rPr>
          <w:rFonts w:ascii="Arial" w:cs="Arial" w:eastAsia="Arial" w:hAnsi="Arial"/>
          <w:sz w:val="22"/>
          <w:szCs w:val="22"/>
          <w:b w:val="1"/>
          <w:bCs w:val="1"/>
          <w:color w:val="auto"/>
        </w:rPr>
        <w:t xml:space="preserve"> </w:t>
      </w:r>
      <w:r>
        <w:rPr>
          <w:rFonts w:ascii="Arial" w:cs="Arial" w:eastAsia="Arial" w:hAnsi="Arial"/>
          <w:sz w:val="22"/>
          <w:szCs w:val="22"/>
          <w:color w:val="auto"/>
        </w:rPr>
        <w:t>and valuable consideration, the receipt and sufficiency of which are hereby acknowledged, the parties hereto, intending to be legally bound hereby, agree as follows:</w:t>
      </w:r>
    </w:p>
    <w:p>
      <w:pPr>
        <w:spacing w:after="0" w:line="153" w:lineRule="exact"/>
        <w:rPr>
          <w:sz w:val="20"/>
          <w:szCs w:val="20"/>
          <w:color w:val="auto"/>
        </w:rPr>
      </w:pPr>
    </w:p>
    <w:p>
      <w:pPr>
        <w:ind w:firstLine="656"/>
        <w:spacing w:after="0" w:line="235" w:lineRule="auto"/>
        <w:tabs>
          <w:tab w:leader="none" w:pos="1296" w:val="left"/>
        </w:tabs>
        <w:numPr>
          <w:ilvl w:val="0"/>
          <w:numId w:val="118"/>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 Except as otherwise defined herein, all capitalized terms used herein without definition shall have the</w:t>
      </w:r>
      <w:r>
        <w:rPr>
          <w:rFonts w:ascii="Arial" w:cs="Arial" w:eastAsia="Arial" w:hAnsi="Arial"/>
          <w:sz w:val="22"/>
          <w:szCs w:val="22"/>
          <w:b w:val="1"/>
          <w:bCs w:val="1"/>
          <w:color w:val="auto"/>
        </w:rPr>
        <w:t xml:space="preserve"> </w:t>
      </w:r>
      <w:r>
        <w:rPr>
          <w:rFonts w:ascii="Arial" w:cs="Arial" w:eastAsia="Arial" w:hAnsi="Arial"/>
          <w:sz w:val="22"/>
          <w:szCs w:val="22"/>
          <w:color w:val="auto"/>
        </w:rPr>
        <w:t>meanings applicable to such terms, respectively, as set forth in the Lease.</w:t>
      </w:r>
    </w:p>
    <w:p>
      <w:pPr>
        <w:sectPr>
          <w:pgSz w:w="11900" w:h="16838" w:orient="portrait"/>
          <w:cols w:equalWidth="0" w:num="1">
            <w:col w:w="11240"/>
          </w:cols>
          <w:pgMar w:left="320" w:top="98" w:right="339" w:bottom="1440" w:gutter="0" w:footer="0" w:header="0"/>
        </w:sectPr>
      </w:pPr>
    </w:p>
    <w:bookmarkStart w:id="157" w:name="page158"/>
    <w:bookmarkEnd w:id="157"/>
    <w:p>
      <w:pPr>
        <w:ind w:left="1300" w:hanging="644"/>
        <w:spacing w:after="0"/>
        <w:tabs>
          <w:tab w:leader="none" w:pos="1300" w:val="left"/>
        </w:tabs>
        <w:numPr>
          <w:ilvl w:val="1"/>
          <w:numId w:val="119"/>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Amendments to the Lease</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left="660" w:hanging="328"/>
        <w:spacing w:after="0" w:line="229" w:lineRule="auto"/>
        <w:tabs>
          <w:tab w:leader="none" w:pos="648" w:val="left"/>
        </w:tabs>
        <w:numPr>
          <w:ilvl w:val="0"/>
          <w:numId w:val="120"/>
        </w:numPr>
        <w:rPr>
          <w:rFonts w:ascii="Arial" w:cs="Arial" w:eastAsia="Arial" w:hAnsi="Arial"/>
          <w:sz w:val="21"/>
          <w:szCs w:val="21"/>
          <w:color w:val="auto"/>
        </w:rPr>
      </w:pPr>
      <w:r>
        <w:rPr>
          <w:rFonts w:ascii="Arial" w:cs="Arial" w:eastAsia="Arial" w:hAnsi="Arial"/>
          <w:sz w:val="21"/>
          <w:szCs w:val="21"/>
          <w:u w:val="single" w:color="auto"/>
          <w:color w:val="auto"/>
        </w:rPr>
        <w:t>Triennial Minimum Cap Ex Amount B. Article II</w:t>
      </w:r>
      <w:r>
        <w:rPr>
          <w:rFonts w:ascii="Arial" w:cs="Arial" w:eastAsia="Arial" w:hAnsi="Arial"/>
          <w:sz w:val="21"/>
          <w:szCs w:val="21"/>
          <w:color w:val="auto"/>
        </w:rPr>
        <w:t xml:space="preserve"> of the Lease is hereby amended such that the definition of “Triennial Minimum Cap Ex Amount B” is hereby revised and modified to replace the reference therein to “Three Hundred Eighty-Four Million Three Hundred Thousand and No/100 Dollars ($384,300,000.00)” with a reference to “Three Hundred Eighty Million Three Hundred Thousand and No/100 Dollars ($380,300,000.00)”.</w:t>
      </w:r>
    </w:p>
    <w:p>
      <w:pPr>
        <w:spacing w:after="0" w:line="158" w:lineRule="exact"/>
        <w:rPr>
          <w:rFonts w:ascii="Arial" w:cs="Arial" w:eastAsia="Arial" w:hAnsi="Arial"/>
          <w:sz w:val="21"/>
          <w:szCs w:val="21"/>
          <w:color w:val="auto"/>
        </w:rPr>
      </w:pPr>
    </w:p>
    <w:p>
      <w:pPr>
        <w:ind w:left="660" w:hanging="328"/>
        <w:spacing w:after="0"/>
        <w:tabs>
          <w:tab w:leader="none" w:pos="660"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Partial Periods.</w:t>
      </w:r>
    </w:p>
    <w:p>
      <w:pPr>
        <w:spacing w:after="0" w:line="179" w:lineRule="exact"/>
        <w:rPr>
          <w:rFonts w:ascii="Arial" w:cs="Arial" w:eastAsia="Arial" w:hAnsi="Arial"/>
          <w:sz w:val="22"/>
          <w:szCs w:val="22"/>
          <w:color w:val="auto"/>
        </w:rPr>
      </w:pPr>
    </w:p>
    <w:p>
      <w:pPr>
        <w:jc w:val="both"/>
        <w:ind w:left="1300" w:hanging="320"/>
        <w:spacing w:after="0" w:line="249" w:lineRule="auto"/>
        <w:tabs>
          <w:tab w:leader="none" w:pos="1292" w:val="left"/>
        </w:tabs>
        <w:numPr>
          <w:ilvl w:val="2"/>
          <w:numId w:val="120"/>
        </w:numPr>
        <w:rPr>
          <w:rFonts w:ascii="Arial" w:cs="Arial" w:eastAsia="Arial" w:hAnsi="Arial"/>
          <w:sz w:val="19"/>
          <w:szCs w:val="19"/>
          <w:color w:val="auto"/>
        </w:rPr>
      </w:pPr>
      <w:r>
        <w:rPr>
          <w:rFonts w:ascii="Arial" w:cs="Arial" w:eastAsia="Arial" w:hAnsi="Arial"/>
          <w:sz w:val="19"/>
          <w:szCs w:val="19"/>
          <w:u w:val="single" w:color="auto"/>
          <w:color w:val="auto"/>
        </w:rPr>
        <w:t>Section 10.5(a)(v)(b)</w:t>
      </w:r>
      <w:r>
        <w:rPr>
          <w:rFonts w:ascii="Arial" w:cs="Arial" w:eastAsia="Arial" w:hAnsi="Arial"/>
          <w:sz w:val="19"/>
          <w:szCs w:val="19"/>
          <w:color w:val="auto"/>
        </w:rPr>
        <w:t xml:space="preserve"> of the Lease is hereby amended to (a) replace the reference therein to “Three Hundred Eighty-Four Million Three Hundred Thousand and No/100 Dollars ($384,300,000.00)” with a reference to “Three Hundred Eighty Million Three Hundred Thousand and No/100 Dollars ($380,300,000.00)” and (b) replace the reference therein to “One Hundred Twenty-Eight Million One Hundred Thousand and No/100 Dollars ($128,100,000.00)” with a reference to “One Hundred Twenty-Six Million Seven Hundred Sixty-Six Thousand Six Hundred Sixty-Six and 67/100 Dollars ($126,766,666.67)” and</w:t>
      </w:r>
    </w:p>
    <w:p>
      <w:pPr>
        <w:spacing w:after="0" w:line="151" w:lineRule="exact"/>
        <w:rPr>
          <w:rFonts w:ascii="Arial" w:cs="Arial" w:eastAsia="Arial" w:hAnsi="Arial"/>
          <w:sz w:val="19"/>
          <w:szCs w:val="19"/>
          <w:color w:val="auto"/>
        </w:rPr>
      </w:pPr>
    </w:p>
    <w:p>
      <w:pPr>
        <w:jc w:val="both"/>
        <w:ind w:left="1300" w:hanging="320"/>
        <w:spacing w:after="0" w:line="249" w:lineRule="auto"/>
        <w:tabs>
          <w:tab w:leader="none" w:pos="1299" w:val="left"/>
        </w:tabs>
        <w:numPr>
          <w:ilvl w:val="2"/>
          <w:numId w:val="120"/>
        </w:numPr>
        <w:rPr>
          <w:rFonts w:ascii="Arial" w:cs="Arial" w:eastAsia="Arial" w:hAnsi="Arial"/>
          <w:sz w:val="19"/>
          <w:szCs w:val="19"/>
          <w:color w:val="auto"/>
        </w:rPr>
      </w:pPr>
      <w:r>
        <w:rPr>
          <w:rFonts w:ascii="Arial" w:cs="Arial" w:eastAsia="Arial" w:hAnsi="Arial"/>
          <w:sz w:val="19"/>
          <w:szCs w:val="19"/>
          <w:color w:val="auto"/>
        </w:rPr>
        <w:t xml:space="preserve">The second sentence of </w:t>
      </w:r>
      <w:r>
        <w:rPr>
          <w:rFonts w:ascii="Arial" w:cs="Arial" w:eastAsia="Arial" w:hAnsi="Arial"/>
          <w:sz w:val="19"/>
          <w:szCs w:val="19"/>
          <w:u w:val="single" w:color="auto"/>
          <w:color w:val="auto"/>
        </w:rPr>
        <w:t>Section 10.5(a)(v)</w:t>
      </w:r>
      <w:r>
        <w:rPr>
          <w:rFonts w:ascii="Arial" w:cs="Arial" w:eastAsia="Arial" w:hAnsi="Arial"/>
          <w:sz w:val="19"/>
          <w:szCs w:val="19"/>
          <w:color w:val="auto"/>
        </w:rPr>
        <w:t xml:space="preserve"> of the Lease is hereby amended to (a) replace the reference therein to “Three Hundred Eighty-Four Million Three Hundred Thousand and No/100 Dollars ($384,300,000.00)” with a reference to “Three Hundred Eighty Million Three Hundred Thousand and No/100 Dollars ($380,300,000.00)” and (b) replace the reference therein to “One Hundred Twenty-Eight Million One Hundred Thousand and No/100 Dollars ($128,100,000.00)” with a reference to “One Hundred Twenty-Six Million Seven Hundred Sixty-Six Thousand Six Hundred Sixty-Six and 67/100 Dollars ($126,766,666.67)”.</w:t>
      </w:r>
    </w:p>
    <w:p>
      <w:pPr>
        <w:spacing w:after="0" w:line="145" w:lineRule="exact"/>
        <w:rPr>
          <w:rFonts w:ascii="Arial" w:cs="Arial" w:eastAsia="Arial" w:hAnsi="Arial"/>
          <w:sz w:val="19"/>
          <w:szCs w:val="19"/>
          <w:color w:val="auto"/>
        </w:rPr>
      </w:pPr>
    </w:p>
    <w:p>
      <w:pPr>
        <w:jc w:val="both"/>
        <w:ind w:firstLine="656"/>
        <w:spacing w:after="0" w:line="225" w:lineRule="auto"/>
        <w:tabs>
          <w:tab w:leader="none" w:pos="1296" w:val="left"/>
        </w:tabs>
        <w:numPr>
          <w:ilvl w:val="1"/>
          <w:numId w:val="120"/>
        </w:numPr>
        <w:rPr>
          <w:rFonts w:ascii="Arial" w:cs="Arial" w:eastAsia="Arial" w:hAnsi="Arial"/>
          <w:sz w:val="22"/>
          <w:szCs w:val="22"/>
          <w:color w:val="auto"/>
        </w:rPr>
      </w:pPr>
      <w:r>
        <w:rPr>
          <w:rFonts w:ascii="Arial" w:cs="Arial" w:eastAsia="Arial" w:hAnsi="Arial"/>
          <w:sz w:val="22"/>
          <w:szCs w:val="22"/>
          <w:b w:val="1"/>
          <w:bCs w:val="1"/>
          <w:u w:val="single" w:color="auto"/>
          <w:color w:val="auto"/>
        </w:rPr>
        <w:t>No Other Modification or Amendment to the Lease</w:t>
      </w:r>
      <w:r>
        <w:rPr>
          <w:rFonts w:ascii="Arial" w:cs="Arial" w:eastAsia="Arial" w:hAnsi="Arial"/>
          <w:sz w:val="22"/>
          <w:szCs w:val="22"/>
          <w:color w:val="auto"/>
        </w:rPr>
        <w:t>. The Lease shall remain in full force and effect except as</w:t>
      </w:r>
      <w:r>
        <w:rPr>
          <w:rFonts w:ascii="Arial" w:cs="Arial" w:eastAsia="Arial" w:hAnsi="Arial"/>
          <w:sz w:val="22"/>
          <w:szCs w:val="22"/>
          <w:b w:val="1"/>
          <w:bCs w:val="1"/>
          <w:color w:val="auto"/>
        </w:rPr>
        <w:t xml:space="preserve"> </w:t>
      </w:r>
      <w:r>
        <w:rPr>
          <w:rFonts w:ascii="Arial" w:cs="Arial" w:eastAsia="Arial" w:hAnsi="Arial"/>
          <w:sz w:val="22"/>
          <w:szCs w:val="22"/>
          <w:color w:val="auto"/>
        </w:rPr>
        <w:t>expressly amended or modified by this Amendment. From and after the date of this Amendment, all references in the Lease to the “Lease” shall be deemed to refer to the Lease as amended by this Amendment.</w:t>
      </w:r>
    </w:p>
    <w:p>
      <w:pPr>
        <w:spacing w:after="0" w:line="152" w:lineRule="exact"/>
        <w:rPr>
          <w:rFonts w:ascii="Arial" w:cs="Arial" w:eastAsia="Arial" w:hAnsi="Arial"/>
          <w:sz w:val="22"/>
          <w:szCs w:val="22"/>
          <w:color w:val="auto"/>
        </w:rPr>
      </w:pPr>
    </w:p>
    <w:p>
      <w:pPr>
        <w:jc w:val="both"/>
        <w:ind w:firstLine="656"/>
        <w:spacing w:after="0" w:line="220" w:lineRule="auto"/>
        <w:tabs>
          <w:tab w:leader="none" w:pos="1296" w:val="left"/>
        </w:tabs>
        <w:numPr>
          <w:ilvl w:val="1"/>
          <w:numId w:val="120"/>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 Jurisdiction</w:t>
      </w:r>
      <w:r>
        <w:rPr>
          <w:rFonts w:ascii="Arial" w:cs="Arial" w:eastAsia="Arial" w:hAnsi="Arial"/>
          <w:sz w:val="22"/>
          <w:szCs w:val="22"/>
          <w:color w:val="auto"/>
        </w:rPr>
        <w:t>. This Amendment shall be construed according to and governed by the laws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jurisdiction(s) specified by the Lease without regard to its or their conflicts of law principles. The parties hereto hereby irrevocably submit to the jurisdiction of any court of competent jurisdiction located in such applicable jurisdiction in connection with any proceeding arising out of or relating to this Amendment.</w:t>
      </w:r>
    </w:p>
    <w:p>
      <w:pPr>
        <w:spacing w:after="0" w:line="152" w:lineRule="exact"/>
        <w:rPr>
          <w:rFonts w:ascii="Arial" w:cs="Arial" w:eastAsia="Arial" w:hAnsi="Arial"/>
          <w:sz w:val="22"/>
          <w:szCs w:val="22"/>
          <w:color w:val="auto"/>
        </w:rPr>
      </w:pPr>
    </w:p>
    <w:p>
      <w:pPr>
        <w:jc w:val="both"/>
        <w:ind w:firstLine="656"/>
        <w:spacing w:after="0" w:line="225" w:lineRule="auto"/>
        <w:tabs>
          <w:tab w:leader="none" w:pos="1296" w:val="left"/>
        </w:tabs>
        <w:numPr>
          <w:ilvl w:val="1"/>
          <w:numId w:val="120"/>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Amendment may be executed by one or more of the parties hereto on any number of separate</w:t>
      </w:r>
      <w:r>
        <w:rPr>
          <w:rFonts w:ascii="Arial" w:cs="Arial" w:eastAsia="Arial" w:hAnsi="Arial"/>
          <w:sz w:val="22"/>
          <w:szCs w:val="22"/>
          <w:b w:val="1"/>
          <w:bCs w:val="1"/>
          <w:color w:val="auto"/>
        </w:rPr>
        <w:t xml:space="preserve"> </w:t>
      </w:r>
      <w:r>
        <w:rPr>
          <w:rFonts w:ascii="Arial" w:cs="Arial" w:eastAsia="Arial" w:hAnsi="Arial"/>
          <w:sz w:val="22"/>
          <w:szCs w:val="22"/>
          <w:color w:val="auto"/>
        </w:rPr>
        <w:t>counterparts, and all of such counterparts taken together shall be deemed to constitute one and the same instrument. Facsimile and/or .pdf signatures shall be deemed to be originals for all purposes.</w:t>
      </w:r>
    </w:p>
    <w:p>
      <w:pPr>
        <w:spacing w:after="0" w:line="152" w:lineRule="exact"/>
        <w:rPr>
          <w:rFonts w:ascii="Arial" w:cs="Arial" w:eastAsia="Arial" w:hAnsi="Arial"/>
          <w:sz w:val="22"/>
          <w:szCs w:val="22"/>
          <w:color w:val="auto"/>
        </w:rPr>
      </w:pPr>
    </w:p>
    <w:p>
      <w:pPr>
        <w:ind w:firstLine="656"/>
        <w:spacing w:after="0" w:line="235" w:lineRule="auto"/>
        <w:tabs>
          <w:tab w:leader="none" w:pos="1296" w:val="left"/>
        </w:tabs>
        <w:numPr>
          <w:ilvl w:val="1"/>
          <w:numId w:val="120"/>
        </w:numPr>
        <w:rPr>
          <w:rFonts w:ascii="Arial" w:cs="Arial" w:eastAsia="Arial" w:hAnsi="Arial"/>
          <w:sz w:val="22"/>
          <w:szCs w:val="22"/>
          <w:color w:val="auto"/>
        </w:rPr>
      </w:pPr>
      <w:r>
        <w:rPr>
          <w:rFonts w:ascii="Arial" w:cs="Arial" w:eastAsia="Arial" w:hAnsi="Arial"/>
          <w:sz w:val="22"/>
          <w:szCs w:val="22"/>
          <w:b w:val="1"/>
          <w:bCs w:val="1"/>
          <w:u w:val="single" w:color="auto"/>
          <w:color w:val="auto"/>
        </w:rPr>
        <w:t>Effectiveness</w:t>
      </w:r>
      <w:r>
        <w:rPr>
          <w:rFonts w:ascii="Arial" w:cs="Arial" w:eastAsia="Arial" w:hAnsi="Arial"/>
          <w:sz w:val="22"/>
          <w:szCs w:val="22"/>
          <w:color w:val="auto"/>
        </w:rPr>
        <w:t>. This Amendment shall be effective, as of the date hereof, only upon execution and delivery by each</w:t>
      </w:r>
      <w:r>
        <w:rPr>
          <w:rFonts w:ascii="Arial" w:cs="Arial" w:eastAsia="Arial" w:hAnsi="Arial"/>
          <w:sz w:val="22"/>
          <w:szCs w:val="22"/>
          <w:b w:val="1"/>
          <w:bCs w:val="1"/>
          <w:color w:val="auto"/>
        </w:rPr>
        <w:t xml:space="preserve"> </w:t>
      </w:r>
      <w:r>
        <w:rPr>
          <w:rFonts w:ascii="Arial" w:cs="Arial" w:eastAsia="Arial" w:hAnsi="Arial"/>
          <w:sz w:val="22"/>
          <w:szCs w:val="22"/>
          <w:color w:val="auto"/>
        </w:rPr>
        <w:t>of the parties hereto.</w:t>
      </w:r>
    </w:p>
    <w:p>
      <w:pPr>
        <w:spacing w:after="0" w:line="152" w:lineRule="exact"/>
        <w:rPr>
          <w:rFonts w:ascii="Arial" w:cs="Arial" w:eastAsia="Arial" w:hAnsi="Arial"/>
          <w:sz w:val="22"/>
          <w:szCs w:val="22"/>
          <w:color w:val="auto"/>
        </w:rPr>
      </w:pPr>
    </w:p>
    <w:p>
      <w:pPr>
        <w:jc w:val="both"/>
        <w:ind w:firstLine="656"/>
        <w:spacing w:after="0" w:line="230" w:lineRule="auto"/>
        <w:tabs>
          <w:tab w:leader="none" w:pos="1296" w:val="left"/>
        </w:tabs>
        <w:numPr>
          <w:ilvl w:val="1"/>
          <w:numId w:val="120"/>
        </w:numPr>
        <w:rPr>
          <w:rFonts w:ascii="Arial" w:cs="Arial" w:eastAsia="Arial" w:hAnsi="Arial"/>
          <w:sz w:val="21"/>
          <w:szCs w:val="21"/>
          <w:color w:val="auto"/>
        </w:rPr>
      </w:pPr>
      <w:r>
        <w:rPr>
          <w:rFonts w:ascii="Arial" w:cs="Arial" w:eastAsia="Arial" w:hAnsi="Arial"/>
          <w:sz w:val="21"/>
          <w:szCs w:val="21"/>
          <w:b w:val="1"/>
          <w:bCs w:val="1"/>
          <w:u w:val="single" w:color="auto"/>
          <w:color w:val="auto"/>
        </w:rPr>
        <w:t>Miscellaneous</w:t>
      </w:r>
      <w:r>
        <w:rPr>
          <w:rFonts w:ascii="Arial" w:cs="Arial" w:eastAsia="Arial" w:hAnsi="Arial"/>
          <w:sz w:val="21"/>
          <w:szCs w:val="21"/>
          <w:color w:val="auto"/>
        </w:rPr>
        <w:t>. If any provision of this Amendment is adjudicated to be invalid, illegal or unenforceable, in whole</w:t>
      </w:r>
      <w:r>
        <w:rPr>
          <w:rFonts w:ascii="Arial" w:cs="Arial" w:eastAsia="Arial" w:hAnsi="Arial"/>
          <w:sz w:val="21"/>
          <w:szCs w:val="21"/>
          <w:b w:val="1"/>
          <w:bCs w:val="1"/>
          <w:color w:val="auto"/>
        </w:rPr>
        <w:t xml:space="preserve"> </w:t>
      </w:r>
      <w:r>
        <w:rPr>
          <w:rFonts w:ascii="Arial" w:cs="Arial" w:eastAsia="Arial" w:hAnsi="Arial"/>
          <w:sz w:val="21"/>
          <w:szCs w:val="21"/>
          <w:color w:val="auto"/>
        </w:rPr>
        <w:t>or in part, it will be deemed omitted to that extent and all other provisions of this Amendment will remain in full force and effect. Neither this Amendment nor any provision hereof may be changed, modified, waived, discharged or terminated orally, but only by an instrument in writing signed by the party against whom enforcement of such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95" w:right="339" w:bottom="1440" w:gutter="0" w:footer="0" w:header="0"/>
        </w:sectPr>
      </w:pPr>
    </w:p>
    <w:bookmarkStart w:id="158" w:name="page159"/>
    <w:bookmarkEnd w:id="158"/>
    <w:p>
      <w:pPr>
        <w:jc w:val="both"/>
        <w:spacing w:after="0" w:line="218" w:lineRule="auto"/>
        <w:rPr>
          <w:sz w:val="20"/>
          <w:szCs w:val="20"/>
          <w:color w:val="auto"/>
        </w:rPr>
      </w:pPr>
      <w:r>
        <w:rPr>
          <w:rFonts w:ascii="Arial" w:cs="Arial" w:eastAsia="Arial" w:hAnsi="Arial"/>
          <w:sz w:val="22"/>
          <w:szCs w:val="22"/>
          <w:color w:val="auto"/>
        </w:rPr>
        <w:t>modification, waiver, discharge or termination is sought. The paragraph headings and captions contained in this Amendment are for convenience of reference only and in no event define, describe or limit the scope or intent of this Amendment or any of the provisions or terms hereof. This Amendment shall be binding upon and inure to the benefit of the parties and their respective heirs, legal representatives, successors and permitted assigns.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159" w:name="page160"/>
    <w:bookmarkEnd w:id="159"/>
    <w:p>
      <w:pPr>
        <w:ind w:firstLine="648"/>
        <w:spacing w:after="0" w:line="232" w:lineRule="auto"/>
        <w:rPr>
          <w:sz w:val="20"/>
          <w:szCs w:val="20"/>
          <w:color w:val="auto"/>
        </w:rPr>
      </w:pPr>
      <w:r>
        <w:rPr>
          <w:rFonts w:ascii="Arial" w:cs="Arial" w:eastAsia="Arial" w:hAnsi="Arial"/>
          <w:sz w:val="22"/>
          <w:szCs w:val="22"/>
          <w:color w:val="auto"/>
        </w:rPr>
        <w:t>IN WITNESS WHEREOF, the parties hereto have caused this Amendment to be duly executed by their duly authorized representatives, all as of the date hereof.</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LANDLORD:</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CPLV PROPERTY OWNER LLC,</w:t>
      </w:r>
    </w:p>
    <w:p>
      <w:pPr>
        <w:spacing w:after="0"/>
        <w:rPr>
          <w:sz w:val="20"/>
          <w:szCs w:val="20"/>
          <w:color w:val="auto"/>
        </w:rPr>
      </w:pPr>
      <w:r>
        <w:rPr>
          <w:rFonts w:ascii="Arial" w:cs="Arial" w:eastAsia="Arial" w:hAnsi="Arial"/>
          <w:sz w:val="22"/>
          <w:szCs w:val="22"/>
          <w:color w:val="auto"/>
        </w:rPr>
        <w:t>a Delaware limited liability company</w:t>
      </w: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color w:val="auto"/>
        </w:rPr>
        <w:t>By: /s/ David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-5715</wp:posOffset>
            </wp:positionV>
            <wp:extent cx="13601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4">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2"/>
          <w:szCs w:val="22"/>
          <w:color w:val="auto"/>
        </w:rPr>
        <w:t>Name: David Kieske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CLAUDINE PROPCO LLC,</w:t>
      </w:r>
    </w:p>
    <w:p>
      <w:pPr>
        <w:spacing w:after="0"/>
        <w:rPr>
          <w:sz w:val="20"/>
          <w:szCs w:val="20"/>
          <w:color w:val="auto"/>
        </w:rPr>
      </w:pPr>
      <w:r>
        <w:rPr>
          <w:rFonts w:ascii="Arial" w:cs="Arial" w:eastAsia="Arial" w:hAnsi="Arial"/>
          <w:sz w:val="22"/>
          <w:szCs w:val="22"/>
          <w:color w:val="auto"/>
        </w:rPr>
        <w:t>a Delaware limited liability company</w:t>
      </w: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color w:val="auto"/>
        </w:rPr>
        <w:t>By: /s/ David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-5715</wp:posOffset>
            </wp:positionV>
            <wp:extent cx="13601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5">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2"/>
          <w:szCs w:val="22"/>
          <w:color w:val="auto"/>
        </w:rPr>
        <w:t>Name: David Kieske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[Signatures Continue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Sixth Amendment to Las Vegas Lease]</w:t>
      </w:r>
    </w:p>
    <w:p>
      <w:pPr>
        <w:sectPr>
          <w:pgSz w:w="11900" w:h="16838" w:orient="portrait"/>
          <w:cols w:equalWidth="0" w:num="1">
            <w:col w:w="11240"/>
          </w:cols>
          <w:pgMar w:left="320" w:top="1401" w:right="339" w:bottom="1440" w:gutter="0" w:footer="0" w:header="0"/>
        </w:sectPr>
      </w:pPr>
    </w:p>
    <w:bookmarkStart w:id="160" w:name="page161"/>
    <w:bookmarkEnd w:id="160"/>
    <w:p>
      <w:pPr>
        <w:spacing w:after="0"/>
        <w:rPr>
          <w:sz w:val="20"/>
          <w:szCs w:val="20"/>
          <w:color w:val="auto"/>
        </w:rPr>
      </w:pPr>
      <w:r>
        <w:rPr>
          <w:rFonts w:ascii="Arial" w:cs="Arial" w:eastAsia="Arial" w:hAnsi="Arial"/>
          <w:sz w:val="22"/>
          <w:szCs w:val="22"/>
          <w:b w:val="1"/>
          <w:bCs w:val="1"/>
          <w:color w:val="auto"/>
        </w:rPr>
        <w:t>TENANT: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DESERT PALACE LLC,</w:t>
      </w:r>
    </w:p>
    <w:p>
      <w:pPr>
        <w:spacing w:after="0"/>
        <w:rPr>
          <w:sz w:val="20"/>
          <w:szCs w:val="20"/>
          <w:color w:val="auto"/>
        </w:rPr>
      </w:pPr>
      <w:r>
        <w:rPr>
          <w:rFonts w:ascii="Arial" w:cs="Arial" w:eastAsia="Arial" w:hAnsi="Arial"/>
          <w:sz w:val="22"/>
          <w:szCs w:val="22"/>
          <w:color w:val="auto"/>
        </w:rPr>
        <w:t>a Nevada limited liability company</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By: /s/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-5715</wp:posOffset>
            </wp:positionV>
            <wp:extent cx="127635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6">
                      <a:extLst>
                        <a:ext uri="{28A0092B-C50C-407E-A947-70E740481C1C}"/>
                      </a:extLst>
                    </a:blip>
                    <a:srcRect/>
                    <a:stretch>
                      <a:fillRect/>
                    </a:stretch>
                  </pic:blipFill>
                  <pic:spPr bwMode="auto">
                    <a:xfrm>
                      <a:off x="0" y="0"/>
                      <a:ext cx="1276350" cy="8255"/>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2"/>
          <w:szCs w:val="22"/>
          <w:color w:val="auto"/>
        </w:rPr>
        <w:t>Name: Bret D. Yunker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Chief Financial Officer</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CEOC, LLC,</w:t>
      </w:r>
    </w:p>
    <w:p>
      <w:pPr>
        <w:spacing w:after="0"/>
        <w:rPr>
          <w:sz w:val="20"/>
          <w:szCs w:val="20"/>
          <w:color w:val="auto"/>
        </w:rPr>
      </w:pPr>
      <w:r>
        <w:rPr>
          <w:rFonts w:ascii="Arial" w:cs="Arial" w:eastAsia="Arial" w:hAnsi="Arial"/>
          <w:sz w:val="22"/>
          <w:szCs w:val="22"/>
          <w:color w:val="auto"/>
        </w:rPr>
        <w:t>a Delaware limited liability company</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By: /s/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-5715</wp:posOffset>
            </wp:positionV>
            <wp:extent cx="127635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7">
                      <a:extLst>
                        <a:ext uri="{28A0092B-C50C-407E-A947-70E740481C1C}"/>
                      </a:extLst>
                    </a:blip>
                    <a:srcRect/>
                    <a:stretch>
                      <a:fillRect/>
                    </a:stretch>
                  </pic:blipFill>
                  <pic:spPr bwMode="auto">
                    <a:xfrm>
                      <a:off x="0" y="0"/>
                      <a:ext cx="1276350" cy="8255"/>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2"/>
          <w:szCs w:val="22"/>
          <w:color w:val="auto"/>
        </w:rPr>
        <w:t>Name: Bret D. Yunker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Chief Financial Officer</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HARRAH’S LAS VEGAS, LLC,</w:t>
      </w:r>
    </w:p>
    <w:p>
      <w:pPr>
        <w:spacing w:after="0"/>
        <w:rPr>
          <w:sz w:val="20"/>
          <w:szCs w:val="20"/>
          <w:color w:val="auto"/>
        </w:rPr>
      </w:pPr>
      <w:r>
        <w:rPr>
          <w:rFonts w:ascii="Arial" w:cs="Arial" w:eastAsia="Arial" w:hAnsi="Arial"/>
          <w:sz w:val="22"/>
          <w:szCs w:val="22"/>
          <w:color w:val="auto"/>
        </w:rPr>
        <w:t>a Nevada limited liability company</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By: /s/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-5715</wp:posOffset>
            </wp:positionV>
            <wp:extent cx="127635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8">
                      <a:extLst>
                        <a:ext uri="{28A0092B-C50C-407E-A947-70E740481C1C}"/>
                      </a:extLst>
                    </a:blip>
                    <a:srcRect/>
                    <a:stretch>
                      <a:fillRect/>
                    </a:stretch>
                  </pic:blipFill>
                  <pic:spPr bwMode="auto">
                    <a:xfrm>
                      <a:off x="0" y="0"/>
                      <a:ext cx="1276350" cy="8890"/>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2"/>
          <w:szCs w:val="22"/>
          <w:color w:val="auto"/>
        </w:rPr>
        <w:t>Name: Bret D. Yunker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720"/>
        <w:spacing w:after="0"/>
        <w:rPr>
          <w:sz w:val="20"/>
          <w:szCs w:val="20"/>
          <w:color w:val="auto"/>
        </w:rPr>
      </w:pPr>
      <w:r>
        <w:rPr>
          <w:rFonts w:ascii="Arial" w:cs="Arial" w:eastAsia="Arial" w:hAnsi="Arial"/>
          <w:sz w:val="19"/>
          <w:szCs w:val="19"/>
          <w:b w:val="1"/>
          <w:bCs w:val="1"/>
          <w:i w:val="1"/>
          <w:iCs w:val="1"/>
          <w:color w:val="auto"/>
        </w:rPr>
        <w:t>[Signatures Continue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ind w:right="2419"/>
        <w:spacing w:after="0"/>
        <w:rPr>
          <w:sz w:val="20"/>
          <w:szCs w:val="20"/>
          <w:color w:val="auto"/>
        </w:rPr>
      </w:pPr>
      <w:r>
        <w:rPr>
          <w:rFonts w:ascii="Arial" w:cs="Arial" w:eastAsia="Arial" w:hAnsi="Arial"/>
          <w:sz w:val="18"/>
          <w:szCs w:val="18"/>
          <w:color w:val="auto"/>
        </w:rPr>
        <w:t>[Signature Page to Sixth Amendment to Las Vegas Lease]</w:t>
      </w:r>
    </w:p>
    <w:p>
      <w:pPr>
        <w:sectPr>
          <w:pgSz w:w="11900" w:h="16838" w:orient="portrait"/>
          <w:cols w:equalWidth="0" w:num="1">
            <w:col w:w="10139"/>
          </w:cols>
          <w:pgMar w:left="320" w:top="1395" w:right="1440" w:bottom="1440" w:gutter="0" w:footer="0" w:header="0"/>
        </w:sectPr>
      </w:pPr>
    </w:p>
    <w:bookmarkStart w:id="161" w:name="page162"/>
    <w:bookmarkEnd w:id="161"/>
    <w:p>
      <w:pPr>
        <w:spacing w:after="0"/>
        <w:rPr>
          <w:sz w:val="20"/>
          <w:szCs w:val="20"/>
          <w:color w:val="auto"/>
        </w:rPr>
      </w:pPr>
      <w:r>
        <w:rPr>
          <w:rFonts w:ascii="Arial" w:cs="Arial" w:eastAsia="Arial" w:hAnsi="Arial"/>
          <w:sz w:val="19"/>
          <w:szCs w:val="19"/>
          <w:color w:val="auto"/>
        </w:rPr>
        <w:t>Acknowledged and agreed, solely for the purposes of the last paragraph of Section 1.1 of the Lease:</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PROPCO TRS LLC,</w:t>
      </w:r>
    </w:p>
    <w:p>
      <w:pPr>
        <w:spacing w:after="0"/>
        <w:rPr>
          <w:sz w:val="20"/>
          <w:szCs w:val="20"/>
          <w:color w:val="auto"/>
        </w:rPr>
      </w:pPr>
      <w:r>
        <w:rPr>
          <w:rFonts w:ascii="Arial" w:cs="Arial" w:eastAsia="Arial" w:hAnsi="Arial"/>
          <w:sz w:val="22"/>
          <w:szCs w:val="22"/>
          <w:color w:val="auto"/>
        </w:rPr>
        <w:t>a Delaware limited liability company</w:t>
      </w:r>
    </w:p>
    <w:p>
      <w:pPr>
        <w:spacing w:after="0" w:line="385" w:lineRule="exact"/>
        <w:rPr>
          <w:sz w:val="20"/>
          <w:szCs w:val="20"/>
          <w:color w:val="auto"/>
        </w:rPr>
      </w:pPr>
    </w:p>
    <w:p>
      <w:pPr>
        <w:spacing w:after="0"/>
        <w:rPr>
          <w:sz w:val="20"/>
          <w:szCs w:val="20"/>
          <w:color w:val="auto"/>
        </w:rPr>
      </w:pPr>
      <w:r>
        <w:rPr>
          <w:rFonts w:ascii="Arial" w:cs="Arial" w:eastAsia="Arial" w:hAnsi="Arial"/>
          <w:sz w:val="22"/>
          <w:szCs w:val="22"/>
          <w:color w:val="auto"/>
        </w:rPr>
        <w:t>By: /s/ David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-5715</wp:posOffset>
            </wp:positionV>
            <wp:extent cx="122301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9">
                      <a:extLst>
                        <a:ext uri="{28A0092B-C50C-407E-A947-70E740481C1C}"/>
                      </a:extLst>
                    </a:blip>
                    <a:srcRect/>
                    <a:stretch>
                      <a:fillRect/>
                    </a:stretch>
                  </pic:blipFill>
                  <pic:spPr bwMode="auto">
                    <a:xfrm>
                      <a:off x="0" y="0"/>
                      <a:ext cx="1223010" cy="8255"/>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2"/>
          <w:szCs w:val="22"/>
          <w:color w:val="auto"/>
        </w:rPr>
        <w:t>Name: David Kieske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[Signature Page to Sixth Amendment to Las Vegas Lease]</w:t>
      </w:r>
    </w:p>
    <w:p>
      <w:pPr>
        <w:sectPr>
          <w:pgSz w:w="11900" w:h="16838" w:orient="portrait"/>
          <w:cols w:equalWidth="0" w:num="1">
            <w:col w:w="10139"/>
          </w:cols>
          <w:pgMar w:left="320" w:top="1401" w:right="1440" w:bottom="1440" w:gutter="0" w:footer="0" w:header="0"/>
        </w:sectPr>
      </w:pPr>
    </w:p>
    <w:bookmarkStart w:id="162" w:name="page163"/>
    <w:bookmarkEnd w:id="162"/>
    <w:p>
      <w:pPr>
        <w:jc w:val="center"/>
        <w:spacing w:after="0"/>
        <w:rPr>
          <w:sz w:val="20"/>
          <w:szCs w:val="20"/>
          <w:color w:val="auto"/>
        </w:rPr>
      </w:pPr>
      <w:r>
        <w:rPr>
          <w:rFonts w:ascii="Arial" w:cs="Arial" w:eastAsia="Arial" w:hAnsi="Arial"/>
          <w:sz w:val="22"/>
          <w:szCs w:val="22"/>
          <w:b w:val="1"/>
          <w:bCs w:val="1"/>
          <w:color w:val="auto"/>
        </w:rPr>
        <w:t>ACKNOWLEDGMENT AND AGREEMENT OF GUARANTOR</w:t>
      </w:r>
    </w:p>
    <w:p>
      <w:pPr>
        <w:spacing w:after="0" w:line="185"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The undersigned (“</w:t>
      </w:r>
      <w:r>
        <w:rPr>
          <w:rFonts w:ascii="Arial" w:cs="Arial" w:eastAsia="Arial" w:hAnsi="Arial"/>
          <w:sz w:val="19"/>
          <w:szCs w:val="19"/>
          <w:u w:val="single" w:color="auto"/>
          <w:color w:val="auto"/>
        </w:rPr>
        <w:t>Guarantor</w:t>
      </w:r>
      <w:r>
        <w:rPr>
          <w:rFonts w:ascii="Arial" w:cs="Arial" w:eastAsia="Arial" w:hAnsi="Arial"/>
          <w:sz w:val="19"/>
          <w:szCs w:val="19"/>
          <w:color w:val="auto"/>
        </w:rPr>
        <w:t>”) hereby: (a) acknowledges receipt of the Sixth Amendment to Lease (the “</w:t>
      </w:r>
      <w:r>
        <w:rPr>
          <w:rFonts w:ascii="Arial" w:cs="Arial" w:eastAsia="Arial" w:hAnsi="Arial"/>
          <w:sz w:val="19"/>
          <w:szCs w:val="19"/>
          <w:u w:val="single" w:color="auto"/>
          <w:color w:val="auto"/>
        </w:rPr>
        <w:t>Amendment</w:t>
      </w:r>
      <w:r>
        <w:rPr>
          <w:rFonts w:ascii="Arial" w:cs="Arial" w:eastAsia="Arial" w:hAnsi="Arial"/>
          <w:sz w:val="19"/>
          <w:szCs w:val="19"/>
          <w:color w:val="auto"/>
        </w:rPr>
        <w:t>”; capitalized terms used herein without definition having the meanings set forth in the Amendment), dated as of November 1, 2021, by and among CPLV Property Owner LLC and Claudine Propco LLC, each a Delaware limited liability company, collectively as Landlord, Desert Palace LLC, a Nevada limited liability company, CEOC, LLC, a Delaware limited liability company (for itself and as successor by merger to Caesars Entertainment Operating Company, Inc., a Delaware corporation), and Harrah’s Las Vegas, LLC, a Nevada limited liability company, collectively as Tenant, and the other parties party thereto; (b) consents to the terms and execution thereof; (c) ratifies and reaffirms Guarantor’s obligations to Landlord pursuant to the terms of that certain Guaranty of Lease, dated as of July 20, 2020 (the “</w:t>
      </w:r>
      <w:r>
        <w:rPr>
          <w:rFonts w:ascii="Arial" w:cs="Arial" w:eastAsia="Arial" w:hAnsi="Arial"/>
          <w:sz w:val="19"/>
          <w:szCs w:val="19"/>
          <w:u w:val="single" w:color="auto"/>
          <w:color w:val="auto"/>
        </w:rPr>
        <w:t>Guaranty</w:t>
      </w:r>
      <w:r>
        <w:rPr>
          <w:rFonts w:ascii="Arial" w:cs="Arial" w:eastAsia="Arial" w:hAnsi="Arial"/>
          <w:sz w:val="19"/>
          <w:szCs w:val="19"/>
          <w:color w:val="auto"/>
        </w:rPr>
        <w:t>”), by and between Guarantor and Landlord, and agrees that nothing in the Amendment in any way impairs or lessens the Guarantor’s obligations under the Guaranty; and (d) acknowledges and agrees that the Guaranty is in full force and effect and is valid, binding and enforceable in accordance with its terms.</w:t>
      </w:r>
    </w:p>
    <w:p>
      <w:pPr>
        <w:spacing w:after="0" w:line="155" w:lineRule="exact"/>
        <w:rPr>
          <w:sz w:val="20"/>
          <w:szCs w:val="20"/>
          <w:color w:val="auto"/>
        </w:rPr>
      </w:pPr>
    </w:p>
    <w:p>
      <w:pPr>
        <w:jc w:val="both"/>
        <w:ind w:firstLine="219"/>
        <w:spacing w:after="0" w:line="232" w:lineRule="auto"/>
        <w:rPr>
          <w:sz w:val="20"/>
          <w:szCs w:val="20"/>
          <w:color w:val="auto"/>
        </w:rPr>
      </w:pPr>
      <w:r>
        <w:rPr>
          <w:rFonts w:ascii="Arial" w:cs="Arial" w:eastAsia="Arial" w:hAnsi="Arial"/>
          <w:sz w:val="22"/>
          <w:szCs w:val="22"/>
          <w:color w:val="auto"/>
        </w:rPr>
        <w:t>IN WITNESS WHEREOF, the undersigned has caused this Acknowledgment and Agreement of Guarantor to be duly executed as of November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[Acknowledgment and Agreement of Guarantor]</w:t>
      </w:r>
    </w:p>
    <w:p>
      <w:pPr>
        <w:sectPr>
          <w:pgSz w:w="11900" w:h="16838" w:orient="portrait"/>
          <w:cols w:equalWidth="0" w:num="1">
            <w:col w:w="11240"/>
          </w:cols>
          <w:pgMar w:left="320" w:top="1395" w:right="339" w:bottom="1440" w:gutter="0" w:footer="0" w:header="0"/>
        </w:sectPr>
      </w:pPr>
    </w:p>
    <w:bookmarkStart w:id="163" w:name="page164"/>
    <w:bookmarkEnd w:id="163"/>
    <w:p>
      <w:pPr>
        <w:spacing w:after="0"/>
        <w:rPr>
          <w:sz w:val="20"/>
          <w:szCs w:val="20"/>
          <w:color w:val="auto"/>
        </w:rPr>
      </w:pPr>
      <w:r>
        <w:rPr>
          <w:rFonts w:ascii="Arial" w:cs="Arial" w:eastAsia="Arial" w:hAnsi="Arial"/>
          <w:sz w:val="22"/>
          <w:szCs w:val="22"/>
          <w:b w:val="1"/>
          <w:bCs w:val="1"/>
          <w:color w:val="auto"/>
        </w:rPr>
        <w:t>CAESARS ENTERTAINMENT, INC.</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By: /s/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-5715</wp:posOffset>
            </wp:positionV>
            <wp:extent cx="127635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0">
                      <a:extLst>
                        <a:ext uri="{28A0092B-C50C-407E-A947-70E740481C1C}"/>
                      </a:extLst>
                    </a:blip>
                    <a:srcRect/>
                    <a:stretch>
                      <a:fillRect/>
                    </a:stretch>
                  </pic:blipFill>
                  <pic:spPr bwMode="auto">
                    <a:xfrm>
                      <a:off x="0" y="0"/>
                      <a:ext cx="1276350" cy="8255"/>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2"/>
          <w:szCs w:val="22"/>
          <w:color w:val="auto"/>
        </w:rPr>
        <w:t>Name: Bret D. Yunker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2759"/>
        <w:spacing w:after="0"/>
        <w:rPr>
          <w:sz w:val="20"/>
          <w:szCs w:val="20"/>
          <w:color w:val="auto"/>
        </w:rPr>
      </w:pPr>
      <w:r>
        <w:rPr>
          <w:rFonts w:ascii="Arial" w:cs="Arial" w:eastAsia="Arial" w:hAnsi="Arial"/>
          <w:sz w:val="18"/>
          <w:szCs w:val="18"/>
          <w:color w:val="auto"/>
        </w:rPr>
        <w:t>[Acknowledgment and Agreement of Guarantor]</w:t>
      </w:r>
    </w:p>
    <w:p>
      <w:pPr>
        <w:sectPr>
          <w:pgSz w:w="11900" w:h="16838" w:orient="portrait"/>
          <w:cols w:equalWidth="0" w:num="1">
            <w:col w:w="10139"/>
          </w:cols>
          <w:pgMar w:left="320" w:top="1395" w:right="1440" w:bottom="1440" w:gutter="0" w:footer="0" w:header="0"/>
        </w:sectPr>
      </w:pPr>
    </w:p>
    <w:bookmarkStart w:id="164" w:name="page165"/>
    <w:bookmarkEnd w:id="164"/>
    <w:p>
      <w:pPr>
        <w:ind w:left="10020"/>
        <w:spacing w:after="0"/>
        <w:rPr>
          <w:sz w:val="20"/>
          <w:szCs w:val="20"/>
          <w:color w:val="auto"/>
        </w:rPr>
      </w:pPr>
      <w:r>
        <w:rPr>
          <w:rFonts w:ascii="Arial" w:cs="Arial" w:eastAsia="Arial" w:hAnsi="Arial"/>
          <w:sz w:val="19"/>
          <w:szCs w:val="19"/>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NINTH AMENDMENT TO LEASE</w:t>
      </w:r>
    </w:p>
    <w:p>
      <w:pPr>
        <w:spacing w:after="0" w:line="179"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NINTH AMENDMENT TO LEASE</w:t>
      </w:r>
      <w:r>
        <w:rPr>
          <w:rFonts w:ascii="Arial" w:cs="Arial" w:eastAsia="Arial" w:hAnsi="Arial"/>
          <w:sz w:val="22"/>
          <w:szCs w:val="22"/>
          <w:color w:val="auto"/>
        </w:rPr>
        <w:t xml:space="preserve"> (this “</w:t>
      </w:r>
      <w:r>
        <w:rPr>
          <w:rFonts w:ascii="Arial" w:cs="Arial" w:eastAsia="Arial" w:hAnsi="Arial"/>
          <w:sz w:val="22"/>
          <w:szCs w:val="22"/>
          <w:u w:val="single" w:color="auto"/>
          <w:color w:val="auto"/>
        </w:rPr>
        <w:t>Amendment</w:t>
      </w:r>
      <w:r>
        <w:rPr>
          <w:rFonts w:ascii="Arial" w:cs="Arial" w:eastAsia="Arial" w:hAnsi="Arial"/>
          <w:sz w:val="22"/>
          <w:szCs w:val="22"/>
          <w:color w:val="auto"/>
        </w:rPr>
        <w:t xml:space="preserve">”) is entered into as of November 1, 2021, by and among the entities listed on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attached hereto (collectively, and together with their respective successors and assigns, “</w:t>
      </w:r>
      <w:r>
        <w:rPr>
          <w:rFonts w:ascii="Arial" w:cs="Arial" w:eastAsia="Arial" w:hAnsi="Arial"/>
          <w:sz w:val="22"/>
          <w:szCs w:val="22"/>
          <w:u w:val="single" w:color="auto"/>
          <w:color w:val="auto"/>
        </w:rPr>
        <w:t>Landlord</w:t>
      </w:r>
      <w:r>
        <w:rPr>
          <w:rFonts w:ascii="Arial" w:cs="Arial" w:eastAsia="Arial" w:hAnsi="Arial"/>
          <w:sz w:val="22"/>
          <w:szCs w:val="22"/>
          <w:color w:val="auto"/>
        </w:rPr>
        <w:t xml:space="preserve">”), the entities listed on </w:t>
      </w:r>
      <w:r>
        <w:rPr>
          <w:rFonts w:ascii="Arial" w:cs="Arial" w:eastAsia="Arial" w:hAnsi="Arial"/>
          <w:sz w:val="22"/>
          <w:szCs w:val="22"/>
          <w:u w:val="single" w:color="auto"/>
          <w:color w:val="auto"/>
        </w:rPr>
        <w:t>Schedule B</w:t>
      </w:r>
      <w:r>
        <w:rPr>
          <w:rFonts w:ascii="Arial" w:cs="Arial" w:eastAsia="Arial" w:hAnsi="Arial"/>
          <w:sz w:val="22"/>
          <w:szCs w:val="22"/>
          <w:color w:val="auto"/>
        </w:rPr>
        <w:t xml:space="preserve"> attached hereto (collectively, and together with their respective successors and assigns, “</w:t>
      </w:r>
      <w:r>
        <w:rPr>
          <w:rFonts w:ascii="Arial" w:cs="Arial" w:eastAsia="Arial" w:hAnsi="Arial"/>
          <w:sz w:val="22"/>
          <w:szCs w:val="22"/>
          <w:u w:val="single" w:color="auto"/>
          <w:color w:val="auto"/>
        </w:rPr>
        <w:t>Tenant</w:t>
      </w:r>
      <w:r>
        <w:rPr>
          <w:rFonts w:ascii="Arial" w:cs="Arial" w:eastAsia="Arial" w:hAnsi="Arial"/>
          <w:sz w:val="22"/>
          <w:szCs w:val="22"/>
          <w:color w:val="auto"/>
        </w:rPr>
        <w:t xml:space="preserve">”) and, solely for the purposes of the penultimate paragraph of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of the Lease (as defined below), Propco TRS LLC, a Delaware limited liability company (“</w:t>
      </w:r>
      <w:r>
        <w:rPr>
          <w:rFonts w:ascii="Arial" w:cs="Arial" w:eastAsia="Arial" w:hAnsi="Arial"/>
          <w:sz w:val="22"/>
          <w:szCs w:val="22"/>
          <w:u w:val="single" w:color="auto"/>
          <w:color w:val="auto"/>
        </w:rPr>
        <w:t>Propco TRS</w:t>
      </w:r>
      <w:r>
        <w:rPr>
          <w:rFonts w:ascii="Arial" w:cs="Arial" w:eastAsia="Arial" w:hAnsi="Arial"/>
          <w:sz w:val="22"/>
          <w:szCs w:val="22"/>
          <w:color w:val="auto"/>
        </w:rPr>
        <w: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152"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Landlord, Tenant and, solely for the purposes of the penultimate paragraph of</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1.1</w:t>
      </w:r>
      <w:r>
        <w:rPr>
          <w:rFonts w:ascii="Arial" w:cs="Arial" w:eastAsia="Arial" w:hAnsi="Arial"/>
          <w:sz w:val="21"/>
          <w:szCs w:val="21"/>
          <w:b w:val="1"/>
          <w:bCs w:val="1"/>
          <w:color w:val="auto"/>
        </w:rPr>
        <w:t xml:space="preserve"> </w:t>
      </w:r>
      <w:r>
        <w:rPr>
          <w:rFonts w:ascii="Arial" w:cs="Arial" w:eastAsia="Arial" w:hAnsi="Arial"/>
          <w:sz w:val="21"/>
          <w:szCs w:val="21"/>
          <w:color w:val="auto"/>
        </w:rPr>
        <w:t>of the Lease,</w:t>
      </w:r>
      <w:r>
        <w:rPr>
          <w:rFonts w:ascii="Arial" w:cs="Arial" w:eastAsia="Arial" w:hAnsi="Arial"/>
          <w:sz w:val="21"/>
          <w:szCs w:val="21"/>
          <w:b w:val="1"/>
          <w:bCs w:val="1"/>
          <w:color w:val="auto"/>
        </w:rPr>
        <w:t xml:space="preserve"> </w:t>
      </w:r>
      <w:r>
        <w:rPr>
          <w:rFonts w:ascii="Arial" w:cs="Arial" w:eastAsia="Arial" w:hAnsi="Arial"/>
          <w:sz w:val="21"/>
          <w:szCs w:val="21"/>
          <w:color w:val="auto"/>
        </w:rPr>
        <w:t>Propco TRS, are parties to that certain Lease (Non-CPLV), dated as of October 6, 2017, as amended by that certain First Amendment to Lease (Non-CPLV), dated as of December 22, 2017, as amended by that certain Second Amendment to Lease (Non-CPLV) and Ratification of SNDA, dated as of February 16, 2018, as amended by that certain Third Amendment to Lease (Non-CPLV), dated as of April 2, 2018, as amended by that certain Fourth Amendment to Lease (Non-CPLV), dated as of December 26, 2018, as amended by that certain Omnibus Amendment to Leases, dated as of June 1, 2020, as amended by that certain Fifth Amendment to Lease (Non-CPLV), dated as of July 20, 2020, as amended by that certain Sixth Amendment to Lease, dated as of September 30, 2020, as amended by that certain Amended and Restated Omnibus Amendment to Leases, dated as of October 27, 2020, as amended by that certain Seventh Amendment to Lease, dated as of November 18, 2020, and as amended by that certain Eighth Amendment to Lease, dated as of September 3, 2021 (collectively, as amended, the “</w:t>
      </w:r>
      <w:r>
        <w:rPr>
          <w:rFonts w:ascii="Arial" w:cs="Arial" w:eastAsia="Arial" w:hAnsi="Arial"/>
          <w:sz w:val="21"/>
          <w:szCs w:val="21"/>
          <w:u w:val="single" w:color="auto"/>
          <w:color w:val="auto"/>
        </w:rPr>
        <w:t>Lease</w:t>
      </w:r>
      <w:r>
        <w:rPr>
          <w:rFonts w:ascii="Arial" w:cs="Arial" w:eastAsia="Arial" w:hAnsi="Arial"/>
          <w:sz w:val="21"/>
          <w:szCs w:val="21"/>
          <w:color w:val="auto"/>
        </w:rPr>
        <w:t>”), pursuant to which Landlord leases to Tenant, and Tenant leases from Landlord, certain real property as more particularly described in the Lease;</w:t>
      </w:r>
    </w:p>
    <w:p>
      <w:pPr>
        <w:spacing w:after="0" w:line="111"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on June 30, 2021, Propco TRS conveyed to Arlington Turfway, LLC, an Alabama limited liability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certain real property located in Florence, Kentucky that was (prior to such conveyance) subject to the Lease and a portion of the real property associated with the Turfway Park Facility (as defined below) (the “</w:t>
      </w:r>
      <w:r>
        <w:rPr>
          <w:rFonts w:ascii="Arial" w:cs="Arial" w:eastAsia="Arial" w:hAnsi="Arial"/>
          <w:sz w:val="21"/>
          <w:szCs w:val="21"/>
          <w:u w:val="single" w:color="auto"/>
          <w:color w:val="auto"/>
        </w:rPr>
        <w:t>Turfway Park Parcel Transaction</w:t>
      </w:r>
      <w:r>
        <w:rPr>
          <w:rFonts w:ascii="Arial" w:cs="Arial" w:eastAsia="Arial" w:hAnsi="Arial"/>
          <w:sz w:val="21"/>
          <w:szCs w:val="21"/>
          <w:color w:val="auto"/>
        </w:rPr>
        <w:t>”), and the Turfway Park Parcel (as defined below) was severed from the Lease as of such date;</w:t>
      </w:r>
    </w:p>
    <w:p>
      <w:pPr>
        <w:spacing w:after="0" w:line="11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on the date hereof, (x) Harrah’s Bossier City LLC, Harrah’s Shreveport/Bossier City Investment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LLC (“</w:t>
      </w:r>
      <w:r>
        <w:rPr>
          <w:rFonts w:ascii="Arial" w:cs="Arial" w:eastAsia="Arial" w:hAnsi="Arial"/>
          <w:sz w:val="19"/>
          <w:szCs w:val="19"/>
          <w:u w:val="single" w:color="auto"/>
          <w:color w:val="auto"/>
        </w:rPr>
        <w:t>Operator Parent</w:t>
      </w:r>
      <w:r>
        <w:rPr>
          <w:rFonts w:ascii="Arial" w:cs="Arial" w:eastAsia="Arial" w:hAnsi="Arial"/>
          <w:sz w:val="19"/>
          <w:szCs w:val="19"/>
          <w:color w:val="auto"/>
        </w:rPr>
        <w:t>”), Harrah’s Bossier City Investment Company, L.L.C. (“</w:t>
      </w:r>
      <w:r>
        <w:rPr>
          <w:rFonts w:ascii="Arial" w:cs="Arial" w:eastAsia="Arial" w:hAnsi="Arial"/>
          <w:sz w:val="19"/>
          <w:szCs w:val="19"/>
          <w:u w:val="single" w:color="auto"/>
          <w:color w:val="auto"/>
        </w:rPr>
        <w:t>Operator</w:t>
      </w:r>
      <w:r>
        <w:rPr>
          <w:rFonts w:ascii="Arial" w:cs="Arial" w:eastAsia="Arial" w:hAnsi="Arial"/>
          <w:sz w:val="19"/>
          <w:szCs w:val="19"/>
          <w:color w:val="auto"/>
        </w:rPr>
        <w:t>”), Rubico Gaming, LLC (“</w:t>
      </w:r>
      <w:r>
        <w:rPr>
          <w:rFonts w:ascii="Arial" w:cs="Arial" w:eastAsia="Arial" w:hAnsi="Arial"/>
          <w:sz w:val="19"/>
          <w:szCs w:val="19"/>
          <w:u w:val="single" w:color="auto"/>
          <w:color w:val="auto"/>
        </w:rPr>
        <w:t>Purchaser</w:t>
      </w:r>
      <w:r>
        <w:rPr>
          <w:rFonts w:ascii="Arial" w:cs="Arial" w:eastAsia="Arial" w:hAnsi="Arial"/>
          <w:sz w:val="19"/>
          <w:szCs w:val="19"/>
          <w:color w:val="auto"/>
        </w:rPr>
        <w:t>”) and Rubico Acquisition Corp (“</w:t>
      </w:r>
      <w:r>
        <w:rPr>
          <w:rFonts w:ascii="Arial" w:cs="Arial" w:eastAsia="Arial" w:hAnsi="Arial"/>
          <w:sz w:val="19"/>
          <w:szCs w:val="19"/>
          <w:u w:val="single" w:color="auto"/>
          <w:color w:val="auto"/>
        </w:rPr>
        <w:t>Purchaser Parent</w:t>
      </w:r>
      <w:r>
        <w:rPr>
          <w:rFonts w:ascii="Arial" w:cs="Arial" w:eastAsia="Arial" w:hAnsi="Arial"/>
          <w:sz w:val="19"/>
          <w:szCs w:val="19"/>
          <w:color w:val="auto"/>
        </w:rPr>
        <w:t>” and together with Purchaser, collectively, “</w:t>
      </w:r>
      <w:r>
        <w:rPr>
          <w:rFonts w:ascii="Arial" w:cs="Arial" w:eastAsia="Arial" w:hAnsi="Arial"/>
          <w:sz w:val="19"/>
          <w:szCs w:val="19"/>
          <w:u w:val="single" w:color="auto"/>
          <w:color w:val="auto"/>
        </w:rPr>
        <w:t>Rubico</w:t>
      </w:r>
      <w:r>
        <w:rPr>
          <w:rFonts w:ascii="Arial" w:cs="Arial" w:eastAsia="Arial" w:hAnsi="Arial"/>
          <w:sz w:val="19"/>
          <w:szCs w:val="19"/>
          <w:color w:val="auto"/>
        </w:rPr>
        <w:t>”) are closing a purchase and sale transaction under that certain Agreement of Sale, dated as of September 3, 2020, with respect to certain real property associated with the gaming and entertainment facility known as Harrah’s Bossier City (Louisiana Downs) located in Bossier City, Louisiana, which facility is (prior to the effectiveness of this Amendment) subject to the Lease, and (y) Operator Parent, Operator and Rubico are closing a purchase and sale transaction under that certain Equity Purchase Agreement, dated as of September 3, 2020, with respect to Operator Parent’s one hundred percent (100%) equity interest in Operator, which entity operates the facility described in the immediately preceding clause (x) (the transactions described in the preceding clauses (x) and (y) are referred to herein collectively as the “</w:t>
      </w:r>
      <w:r>
        <w:rPr>
          <w:rFonts w:ascii="Arial" w:cs="Arial" w:eastAsia="Arial" w:hAnsi="Arial"/>
          <w:sz w:val="19"/>
          <w:szCs w:val="19"/>
          <w:u w:val="single" w:color="auto"/>
          <w:color w:val="auto"/>
        </w:rPr>
        <w:t>LAD Transaction</w:t>
      </w:r>
      <w:r>
        <w:rPr>
          <w:rFonts w:ascii="Arial" w:cs="Arial" w:eastAsia="Arial" w:hAnsi="Arial"/>
          <w:sz w:val="19"/>
          <w:szCs w:val="19"/>
          <w:color w:val="auto"/>
        </w:rPr>
        <w:t>”); and</w:t>
      </w:r>
    </w:p>
    <w:p>
      <w:pPr>
        <w:spacing w:after="0" w:line="128"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in connection with the Turfway Park Parcel Transaction and the LAD Transaction, the parties hereto desire</w:t>
      </w:r>
      <w:r>
        <w:rPr>
          <w:rFonts w:ascii="Arial" w:cs="Arial" w:eastAsia="Arial" w:hAnsi="Arial"/>
          <w:sz w:val="22"/>
          <w:szCs w:val="22"/>
          <w:b w:val="1"/>
          <w:bCs w:val="1"/>
          <w:color w:val="auto"/>
        </w:rPr>
        <w:t xml:space="preserve"> </w:t>
      </w:r>
      <w:r>
        <w:rPr>
          <w:rFonts w:ascii="Arial" w:cs="Arial" w:eastAsia="Arial" w:hAnsi="Arial"/>
          <w:sz w:val="22"/>
          <w:szCs w:val="22"/>
          <w:color w:val="auto"/>
        </w:rPr>
        <w:t>to amend the Lease as set forth herein.</w:t>
      </w:r>
    </w:p>
    <w:p>
      <w:pPr>
        <w:spacing w:after="0" w:line="112"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covenants and agreements hereinafter set forth and for other good</w:t>
      </w:r>
      <w:r>
        <w:rPr>
          <w:rFonts w:ascii="Arial" w:cs="Arial" w:eastAsia="Arial" w:hAnsi="Arial"/>
          <w:sz w:val="22"/>
          <w:szCs w:val="22"/>
          <w:b w:val="1"/>
          <w:bCs w:val="1"/>
          <w:color w:val="auto"/>
        </w:rPr>
        <w:t xml:space="preserve"> </w:t>
      </w:r>
      <w:r>
        <w:rPr>
          <w:rFonts w:ascii="Arial" w:cs="Arial" w:eastAsia="Arial" w:hAnsi="Arial"/>
          <w:sz w:val="22"/>
          <w:szCs w:val="22"/>
          <w:color w:val="auto"/>
        </w:rPr>
        <w:t>and valuable consideration, the receipt and sufficiency of which are hereby acknowledged, the parties hereto, intending to be legally bound hereby, agree as follows:</w:t>
      </w:r>
    </w:p>
    <w:p>
      <w:pPr>
        <w:sectPr>
          <w:pgSz w:w="11900" w:h="16838" w:orient="portrait"/>
          <w:cols w:equalWidth="0" w:num="1">
            <w:col w:w="11240"/>
          </w:cols>
          <w:pgMar w:left="320" w:top="98" w:right="339" w:bottom="1440" w:gutter="0" w:footer="0" w:header="0"/>
        </w:sectPr>
      </w:pPr>
    </w:p>
    <w:bookmarkStart w:id="165" w:name="page166"/>
    <w:bookmarkEnd w:id="165"/>
    <w:p>
      <w:pPr>
        <w:ind w:firstLine="656"/>
        <w:spacing w:after="0" w:line="235" w:lineRule="auto"/>
        <w:tabs>
          <w:tab w:leader="none" w:pos="1296" w:val="left"/>
        </w:tabs>
        <w:numPr>
          <w:ilvl w:val="1"/>
          <w:numId w:val="121"/>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 Except as otherwise defined herein, all capitalized terms used herein without definition shall have the</w:t>
      </w:r>
      <w:r>
        <w:rPr>
          <w:rFonts w:ascii="Arial" w:cs="Arial" w:eastAsia="Arial" w:hAnsi="Arial"/>
          <w:sz w:val="22"/>
          <w:szCs w:val="22"/>
          <w:b w:val="1"/>
          <w:bCs w:val="1"/>
          <w:color w:val="auto"/>
        </w:rPr>
        <w:t xml:space="preserve"> </w:t>
      </w:r>
      <w:r>
        <w:rPr>
          <w:rFonts w:ascii="Arial" w:cs="Arial" w:eastAsia="Arial" w:hAnsi="Arial"/>
          <w:sz w:val="22"/>
          <w:szCs w:val="22"/>
          <w:color w:val="auto"/>
        </w:rPr>
        <w:t>meanings applicable to such terms, respectively, as set forth in the Lease.</w:t>
      </w:r>
    </w:p>
    <w:p>
      <w:pPr>
        <w:spacing w:after="0" w:line="112" w:lineRule="exact"/>
        <w:rPr>
          <w:rFonts w:ascii="Arial" w:cs="Arial" w:eastAsia="Arial" w:hAnsi="Arial"/>
          <w:sz w:val="22"/>
          <w:szCs w:val="22"/>
          <w:color w:val="auto"/>
        </w:rPr>
      </w:pPr>
    </w:p>
    <w:p>
      <w:pPr>
        <w:ind w:right="20" w:firstLine="656"/>
        <w:spacing w:after="0" w:line="235" w:lineRule="auto"/>
        <w:tabs>
          <w:tab w:leader="none" w:pos="1296" w:val="left"/>
        </w:tabs>
        <w:numPr>
          <w:ilvl w:val="1"/>
          <w:numId w:val="121"/>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Amendments to the Lease for Turfway Park Parcel Transaction</w:t>
      </w:r>
      <w:r>
        <w:rPr>
          <w:rFonts w:ascii="Arial" w:cs="Arial" w:eastAsia="Arial" w:hAnsi="Arial"/>
          <w:sz w:val="22"/>
          <w:szCs w:val="22"/>
          <w:color w:val="auto"/>
        </w:rPr>
        <w:t>. Effective as of June 30, 2021 (the “</w:t>
      </w:r>
      <w:r>
        <w:rPr>
          <w:rFonts w:ascii="Arial" w:cs="Arial" w:eastAsia="Arial" w:hAnsi="Arial"/>
          <w:sz w:val="22"/>
          <w:szCs w:val="22"/>
          <w:u w:val="single" w:color="auto"/>
          <w:color w:val="auto"/>
        </w:rPr>
        <w:t>Turfway</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Park Parcel Severance Date</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left="640" w:hanging="308"/>
        <w:spacing w:after="0"/>
        <w:tabs>
          <w:tab w:leader="none" w:pos="640"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Termination of the Lease as to the Turfway Park Parcel</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1300" w:hanging="320"/>
        <w:spacing w:after="0" w:line="252" w:lineRule="auto"/>
        <w:tabs>
          <w:tab w:leader="none" w:pos="1292" w:val="left"/>
        </w:tabs>
        <w:numPr>
          <w:ilvl w:val="2"/>
          <w:numId w:val="122"/>
        </w:numPr>
        <w:rPr>
          <w:rFonts w:ascii="Arial" w:cs="Arial" w:eastAsia="Arial" w:hAnsi="Arial"/>
          <w:sz w:val="19"/>
          <w:szCs w:val="19"/>
          <w:color w:val="auto"/>
        </w:rPr>
      </w:pPr>
      <w:r>
        <w:rPr>
          <w:rFonts w:ascii="Arial" w:cs="Arial" w:eastAsia="Arial" w:hAnsi="Arial"/>
          <w:sz w:val="19"/>
          <w:szCs w:val="19"/>
          <w:color w:val="auto"/>
        </w:rPr>
        <w:t>the Lease is hereby terminated with respect to the Turfway Park Parcel, the Turfway Park Parcel no longer constitutes Leased Property under the Lease nor a portion of the Turfway Park Facility, and neither Landlord nor Tenant has any further liabilities or obligations under the Lease, from and after the Turfway Park Parcel Severance Date, in respect of the Turfway Park Parcel (provided that any such liabilities or obligations arising prior to such date shall not be terminated, limited or affected by or upon entry into this Amendment); and</w:t>
      </w:r>
    </w:p>
    <w:p>
      <w:pPr>
        <w:spacing w:after="0" w:line="148" w:lineRule="exact"/>
        <w:rPr>
          <w:rFonts w:ascii="Arial" w:cs="Arial" w:eastAsia="Arial" w:hAnsi="Arial"/>
          <w:sz w:val="19"/>
          <w:szCs w:val="19"/>
          <w:color w:val="auto"/>
        </w:rPr>
      </w:pPr>
    </w:p>
    <w:p>
      <w:pPr>
        <w:jc w:val="both"/>
        <w:ind w:left="1300" w:hanging="320"/>
        <w:spacing w:after="0" w:line="221" w:lineRule="auto"/>
        <w:tabs>
          <w:tab w:leader="none" w:pos="1299" w:val="left"/>
        </w:tabs>
        <w:numPr>
          <w:ilvl w:val="2"/>
          <w:numId w:val="122"/>
        </w:numPr>
        <w:rPr>
          <w:rFonts w:ascii="Arial" w:cs="Arial" w:eastAsia="Arial" w:hAnsi="Arial"/>
          <w:sz w:val="21"/>
          <w:szCs w:val="21"/>
          <w:color w:val="auto"/>
        </w:rPr>
      </w:pPr>
      <w:r>
        <w:rPr>
          <w:rFonts w:ascii="Arial" w:cs="Arial" w:eastAsia="Arial" w:hAnsi="Arial"/>
          <w:sz w:val="21"/>
          <w:szCs w:val="21"/>
          <w:color w:val="auto"/>
        </w:rPr>
        <w:t>the Guaranty hereby automatically, and without further action by any party, ceases to apply with respect to any Obligations (as defined in the Guaranty) with respect to the Turfway Park Parcel to the extent arising from and after the Turfway Park Parcel Severance Date (provided that any such Obligations arising prior to such date shall not be terminated, limited or affected by or upon entry into this Amendment). The term “</w:t>
      </w:r>
      <w:r>
        <w:rPr>
          <w:rFonts w:ascii="Arial" w:cs="Arial" w:eastAsia="Arial" w:hAnsi="Arial"/>
          <w:sz w:val="21"/>
          <w:szCs w:val="21"/>
          <w:u w:val="single" w:color="auto"/>
          <w:color w:val="auto"/>
        </w:rPr>
        <w:t>Turfway Park Facility</w:t>
      </w:r>
      <w:r>
        <w:rPr>
          <w:rFonts w:ascii="Arial" w:cs="Arial" w:eastAsia="Arial" w:hAnsi="Arial"/>
          <w:sz w:val="21"/>
          <w:szCs w:val="21"/>
          <w:color w:val="auto"/>
        </w:rPr>
        <w:t xml:space="preserve">” refers to the applicable Facility identified as Facility 19 on the list of the Facilities annexed as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to the Lease (prior to giving effect to the replacement of said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pursuant to Section 3.K.i. of this Amendment). The term “</w:t>
      </w:r>
      <w:r>
        <w:rPr>
          <w:rFonts w:ascii="Arial" w:cs="Arial" w:eastAsia="Arial" w:hAnsi="Arial"/>
          <w:sz w:val="21"/>
          <w:szCs w:val="21"/>
          <w:u w:val="single" w:color="auto"/>
          <w:color w:val="auto"/>
        </w:rPr>
        <w:t>Turfway Park Parcel</w:t>
      </w:r>
      <w:r>
        <w:rPr>
          <w:rFonts w:ascii="Arial" w:cs="Arial" w:eastAsia="Arial" w:hAnsi="Arial"/>
          <w:sz w:val="21"/>
          <w:szCs w:val="21"/>
          <w:color w:val="auto"/>
        </w:rPr>
        <w:t xml:space="preserve">” refers to the Land set forth on </w:t>
      </w:r>
      <w:r>
        <w:rPr>
          <w:rFonts w:ascii="Arial" w:cs="Arial" w:eastAsia="Arial" w:hAnsi="Arial"/>
          <w:sz w:val="21"/>
          <w:szCs w:val="21"/>
          <w:u w:val="single" w:color="auto"/>
          <w:color w:val="auto"/>
        </w:rPr>
        <w:t>Annex B</w:t>
      </w:r>
      <w:r>
        <w:rPr>
          <w:rFonts w:ascii="Arial" w:cs="Arial" w:eastAsia="Arial" w:hAnsi="Arial"/>
          <w:sz w:val="21"/>
          <w:szCs w:val="21"/>
          <w:color w:val="auto"/>
        </w:rPr>
        <w:t xml:space="preserve"> hereto and any other Leased Property pertaining thereto.</w:t>
      </w:r>
    </w:p>
    <w:p>
      <w:pPr>
        <w:spacing w:after="0" w:line="165" w:lineRule="exact"/>
        <w:rPr>
          <w:rFonts w:ascii="Arial" w:cs="Arial" w:eastAsia="Arial" w:hAnsi="Arial"/>
          <w:sz w:val="21"/>
          <w:szCs w:val="21"/>
          <w:color w:val="auto"/>
        </w:rPr>
      </w:pPr>
    </w:p>
    <w:p>
      <w:pPr>
        <w:jc w:val="both"/>
        <w:ind w:left="660" w:hanging="328"/>
        <w:spacing w:after="0" w:line="223" w:lineRule="auto"/>
        <w:tabs>
          <w:tab w:leader="none" w:pos="656"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Rent</w:t>
      </w:r>
      <w:r>
        <w:rPr>
          <w:rFonts w:ascii="Arial" w:cs="Arial" w:eastAsia="Arial" w:hAnsi="Arial"/>
          <w:sz w:val="22"/>
          <w:szCs w:val="22"/>
          <w:color w:val="auto"/>
        </w:rPr>
        <w:t>. Landlord and Tenant hereby expressly acknowledge and agree that there shall be no reduction in the Rent under the Lease as a result of the removal of the Turfway Park Parcel from the Lease or otherwise as a result of the Turfway Park Parcel Transaction.</w:t>
      </w:r>
    </w:p>
    <w:p>
      <w:pPr>
        <w:spacing w:after="0" w:line="158" w:lineRule="exact"/>
        <w:rPr>
          <w:rFonts w:ascii="Arial" w:cs="Arial" w:eastAsia="Arial" w:hAnsi="Arial"/>
          <w:sz w:val="22"/>
          <w:szCs w:val="22"/>
          <w:color w:val="auto"/>
        </w:rPr>
      </w:pPr>
    </w:p>
    <w:p>
      <w:pPr>
        <w:jc w:val="both"/>
        <w:ind w:left="660" w:hanging="328"/>
        <w:spacing w:after="0" w:line="268" w:lineRule="auto"/>
        <w:tabs>
          <w:tab w:leader="none" w:pos="656" w:val="left"/>
        </w:tabs>
        <w:numPr>
          <w:ilvl w:val="0"/>
          <w:numId w:val="122"/>
        </w:numPr>
        <w:rPr>
          <w:rFonts w:ascii="Arial" w:cs="Arial" w:eastAsia="Arial" w:hAnsi="Arial"/>
          <w:sz w:val="19"/>
          <w:szCs w:val="19"/>
          <w:color w:val="auto"/>
        </w:rPr>
      </w:pPr>
      <w:r>
        <w:rPr>
          <w:rFonts w:ascii="Arial" w:cs="Arial" w:eastAsia="Arial" w:hAnsi="Arial"/>
          <w:sz w:val="19"/>
          <w:szCs w:val="19"/>
          <w:u w:val="single" w:color="auto"/>
          <w:color w:val="auto"/>
        </w:rPr>
        <w:t>Variable Rent</w:t>
      </w:r>
      <w:r>
        <w:rPr>
          <w:rFonts w:ascii="Arial" w:cs="Arial" w:eastAsia="Arial" w:hAnsi="Arial"/>
          <w:sz w:val="19"/>
          <w:szCs w:val="19"/>
          <w:color w:val="auto"/>
        </w:rPr>
        <w:t>. From and after the Turfway Park Parcel Severance Date, for purposes of any calculation of Variable Rent under the Lease, including any adjustments in Variable Rent based on increases or decreases in Net Revenue, such calculations of Net Revenue shall exclude Net Revenue attributable to the Turfway Park Parcel.</w:t>
      </w:r>
    </w:p>
    <w:p>
      <w:pPr>
        <w:spacing w:after="0" w:line="132" w:lineRule="exact"/>
        <w:rPr>
          <w:rFonts w:ascii="Arial" w:cs="Arial" w:eastAsia="Arial" w:hAnsi="Arial"/>
          <w:sz w:val="19"/>
          <w:szCs w:val="19"/>
          <w:color w:val="auto"/>
        </w:rPr>
      </w:pPr>
    </w:p>
    <w:p>
      <w:pPr>
        <w:ind w:left="640" w:hanging="308"/>
        <w:spacing w:after="0"/>
        <w:tabs>
          <w:tab w:leader="none" w:pos="640"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Turfway Park Parcel Transaction</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1300" w:hanging="320"/>
        <w:spacing w:after="0" w:line="223" w:lineRule="auto"/>
        <w:tabs>
          <w:tab w:leader="none" w:pos="1292" w:val="left"/>
        </w:tabs>
        <w:numPr>
          <w:ilvl w:val="2"/>
          <w:numId w:val="122"/>
        </w:numPr>
        <w:rPr>
          <w:rFonts w:ascii="Arial" w:cs="Arial" w:eastAsia="Arial" w:hAnsi="Arial"/>
          <w:sz w:val="22"/>
          <w:szCs w:val="22"/>
          <w:color w:val="auto"/>
        </w:rPr>
      </w:pPr>
      <w:r>
        <w:rPr>
          <w:rFonts w:ascii="Arial" w:cs="Arial" w:eastAsia="Arial" w:hAnsi="Arial"/>
          <w:sz w:val="22"/>
          <w:szCs w:val="22"/>
          <w:color w:val="auto"/>
        </w:rPr>
        <w:t xml:space="preserve">Each of Landlord and Tenant hereby acknowledge and agree that the removal of the Turfway Park Parcel from the Lease was made in connection with Landlord’s conveyance of the Turfway Park Parcel pursuant to </w:t>
      </w:r>
      <w:r>
        <w:rPr>
          <w:rFonts w:ascii="Arial" w:cs="Arial" w:eastAsia="Arial" w:hAnsi="Arial"/>
          <w:sz w:val="22"/>
          <w:szCs w:val="22"/>
          <w:u w:val="single" w:color="auto"/>
          <w:color w:val="auto"/>
        </w:rPr>
        <w:t>Section 18.3</w:t>
      </w:r>
      <w:r>
        <w:rPr>
          <w:rFonts w:ascii="Arial" w:cs="Arial" w:eastAsia="Arial" w:hAnsi="Arial"/>
          <w:sz w:val="22"/>
          <w:szCs w:val="22"/>
          <w:color w:val="auto"/>
        </w:rPr>
        <w:t xml:space="preserve"> of the Lease.</w:t>
      </w:r>
    </w:p>
    <w:p>
      <w:pPr>
        <w:spacing w:after="0" w:line="158" w:lineRule="exact"/>
        <w:rPr>
          <w:rFonts w:ascii="Arial" w:cs="Arial" w:eastAsia="Arial" w:hAnsi="Arial"/>
          <w:sz w:val="22"/>
          <w:szCs w:val="22"/>
          <w:color w:val="auto"/>
        </w:rPr>
      </w:pPr>
    </w:p>
    <w:p>
      <w:pPr>
        <w:ind w:left="1300" w:right="20" w:hanging="320"/>
        <w:spacing w:after="0" w:line="298" w:lineRule="auto"/>
        <w:tabs>
          <w:tab w:leader="none" w:pos="1299" w:val="left"/>
        </w:tabs>
        <w:numPr>
          <w:ilvl w:val="2"/>
          <w:numId w:val="122"/>
        </w:numPr>
        <w:rPr>
          <w:rFonts w:ascii="Arial" w:cs="Arial" w:eastAsia="Arial" w:hAnsi="Arial"/>
          <w:sz w:val="19"/>
          <w:szCs w:val="19"/>
          <w:color w:val="auto"/>
        </w:rPr>
      </w:pPr>
      <w:r>
        <w:rPr>
          <w:rFonts w:ascii="Arial" w:cs="Arial" w:eastAsia="Arial" w:hAnsi="Arial"/>
          <w:sz w:val="19"/>
          <w:szCs w:val="19"/>
          <w:color w:val="auto"/>
        </w:rPr>
        <w:t>The treatment of the Turfway Park Parcel Transaction hereunder is not intended to serve as a precedent for the treatment of future dispositions (if any) which may be effectuated under any applicable provision of the Lease.</w:t>
      </w:r>
    </w:p>
    <w:p>
      <w:pPr>
        <w:spacing w:after="0" w:line="105" w:lineRule="exact"/>
        <w:rPr>
          <w:rFonts w:ascii="Arial" w:cs="Arial" w:eastAsia="Arial" w:hAnsi="Arial"/>
          <w:sz w:val="19"/>
          <w:szCs w:val="19"/>
          <w:color w:val="auto"/>
        </w:rPr>
      </w:pPr>
    </w:p>
    <w:p>
      <w:pPr>
        <w:ind w:left="660" w:hanging="328"/>
        <w:spacing w:after="0" w:line="232" w:lineRule="auto"/>
        <w:tabs>
          <w:tab w:leader="none" w:pos="657"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Revisions to Exhibits and Schedules to the Lease</w:t>
      </w:r>
      <w:r>
        <w:rPr>
          <w:rFonts w:ascii="Arial" w:cs="Arial" w:eastAsia="Arial" w:hAnsi="Arial"/>
          <w:sz w:val="22"/>
          <w:szCs w:val="22"/>
          <w:color w:val="auto"/>
        </w:rPr>
        <w:t>. The Exhibits and Schedules to the Lease are hereby amended as follows:</w:t>
      </w:r>
    </w:p>
    <w:p>
      <w:pPr>
        <w:spacing w:after="0" w:line="158" w:lineRule="exact"/>
        <w:rPr>
          <w:rFonts w:ascii="Arial" w:cs="Arial" w:eastAsia="Arial" w:hAnsi="Arial"/>
          <w:sz w:val="22"/>
          <w:szCs w:val="22"/>
          <w:color w:val="auto"/>
        </w:rPr>
      </w:pPr>
    </w:p>
    <w:p>
      <w:pPr>
        <w:jc w:val="both"/>
        <w:ind w:left="1300" w:hanging="320"/>
        <w:spacing w:after="0" w:line="223" w:lineRule="auto"/>
        <w:tabs>
          <w:tab w:leader="none" w:pos="1292" w:val="left"/>
        </w:tabs>
        <w:numPr>
          <w:ilvl w:val="2"/>
          <w:numId w:val="122"/>
        </w:numPr>
        <w:rPr>
          <w:rFonts w:ascii="Arial" w:cs="Arial" w:eastAsia="Arial" w:hAnsi="Arial"/>
          <w:sz w:val="22"/>
          <w:szCs w:val="22"/>
          <w:color w:val="auto"/>
        </w:rPr>
      </w:pPr>
      <w:r>
        <w:rPr>
          <w:rFonts w:ascii="Arial" w:cs="Arial" w:eastAsia="Arial" w:hAnsi="Arial"/>
          <w:sz w:val="22"/>
          <w:szCs w:val="22"/>
          <w:u w:val="single" w:color="auto"/>
          <w:color w:val="auto"/>
        </w:rPr>
        <w:t>Legal Description (Turfway Park Parcel)</w:t>
      </w:r>
      <w:r>
        <w:rPr>
          <w:rFonts w:ascii="Arial" w:cs="Arial" w:eastAsia="Arial" w:hAnsi="Arial"/>
          <w:sz w:val="22"/>
          <w:szCs w:val="22"/>
          <w:color w:val="auto"/>
        </w:rPr>
        <w:t xml:space="preserve">. The legal descriptions with respect to the Leased Property set forth on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annexed to the Lease are hereby amended such that the legal description with respect to the Leased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95" w:right="339" w:bottom="1440" w:gutter="0" w:footer="0" w:header="0"/>
        </w:sectPr>
      </w:pPr>
    </w:p>
    <w:bookmarkStart w:id="166" w:name="page167"/>
    <w:bookmarkEnd w:id="166"/>
    <w:p>
      <w:pPr>
        <w:ind w:left="960"/>
        <w:spacing w:after="0" w:line="232" w:lineRule="auto"/>
        <w:rPr>
          <w:sz w:val="20"/>
          <w:szCs w:val="20"/>
          <w:color w:val="auto"/>
        </w:rPr>
      </w:pPr>
      <w:r>
        <w:rPr>
          <w:rFonts w:ascii="Arial" w:cs="Arial" w:eastAsia="Arial" w:hAnsi="Arial"/>
          <w:sz w:val="22"/>
          <w:szCs w:val="22"/>
          <w:color w:val="auto"/>
        </w:rPr>
        <w:t xml:space="preserve">pertaining to the Turfway Park Parcel, as set forth on </w:t>
      </w:r>
      <w:r>
        <w:rPr>
          <w:rFonts w:ascii="Arial" w:cs="Arial" w:eastAsia="Arial" w:hAnsi="Arial"/>
          <w:sz w:val="22"/>
          <w:szCs w:val="22"/>
          <w:u w:val="single" w:color="auto"/>
          <w:color w:val="auto"/>
        </w:rPr>
        <w:t>Annex B</w:t>
      </w:r>
      <w:r>
        <w:rPr>
          <w:rFonts w:ascii="Arial" w:cs="Arial" w:eastAsia="Arial" w:hAnsi="Arial"/>
          <w:sz w:val="22"/>
          <w:szCs w:val="22"/>
          <w:color w:val="auto"/>
        </w:rPr>
        <w:t xml:space="preserve"> attached hereto, is hereby deleted from said </w:t>
      </w:r>
      <w:r>
        <w:rPr>
          <w:rFonts w:ascii="Arial" w:cs="Arial" w:eastAsia="Arial" w:hAnsi="Arial"/>
          <w:sz w:val="22"/>
          <w:szCs w:val="22"/>
          <w:u w:val="single" w:color="auto"/>
          <w:color w:val="auto"/>
        </w:rPr>
        <w:t>Exhibit B</w:t>
      </w:r>
      <w:r>
        <w:rPr>
          <w:rFonts w:ascii="Arial" w:cs="Arial" w:eastAsia="Arial" w:hAnsi="Arial"/>
          <w:sz w:val="22"/>
          <w:szCs w:val="22"/>
          <w:color w:val="auto"/>
        </w:rPr>
        <w:t>.</w:t>
      </w:r>
    </w:p>
    <w:p>
      <w:pPr>
        <w:spacing w:after="0" w:line="159" w:lineRule="exact"/>
        <w:rPr>
          <w:sz w:val="20"/>
          <w:szCs w:val="20"/>
          <w:color w:val="auto"/>
        </w:rPr>
      </w:pPr>
    </w:p>
    <w:p>
      <w:pPr>
        <w:ind w:left="960" w:hanging="320"/>
        <w:spacing w:after="0" w:line="247" w:lineRule="auto"/>
        <w:tabs>
          <w:tab w:leader="none" w:pos="959" w:val="left"/>
        </w:tabs>
        <w:numPr>
          <w:ilvl w:val="0"/>
          <w:numId w:val="123"/>
        </w:numPr>
        <w:rPr>
          <w:rFonts w:ascii="Arial" w:cs="Arial" w:eastAsia="Arial" w:hAnsi="Arial"/>
          <w:sz w:val="21"/>
          <w:szCs w:val="21"/>
          <w:color w:val="auto"/>
        </w:rPr>
      </w:pPr>
      <w:r>
        <w:rPr>
          <w:rFonts w:ascii="Arial" w:cs="Arial" w:eastAsia="Arial" w:hAnsi="Arial"/>
          <w:sz w:val="21"/>
          <w:szCs w:val="21"/>
          <w:u w:val="single" w:color="auto"/>
          <w:color w:val="auto"/>
        </w:rPr>
        <w:t>Permitted Property Sales</w:t>
      </w:r>
      <w:r>
        <w:rPr>
          <w:rFonts w:ascii="Arial" w:cs="Arial" w:eastAsia="Arial" w:hAnsi="Arial"/>
          <w:sz w:val="21"/>
          <w:szCs w:val="21"/>
          <w:color w:val="auto"/>
        </w:rPr>
        <w:t xml:space="preserve">. The list of properties set forth on </w:t>
      </w:r>
      <w:r>
        <w:rPr>
          <w:rFonts w:ascii="Arial" w:cs="Arial" w:eastAsia="Arial" w:hAnsi="Arial"/>
          <w:sz w:val="21"/>
          <w:szCs w:val="21"/>
          <w:u w:val="single" w:color="auto"/>
          <w:color w:val="auto"/>
        </w:rPr>
        <w:t>Schedule 7</w:t>
      </w:r>
      <w:r>
        <w:rPr>
          <w:rFonts w:ascii="Arial" w:cs="Arial" w:eastAsia="Arial" w:hAnsi="Arial"/>
          <w:sz w:val="21"/>
          <w:szCs w:val="21"/>
          <w:color w:val="auto"/>
        </w:rPr>
        <w:t xml:space="preserve"> annexed to the Lease is hereby amended such that the following property listed thereon is hereby deleted from said </w:t>
      </w:r>
      <w:r>
        <w:rPr>
          <w:rFonts w:ascii="Arial" w:cs="Arial" w:eastAsia="Arial" w:hAnsi="Arial"/>
          <w:sz w:val="21"/>
          <w:szCs w:val="21"/>
          <w:u w:val="single" w:color="auto"/>
          <w:color w:val="auto"/>
        </w:rPr>
        <w:t>Schedule 7</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612140</wp:posOffset>
            </wp:positionH>
            <wp:positionV relativeFrom="paragraph">
              <wp:posOffset>118110</wp:posOffset>
            </wp:positionV>
            <wp:extent cx="4526280" cy="12858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1">
                      <a:extLst>
                        <a:ext uri="{28A0092B-C50C-407E-A947-70E740481C1C}"/>
                      </a:extLst>
                    </a:blip>
                    <a:srcRect/>
                    <a:stretch>
                      <a:fillRect/>
                    </a:stretch>
                  </pic:blipFill>
                  <pic:spPr bwMode="auto">
                    <a:xfrm>
                      <a:off x="0" y="0"/>
                      <a:ext cx="4526280"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960" w:hanging="644"/>
        <w:spacing w:after="0"/>
        <w:tabs>
          <w:tab w:leader="none" w:pos="960" w:val="left"/>
        </w:tabs>
        <w:numPr>
          <w:ilvl w:val="1"/>
          <w:numId w:val="124"/>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Amendments to the Lease for LAD Transaction</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Termination of the Lease as to the LAD Facility</w:t>
      </w:r>
      <w:r>
        <w:rPr>
          <w:rFonts w:ascii="Arial" w:cs="Arial" w:eastAsia="Arial" w:hAnsi="Arial"/>
          <w:sz w:val="22"/>
          <w:szCs w:val="22"/>
          <w:color w:val="auto"/>
        </w:rPr>
        <w:t>. Effective as of the date hereof:</w:t>
      </w:r>
    </w:p>
    <w:p>
      <w:pPr>
        <w:spacing w:after="0" w:line="165" w:lineRule="exact"/>
        <w:rPr>
          <w:rFonts w:ascii="Arial" w:cs="Arial" w:eastAsia="Arial" w:hAnsi="Arial"/>
          <w:sz w:val="22"/>
          <w:szCs w:val="22"/>
          <w:color w:val="auto"/>
        </w:rPr>
      </w:pPr>
    </w:p>
    <w:p>
      <w:pPr>
        <w:jc w:val="both"/>
        <w:ind w:left="960" w:hanging="320"/>
        <w:spacing w:after="0" w:line="235" w:lineRule="auto"/>
        <w:tabs>
          <w:tab w:leader="none" w:pos="952" w:val="left"/>
        </w:tabs>
        <w:numPr>
          <w:ilvl w:val="2"/>
          <w:numId w:val="124"/>
        </w:numPr>
        <w:rPr>
          <w:rFonts w:ascii="Arial" w:cs="Arial" w:eastAsia="Arial" w:hAnsi="Arial"/>
          <w:sz w:val="22"/>
          <w:szCs w:val="22"/>
          <w:color w:val="auto"/>
        </w:rPr>
      </w:pPr>
      <w:r>
        <w:rPr>
          <w:rFonts w:ascii="Arial" w:cs="Arial" w:eastAsia="Arial" w:hAnsi="Arial"/>
          <w:sz w:val="22"/>
          <w:szCs w:val="22"/>
          <w:color w:val="auto"/>
        </w:rPr>
        <w:t xml:space="preserve">the Lease is hereby terminated with respect to the LAD Leased Property (as defined below), the LAD Leased Property no longer constitutes Leased Property under the Lease, and neither Landlord nor Tenant has any further liabilities or obligations under the Lease, from and after the date of this Amendment, in respect of the LAD Facility (as defined below) and the LAD Leased Property (provided that, subject to </w:t>
      </w:r>
      <w:r>
        <w:rPr>
          <w:rFonts w:ascii="Arial" w:cs="Arial" w:eastAsia="Arial" w:hAnsi="Arial"/>
          <w:sz w:val="22"/>
          <w:szCs w:val="22"/>
          <w:u w:val="single" w:color="auto"/>
          <w:color w:val="auto"/>
        </w:rPr>
        <w:t>Sections 3.A.iii.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3.A.iv.</w:t>
      </w:r>
      <w:r>
        <w:rPr>
          <w:rFonts w:ascii="Arial" w:cs="Arial" w:eastAsia="Arial" w:hAnsi="Arial"/>
          <w:sz w:val="22"/>
          <w:szCs w:val="22"/>
          <w:color w:val="auto"/>
        </w:rPr>
        <w:t>, any such liabilities or obligations arising prior to such date shall not be terminated, limited or affected by or upon entry into this Amendment);</w:t>
      </w:r>
    </w:p>
    <w:p>
      <w:pPr>
        <w:spacing w:after="0" w:line="160" w:lineRule="exact"/>
        <w:rPr>
          <w:rFonts w:ascii="Arial" w:cs="Arial" w:eastAsia="Arial" w:hAnsi="Arial"/>
          <w:sz w:val="22"/>
          <w:szCs w:val="22"/>
          <w:color w:val="auto"/>
        </w:rPr>
      </w:pPr>
    </w:p>
    <w:p>
      <w:pPr>
        <w:jc w:val="both"/>
        <w:ind w:left="960" w:hanging="320"/>
        <w:spacing w:after="0" w:line="246" w:lineRule="auto"/>
        <w:tabs>
          <w:tab w:leader="none" w:pos="959" w:val="left"/>
        </w:tabs>
        <w:numPr>
          <w:ilvl w:val="2"/>
          <w:numId w:val="124"/>
        </w:numPr>
        <w:rPr>
          <w:rFonts w:ascii="Arial" w:cs="Arial" w:eastAsia="Arial" w:hAnsi="Arial"/>
          <w:sz w:val="21"/>
          <w:szCs w:val="21"/>
          <w:color w:val="auto"/>
        </w:rPr>
      </w:pPr>
      <w:r>
        <w:rPr>
          <w:rFonts w:ascii="Arial" w:cs="Arial" w:eastAsia="Arial" w:hAnsi="Arial"/>
          <w:sz w:val="21"/>
          <w:szCs w:val="21"/>
          <w:color w:val="auto"/>
        </w:rPr>
        <w:t xml:space="preserve">the Guaranty hereby automatically, and without further action by any party, ceases to apply with respect to any Obligations with respect to the LAD Facility or the LAD Leased Property to the extent arising from and after the date of this Amendment (provided that, subject to </w:t>
      </w:r>
      <w:r>
        <w:rPr>
          <w:rFonts w:ascii="Arial" w:cs="Arial" w:eastAsia="Arial" w:hAnsi="Arial"/>
          <w:sz w:val="21"/>
          <w:szCs w:val="21"/>
          <w:u w:val="single" w:color="auto"/>
          <w:color w:val="auto"/>
        </w:rPr>
        <w:t>Sections 3.A.iii.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3.A.iv.</w:t>
      </w:r>
      <w:r>
        <w:rPr>
          <w:rFonts w:ascii="Arial" w:cs="Arial" w:eastAsia="Arial" w:hAnsi="Arial"/>
          <w:sz w:val="21"/>
          <w:szCs w:val="21"/>
          <w:color w:val="auto"/>
        </w:rPr>
        <w:t>, any such Obligations arising prior to such date shall not be terminated, limited or affected by or upon entry into this Amendment). The term “</w:t>
      </w:r>
      <w:r>
        <w:rPr>
          <w:rFonts w:ascii="Arial" w:cs="Arial" w:eastAsia="Arial" w:hAnsi="Arial"/>
          <w:sz w:val="21"/>
          <w:szCs w:val="21"/>
          <w:u w:val="single" w:color="auto"/>
          <w:color w:val="auto"/>
        </w:rPr>
        <w:t>LAD</w:t>
      </w:r>
      <w:r>
        <w:rPr>
          <w:rFonts w:ascii="Arial" w:cs="Arial" w:eastAsia="Arial" w:hAnsi="Arial"/>
          <w:sz w:val="21"/>
          <w:szCs w:val="21"/>
          <w:color w:val="auto"/>
        </w:rPr>
        <w:t xml:space="preserve"> </w:t>
      </w:r>
      <w:r>
        <w:rPr>
          <w:rFonts w:ascii="Arial" w:cs="Arial" w:eastAsia="Arial" w:hAnsi="Arial"/>
          <w:sz w:val="21"/>
          <w:szCs w:val="21"/>
          <w:u w:val="single" w:color="auto"/>
          <w:color w:val="auto"/>
        </w:rPr>
        <w:t>Facility</w:t>
      </w:r>
      <w:r>
        <w:rPr>
          <w:rFonts w:ascii="Arial" w:cs="Arial" w:eastAsia="Arial" w:hAnsi="Arial"/>
          <w:sz w:val="21"/>
          <w:szCs w:val="21"/>
          <w:color w:val="auto"/>
        </w:rPr>
        <w:t xml:space="preserve">” refers to the applicable Facility identified as Facility 6 on the list of the Facilities annexed as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to the Lease (prior to giving effect to the replacement of said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pursuant to </w:t>
      </w:r>
      <w:r>
        <w:rPr>
          <w:rFonts w:ascii="Arial" w:cs="Arial" w:eastAsia="Arial" w:hAnsi="Arial"/>
          <w:sz w:val="21"/>
          <w:szCs w:val="21"/>
          <w:u w:val="single" w:color="auto"/>
          <w:color w:val="auto"/>
        </w:rPr>
        <w:t>Section 3.K.i.</w:t>
      </w:r>
      <w:r>
        <w:rPr>
          <w:rFonts w:ascii="Arial" w:cs="Arial" w:eastAsia="Arial" w:hAnsi="Arial"/>
          <w:sz w:val="21"/>
          <w:szCs w:val="21"/>
          <w:color w:val="auto"/>
        </w:rPr>
        <w:t xml:space="preserve"> of this Amendment). The term “</w:t>
      </w:r>
      <w:r>
        <w:rPr>
          <w:rFonts w:ascii="Arial" w:cs="Arial" w:eastAsia="Arial" w:hAnsi="Arial"/>
          <w:sz w:val="21"/>
          <w:szCs w:val="21"/>
          <w:u w:val="single" w:color="auto"/>
          <w:color w:val="auto"/>
        </w:rPr>
        <w:t>LAD Leased Property</w:t>
      </w:r>
      <w:r>
        <w:rPr>
          <w:rFonts w:ascii="Arial" w:cs="Arial" w:eastAsia="Arial" w:hAnsi="Arial"/>
          <w:sz w:val="21"/>
          <w:szCs w:val="21"/>
          <w:color w:val="auto"/>
        </w:rPr>
        <w:t xml:space="preserve">” refers to the Land set forth on </w:t>
      </w:r>
      <w:r>
        <w:rPr>
          <w:rFonts w:ascii="Arial" w:cs="Arial" w:eastAsia="Arial" w:hAnsi="Arial"/>
          <w:sz w:val="21"/>
          <w:szCs w:val="21"/>
          <w:u w:val="single" w:color="auto"/>
          <w:color w:val="auto"/>
        </w:rPr>
        <w:t>Annex A</w:t>
      </w:r>
      <w:r>
        <w:rPr>
          <w:rFonts w:ascii="Arial" w:cs="Arial" w:eastAsia="Arial" w:hAnsi="Arial"/>
          <w:sz w:val="21"/>
          <w:szCs w:val="21"/>
          <w:color w:val="auto"/>
        </w:rPr>
        <w:t xml:space="preserve"> hereto and any other Leased Property pertaining to the LAD Facility;</w:t>
      </w:r>
    </w:p>
    <w:p>
      <w:pPr>
        <w:spacing w:after="0" w:line="139" w:lineRule="exact"/>
        <w:rPr>
          <w:rFonts w:ascii="Arial" w:cs="Arial" w:eastAsia="Arial" w:hAnsi="Arial"/>
          <w:sz w:val="21"/>
          <w:szCs w:val="21"/>
          <w:color w:val="auto"/>
        </w:rPr>
      </w:pPr>
    </w:p>
    <w:p>
      <w:pPr>
        <w:jc w:val="both"/>
        <w:ind w:left="960" w:hanging="320"/>
        <w:spacing w:after="0" w:line="282" w:lineRule="auto"/>
        <w:tabs>
          <w:tab w:leader="none" w:pos="951" w:val="left"/>
        </w:tabs>
        <w:numPr>
          <w:ilvl w:val="2"/>
          <w:numId w:val="124"/>
        </w:numPr>
        <w:rPr>
          <w:rFonts w:ascii="Arial" w:cs="Arial" w:eastAsia="Arial" w:hAnsi="Arial"/>
          <w:sz w:val="19"/>
          <w:szCs w:val="19"/>
          <w:color w:val="auto"/>
        </w:rPr>
      </w:pPr>
      <w:r>
        <w:rPr>
          <w:rFonts w:ascii="Arial" w:cs="Arial" w:eastAsia="Arial" w:hAnsi="Arial"/>
          <w:sz w:val="19"/>
          <w:szCs w:val="19"/>
          <w:color w:val="auto"/>
        </w:rPr>
        <w:t xml:space="preserve">(x) Operator hereby assigns to CEOC, LLC, and CEOC, LLC hereby assumes from Operator, (1) all of Operator’s rights, title and interest in respect of, or arising under, the Lease, whenever arising and (2) all of the Operator’s duties, obligations and liabilities in respect of, or arising under, the Lease, whenever arising (the matters set forth in this </w:t>
      </w:r>
      <w:r>
        <w:rPr>
          <w:rFonts w:ascii="Arial" w:cs="Arial" w:eastAsia="Arial" w:hAnsi="Arial"/>
          <w:sz w:val="19"/>
          <w:szCs w:val="19"/>
          <w:u w:val="single" w:color="auto"/>
          <w:color w:val="auto"/>
        </w:rPr>
        <w:t>clause (2)</w:t>
      </w:r>
      <w:r>
        <w:rPr>
          <w:rFonts w:ascii="Arial" w:cs="Arial" w:eastAsia="Arial" w:hAnsi="Arial"/>
          <w:sz w:val="19"/>
          <w:szCs w:val="19"/>
          <w:color w:val="auto"/>
        </w:rPr>
        <w:t>, collectively, the “</w:t>
      </w:r>
      <w:r>
        <w:rPr>
          <w:rFonts w:ascii="Arial" w:cs="Arial" w:eastAsia="Arial" w:hAnsi="Arial"/>
          <w:sz w:val="19"/>
          <w:szCs w:val="19"/>
          <w:u w:val="single" w:color="auto"/>
          <w:color w:val="auto"/>
        </w:rPr>
        <w:t>Operator Liabilities</w:t>
      </w:r>
      <w:r>
        <w:rPr>
          <w:rFonts w:ascii="Arial" w:cs="Arial" w:eastAsia="Arial" w:hAnsi="Arial"/>
          <w:sz w:val="19"/>
          <w:szCs w:val="19"/>
          <w:color w:val="auto"/>
        </w:rPr>
        <w:t>”) and (y) Landlord hereby consents to the foregoing assignment and assumption (provided CEOC, LLC shall not further assign the Operator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900"/>
          </w:cols>
          <w:pgMar w:left="660" w:top="1401" w:right="339" w:bottom="1440" w:gutter="0" w:footer="0" w:header="0"/>
        </w:sectPr>
      </w:pPr>
    </w:p>
    <w:bookmarkStart w:id="167" w:name="page168"/>
    <w:bookmarkEnd w:id="167"/>
    <w:p>
      <w:pPr>
        <w:ind w:left="968"/>
        <w:spacing w:after="0" w:line="250" w:lineRule="auto"/>
        <w:rPr>
          <w:sz w:val="20"/>
          <w:szCs w:val="20"/>
          <w:color w:val="auto"/>
        </w:rPr>
      </w:pPr>
      <w:r>
        <w:rPr>
          <w:rFonts w:ascii="Arial" w:cs="Arial" w:eastAsia="Arial" w:hAnsi="Arial"/>
          <w:sz w:val="22"/>
          <w:szCs w:val="22"/>
          <w:color w:val="auto"/>
        </w:rPr>
        <w:t>to any other Person, provided, the foregoing is not intended to and shall not restrict any transfers permitted under Section 22.2 of the Lease); and</w:t>
      </w:r>
    </w:p>
    <w:p>
      <w:pPr>
        <w:spacing w:after="0" w:line="134" w:lineRule="exact"/>
        <w:rPr>
          <w:sz w:val="20"/>
          <w:szCs w:val="20"/>
          <w:color w:val="auto"/>
        </w:rPr>
      </w:pPr>
    </w:p>
    <w:p>
      <w:pPr>
        <w:jc w:val="both"/>
        <w:ind w:left="968" w:hanging="320"/>
        <w:spacing w:after="0" w:line="270" w:lineRule="auto"/>
        <w:tabs>
          <w:tab w:leader="none" w:pos="946" w:val="left"/>
        </w:tabs>
        <w:numPr>
          <w:ilvl w:val="2"/>
          <w:numId w:val="125"/>
        </w:numPr>
        <w:rPr>
          <w:rFonts w:ascii="Arial" w:cs="Arial" w:eastAsia="Arial" w:hAnsi="Arial"/>
          <w:sz w:val="19"/>
          <w:szCs w:val="19"/>
          <w:color w:val="auto"/>
        </w:rPr>
      </w:pPr>
      <w:r>
        <w:rPr>
          <w:rFonts w:ascii="Arial" w:cs="Arial" w:eastAsia="Arial" w:hAnsi="Arial"/>
          <w:sz w:val="19"/>
          <w:szCs w:val="19"/>
          <w:color w:val="auto"/>
        </w:rPr>
        <w:t xml:space="preserve">effective immediately after giving effect to the assignment and assumption provided for in the immediately preceding </w:t>
      </w:r>
      <w:r>
        <w:rPr>
          <w:rFonts w:ascii="Arial" w:cs="Arial" w:eastAsia="Arial" w:hAnsi="Arial"/>
          <w:sz w:val="19"/>
          <w:szCs w:val="19"/>
          <w:u w:val="single" w:color="auto"/>
          <w:color w:val="auto"/>
        </w:rPr>
        <w:t>Section 3.A.iii.</w:t>
      </w:r>
      <w:r>
        <w:rPr>
          <w:rFonts w:ascii="Arial" w:cs="Arial" w:eastAsia="Arial" w:hAnsi="Arial"/>
          <w:sz w:val="19"/>
          <w:szCs w:val="19"/>
          <w:color w:val="auto"/>
        </w:rPr>
        <w:t>: (x) Landlord hereby absolutely and unconditionally releases and forever discharges Operator, to the fullest extent permitted under law, from all Operator Liabilities and any and all claims, liabilities, demands, expenses and other obligations of any kind, at law, equity or otherwise, whether past, present or future, known or unknown, actual or contingent, or direct or indirect, arising out of or relating in any manner to the Operator Liabilities; and (y) Operator (on behalf of itself, but not on behalf of any other Tenant entity) hereby absolutely and unconditionally releases and forever discharges Landlord, to the fullest extent permitted under law, from all of Landlord’s duties, obligations and liabilities (if any) in respect of, or arising under, the Lease, whenever arising (collectively, the “</w:t>
      </w:r>
      <w:r>
        <w:rPr>
          <w:rFonts w:ascii="Arial" w:cs="Arial" w:eastAsia="Arial" w:hAnsi="Arial"/>
          <w:sz w:val="19"/>
          <w:szCs w:val="19"/>
          <w:u w:val="single" w:color="auto"/>
          <w:color w:val="auto"/>
        </w:rPr>
        <w:t>Landlord Liabilities</w:t>
      </w:r>
      <w:r>
        <w:rPr>
          <w:rFonts w:ascii="Arial" w:cs="Arial" w:eastAsia="Arial" w:hAnsi="Arial"/>
          <w:sz w:val="19"/>
          <w:szCs w:val="19"/>
          <w:color w:val="auto"/>
        </w:rPr>
        <w:t xml:space="preserve">”) and any and all claims, liabilities, demands, expenses and other obligations of any kind, at law, equity or otherwise, whether past, present or future, known or unknown, actual or contingent, or direct or indirect, arising out of or relating in any manner to the Landlord Liabilities. Operator hereby represents, warrants and covenants to Landlord that it has taken all necessary action to authorize the release of Landlord as set forth in this </w:t>
      </w:r>
      <w:r>
        <w:rPr>
          <w:rFonts w:ascii="Arial" w:cs="Arial" w:eastAsia="Arial" w:hAnsi="Arial"/>
          <w:sz w:val="19"/>
          <w:szCs w:val="19"/>
          <w:u w:val="single" w:color="auto"/>
          <w:color w:val="auto"/>
        </w:rPr>
        <w:t>Section 3.A.iv.</w:t>
      </w:r>
      <w:r>
        <w:rPr>
          <w:rFonts w:ascii="Arial" w:cs="Arial" w:eastAsia="Arial" w:hAnsi="Arial"/>
          <w:sz w:val="19"/>
          <w:szCs w:val="19"/>
          <w:color w:val="auto"/>
        </w:rPr>
        <w:t xml:space="preserve">, and such release does not conflict with, or result in a breach of, any agreement or instrument by which Operator is bound. Landlord hereby represents, warrants and covenants to Operator that it has taken all necessary action to authorize the release of Operator as set forth in this </w:t>
      </w:r>
      <w:r>
        <w:rPr>
          <w:rFonts w:ascii="Arial" w:cs="Arial" w:eastAsia="Arial" w:hAnsi="Arial"/>
          <w:sz w:val="19"/>
          <w:szCs w:val="19"/>
          <w:u w:val="single" w:color="auto"/>
          <w:color w:val="auto"/>
        </w:rPr>
        <w:t>Section 3.A.iv.</w:t>
      </w:r>
      <w:r>
        <w:rPr>
          <w:rFonts w:ascii="Arial" w:cs="Arial" w:eastAsia="Arial" w:hAnsi="Arial"/>
          <w:sz w:val="19"/>
          <w:szCs w:val="19"/>
          <w:color w:val="auto"/>
        </w:rPr>
        <w:t>, and such release does not conflict with, or result in a breach of, any agreement or instrument by which Landlord is bound.</w:t>
      </w:r>
    </w:p>
    <w:p>
      <w:pPr>
        <w:spacing w:after="0" w:line="387" w:lineRule="exact"/>
        <w:rPr>
          <w:rFonts w:ascii="Arial" w:cs="Arial" w:eastAsia="Arial" w:hAnsi="Arial"/>
          <w:sz w:val="19"/>
          <w:szCs w:val="19"/>
          <w:color w:val="auto"/>
        </w:rPr>
      </w:pPr>
    </w:p>
    <w:p>
      <w:pPr>
        <w:ind w:left="328" w:hanging="328"/>
        <w:spacing w:after="0" w:line="328" w:lineRule="auto"/>
        <w:tabs>
          <w:tab w:leader="none" w:pos="324" w:val="left"/>
        </w:tabs>
        <w:numPr>
          <w:ilvl w:val="0"/>
          <w:numId w:val="126"/>
        </w:numPr>
        <w:rPr>
          <w:rFonts w:ascii="Arial" w:cs="Arial" w:eastAsia="Arial" w:hAnsi="Arial"/>
          <w:sz w:val="19"/>
          <w:szCs w:val="19"/>
          <w:color w:val="auto"/>
        </w:rPr>
      </w:pPr>
      <w:r>
        <w:rPr>
          <w:rFonts w:ascii="Arial" w:cs="Arial" w:eastAsia="Arial" w:hAnsi="Arial"/>
          <w:sz w:val="19"/>
          <w:szCs w:val="19"/>
          <w:u w:val="single" w:color="auto"/>
          <w:color w:val="auto"/>
        </w:rPr>
        <w:t>Rent</w:t>
      </w:r>
      <w:r>
        <w:rPr>
          <w:rFonts w:ascii="Arial" w:cs="Arial" w:eastAsia="Arial" w:hAnsi="Arial"/>
          <w:sz w:val="19"/>
          <w:szCs w:val="19"/>
          <w:color w:val="auto"/>
        </w:rPr>
        <w:t>. Landlord and Tenant hereby expressly acknowledge and agree that there shall be no reduction in the Rent under the Lease as a result of the removal of the LAD Facility from the Lease or otherwise as a result of the LAD Transaction.</w:t>
      </w:r>
    </w:p>
    <w:p>
      <w:pPr>
        <w:spacing w:after="0" w:line="64" w:lineRule="exact"/>
        <w:rPr>
          <w:rFonts w:ascii="Arial" w:cs="Arial" w:eastAsia="Arial" w:hAnsi="Arial"/>
          <w:sz w:val="19"/>
          <w:szCs w:val="19"/>
          <w:color w:val="auto"/>
        </w:rPr>
      </w:pPr>
    </w:p>
    <w:p>
      <w:pPr>
        <w:ind w:left="328" w:hanging="328"/>
        <w:spacing w:after="0"/>
        <w:tabs>
          <w:tab w:leader="none" w:pos="328" w:val="left"/>
        </w:tabs>
        <w:numPr>
          <w:ilvl w:val="0"/>
          <w:numId w:val="126"/>
        </w:numPr>
        <w:rPr>
          <w:rFonts w:ascii="Arial" w:cs="Arial" w:eastAsia="Arial" w:hAnsi="Arial"/>
          <w:sz w:val="22"/>
          <w:szCs w:val="22"/>
          <w:color w:val="auto"/>
        </w:rPr>
      </w:pPr>
      <w:r>
        <w:rPr>
          <w:rFonts w:ascii="Arial" w:cs="Arial" w:eastAsia="Arial" w:hAnsi="Arial"/>
          <w:sz w:val="22"/>
          <w:szCs w:val="22"/>
          <w:u w:val="single" w:color="auto"/>
          <w:color w:val="auto"/>
        </w:rPr>
        <w:t>Variable Rent</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jc w:val="both"/>
        <w:ind w:left="648" w:hanging="324"/>
        <w:spacing w:after="0"/>
        <w:tabs>
          <w:tab w:leader="none" w:pos="640" w:val="left"/>
        </w:tabs>
        <w:numPr>
          <w:ilvl w:val="1"/>
          <w:numId w:val="126"/>
        </w:numPr>
        <w:rPr>
          <w:rFonts w:ascii="Arial" w:cs="Arial" w:eastAsia="Arial" w:hAnsi="Arial"/>
          <w:sz w:val="22"/>
          <w:szCs w:val="22"/>
          <w:color w:val="auto"/>
        </w:rPr>
      </w:pPr>
      <w:r>
        <w:rPr>
          <w:rFonts w:ascii="Arial" w:cs="Arial" w:eastAsia="Arial" w:hAnsi="Arial"/>
          <w:sz w:val="22"/>
          <w:szCs w:val="22"/>
          <w:color w:val="auto"/>
        </w:rPr>
        <w:t>From and after the date hereof, for purposes of any calculation of Variable Rent under the Lease, including any adjustments in Variable Rent based on increases or decreases in Net Revenue, such calculations of Net Revenue shall exclude Net Revenue attributable to the LAD Facility.</w:t>
      </w:r>
    </w:p>
    <w:p>
      <w:pPr>
        <w:spacing w:after="0" w:line="159" w:lineRule="exact"/>
        <w:rPr>
          <w:rFonts w:ascii="Arial" w:cs="Arial" w:eastAsia="Arial" w:hAnsi="Arial"/>
          <w:sz w:val="22"/>
          <w:szCs w:val="22"/>
          <w:color w:val="auto"/>
        </w:rPr>
      </w:pPr>
    </w:p>
    <w:p>
      <w:pPr>
        <w:ind w:left="648" w:hanging="324"/>
        <w:spacing w:after="0" w:line="250" w:lineRule="auto"/>
        <w:tabs>
          <w:tab w:leader="none" w:pos="647" w:val="left"/>
        </w:tabs>
        <w:numPr>
          <w:ilvl w:val="1"/>
          <w:numId w:val="126"/>
        </w:numPr>
        <w:rPr>
          <w:rFonts w:ascii="Arial" w:cs="Arial" w:eastAsia="Arial" w:hAnsi="Arial"/>
          <w:sz w:val="22"/>
          <w:szCs w:val="22"/>
          <w:color w:val="auto"/>
        </w:rPr>
      </w:pP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of the Lease is hereby amended such that the definition of “Base Net Revenue Amount” is hereby deleted and replaced with the following:</w:t>
      </w:r>
    </w:p>
    <w:p>
      <w:pPr>
        <w:spacing w:after="0" w:line="134" w:lineRule="exact"/>
        <w:rPr>
          <w:sz w:val="20"/>
          <w:szCs w:val="20"/>
          <w:color w:val="auto"/>
        </w:rPr>
      </w:pPr>
    </w:p>
    <w:p>
      <w:pPr>
        <w:jc w:val="both"/>
        <w:ind w:left="15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Net Revenue Amount</w:t>
      </w:r>
      <w:r>
        <w:rPr>
          <w:rFonts w:ascii="Arial" w:cs="Arial" w:eastAsia="Arial" w:hAnsi="Arial"/>
          <w:sz w:val="19"/>
          <w:szCs w:val="19"/>
          <w:color w:val="auto"/>
        </w:rPr>
        <w:t>’: An amount equal to the arithmetic average of the following: (i) Three Billion Ninety-Seven Million Seven Hundred Eighty Thousand Four Hundred Sixty-Seven and No/100 Dollars ($3,097,780,467.00), which amount Landlord and Tenant agree represents Net Revenue for the Fiscal Period immediately preceding the first (1st) Lease Year (i.e., the Fiscal Period ending September 30, 2017),</w:t>
      </w:r>
    </w:p>
    <w:p>
      <w:pPr>
        <w:spacing w:after="0" w:line="3" w:lineRule="exact"/>
        <w:rPr>
          <w:sz w:val="20"/>
          <w:szCs w:val="20"/>
          <w:color w:val="auto"/>
        </w:rPr>
      </w:pPr>
    </w:p>
    <w:p>
      <w:pPr>
        <w:ind w:left="1848" w:hanging="309"/>
        <w:spacing w:after="0"/>
        <w:tabs>
          <w:tab w:leader="none" w:pos="1848"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Three Billion One Hundred Twelve Million Six Hundred Six Thousand One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14" w:lineRule="exact"/>
        <w:rPr>
          <w:rFonts w:ascii="Arial" w:cs="Arial" w:eastAsia="Arial" w:hAnsi="Arial"/>
          <w:sz w:val="22"/>
          <w:szCs w:val="22"/>
          <w:color w:val="auto"/>
        </w:rPr>
      </w:pPr>
    </w:p>
    <w:p>
      <w:pPr>
        <w:ind w:left="5248"/>
        <w:spacing w:after="0"/>
        <w:rPr>
          <w:rFonts w:ascii="Arial" w:cs="Arial" w:eastAsia="Arial" w:hAnsi="Arial"/>
          <w:sz w:val="22"/>
          <w:szCs w:val="22"/>
          <w:color w:val="auto"/>
        </w:rPr>
      </w:pPr>
      <w:r>
        <w:rPr>
          <w:rFonts w:ascii="Arial" w:cs="Arial" w:eastAsia="Arial" w:hAnsi="Arial"/>
          <w:sz w:val="22"/>
          <w:szCs w:val="22"/>
          <w:color w:val="auto"/>
        </w:rPr>
        <w:t>4</w:t>
      </w:r>
    </w:p>
    <w:p>
      <w:pPr>
        <w:sectPr>
          <w:pgSz w:w="11900" w:h="16838" w:orient="portrait"/>
          <w:cols w:equalWidth="0" w:num="1">
            <w:col w:w="10908"/>
          </w:cols>
          <w:pgMar w:left="652" w:top="1414" w:right="339" w:bottom="1440" w:gutter="0" w:footer="0" w:header="0"/>
        </w:sectPr>
      </w:pPr>
    </w:p>
    <w:bookmarkStart w:id="168" w:name="page169"/>
    <w:bookmarkEnd w:id="168"/>
    <w:p>
      <w:pPr>
        <w:jc w:val="both"/>
        <w:ind w:left="1548"/>
        <w:spacing w:after="0" w:line="275" w:lineRule="auto"/>
        <w:rPr>
          <w:sz w:val="20"/>
          <w:szCs w:val="20"/>
          <w:color w:val="auto"/>
        </w:rPr>
      </w:pPr>
      <w:r>
        <w:rPr>
          <w:rFonts w:ascii="Arial" w:cs="Arial" w:eastAsia="Arial" w:hAnsi="Arial"/>
          <w:sz w:val="19"/>
          <w:szCs w:val="19"/>
          <w:color w:val="auto"/>
        </w:rPr>
        <w:t>Hundred Twenty-Seven and No/100 Dollars ($3,112,606,127.00), which amount Landlord and Tenant agree represents the Net Revenue for the Fiscal Period immediately preceding the end of the first (1st) Lease Year (i.e., the Fiscal Period ending September 30, 2018) and (iii) Three Billion Five Million Two Hundred Twenty-One Thousand Two Hundred Twenty-Nine and No/100 Dollars ($3,005,221,229.00), which amount Landlord and Tenant agree represents the Net Revenue for the Fiscal Period immediately preceding the end of the second (2nd) Lease Year (i.e., the Fiscal Period ending September 30, 2019). For the avoidance of doubt, the term “arithmetic average” as used in this definition refers to the quotient obtained by dividing (x) the sum of the amounts set forth in clauses (i), (ii) and (iii) by (y) three (3).”</w:t>
      </w:r>
    </w:p>
    <w:p>
      <w:pPr>
        <w:spacing w:after="0" w:line="117" w:lineRule="exact"/>
        <w:rPr>
          <w:sz w:val="20"/>
          <w:szCs w:val="20"/>
          <w:color w:val="auto"/>
        </w:rPr>
      </w:pPr>
    </w:p>
    <w:p>
      <w:pPr>
        <w:jc w:val="both"/>
        <w:ind w:left="328" w:hanging="323"/>
        <w:spacing w:after="0" w:line="238" w:lineRule="auto"/>
        <w:rPr>
          <w:sz w:val="20"/>
          <w:szCs w:val="20"/>
          <w:color w:val="auto"/>
        </w:rPr>
      </w:pPr>
      <w:r>
        <w:rPr>
          <w:rFonts w:ascii="Arial" w:cs="Arial" w:eastAsia="Arial" w:hAnsi="Arial"/>
          <w:sz w:val="22"/>
          <w:szCs w:val="22"/>
          <w:color w:val="auto"/>
        </w:rPr>
        <w:t xml:space="preserve">D. </w:t>
      </w:r>
      <w:r>
        <w:rPr>
          <w:rFonts w:ascii="Arial" w:cs="Arial" w:eastAsia="Arial" w:hAnsi="Arial"/>
          <w:sz w:val="22"/>
          <w:szCs w:val="22"/>
          <w:u w:val="single" w:color="auto"/>
          <w:color w:val="auto"/>
        </w:rPr>
        <w:t>Annual Minimum Cap Ex Amount</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of the Lease is hereby amended such that the definition of “Annual Minimum Cap Ex Amount” is hereby revised and modified to replace the reference therein to “One Hundred Eight Million Six Hundred Thousand and No/100 Dollars ($108,600,000.00)” with a reference to “One Hundred Seven Million Five Hundred Thousand and No/100 Dollars ($107,500,000.00)”.</w:t>
      </w:r>
    </w:p>
    <w:p>
      <w:pPr>
        <w:spacing w:after="0" w:line="158" w:lineRule="exact"/>
        <w:rPr>
          <w:sz w:val="20"/>
          <w:szCs w:val="20"/>
          <w:color w:val="auto"/>
        </w:rPr>
      </w:pPr>
    </w:p>
    <w:p>
      <w:pPr>
        <w:jc w:val="both"/>
        <w:ind w:left="328" w:hanging="328"/>
        <w:spacing w:after="0" w:line="235" w:lineRule="auto"/>
        <w:tabs>
          <w:tab w:leader="none" w:pos="325"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Annual Minimum Per-Lease B&amp;I Cap Ex Requirement</w:t>
      </w:r>
      <w:r>
        <w:rPr>
          <w:rFonts w:ascii="Arial" w:cs="Arial" w:eastAsia="Arial" w:hAnsi="Arial"/>
          <w:sz w:val="22"/>
          <w:szCs w:val="22"/>
          <w:color w:val="auto"/>
        </w:rPr>
        <w:t xml:space="preserve">. The Annual Minimum Per-Lease B&amp;I Cap Ex Requirement shall be unchanged by this Amendment. Further, Landlord and Tenant hereby acknowledge, for the avoidance of doubt, that the Net Revenue attributable to the LAD Facility during the period the LAD Facility was included in the Lease (i.e., during the period from the Commencement Date until the date of this Amendment) shall be included for purposes of calculating the Capital Expenditures required under </w:t>
      </w:r>
      <w:r>
        <w:rPr>
          <w:rFonts w:ascii="Arial" w:cs="Arial" w:eastAsia="Arial" w:hAnsi="Arial"/>
          <w:sz w:val="22"/>
          <w:szCs w:val="22"/>
          <w:u w:val="single" w:color="auto"/>
          <w:color w:val="auto"/>
        </w:rPr>
        <w:t>Section 10.5(a)(ii)</w:t>
      </w:r>
      <w:r>
        <w:rPr>
          <w:rFonts w:ascii="Arial" w:cs="Arial" w:eastAsia="Arial" w:hAnsi="Arial"/>
          <w:sz w:val="22"/>
          <w:szCs w:val="22"/>
          <w:color w:val="auto"/>
        </w:rPr>
        <w:t xml:space="preserve"> of the Lease (i.e., the Annual Minimum Per-Lease B&amp;I Cap Ex Requirement).</w:t>
      </w:r>
    </w:p>
    <w:p>
      <w:pPr>
        <w:spacing w:after="0" w:line="147" w:lineRule="exact"/>
        <w:rPr>
          <w:rFonts w:ascii="Arial" w:cs="Arial" w:eastAsia="Arial" w:hAnsi="Arial"/>
          <w:sz w:val="22"/>
          <w:szCs w:val="22"/>
          <w:color w:val="auto"/>
        </w:rPr>
      </w:pPr>
    </w:p>
    <w:p>
      <w:pPr>
        <w:jc w:val="both"/>
        <w:ind w:left="328" w:hanging="328"/>
        <w:spacing w:after="0" w:line="238" w:lineRule="auto"/>
        <w:tabs>
          <w:tab w:leader="none" w:pos="309"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Triennial Allocated Minimum Cap Ex Amount B Floor</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of the Lease is hereby amended such that the definition of “Triennial Allocated Minimum Cap Ex Amount B Floor” is hereby revised and modified to replace the reference therein to “Two Hundred Ninety Million and No/100 Dollars ($290,000,000.00)” with a reference to “Two Hundred Eighty-Six Million and No/100 Dollars ($286,000,000.00)”.</w:t>
      </w:r>
    </w:p>
    <w:p>
      <w:pPr>
        <w:spacing w:after="0" w:line="130" w:lineRule="exact"/>
        <w:rPr>
          <w:rFonts w:ascii="Arial" w:cs="Arial" w:eastAsia="Arial" w:hAnsi="Arial"/>
          <w:sz w:val="22"/>
          <w:szCs w:val="22"/>
          <w:color w:val="auto"/>
        </w:rPr>
      </w:pPr>
    </w:p>
    <w:p>
      <w:pPr>
        <w:jc w:val="both"/>
        <w:ind w:left="328" w:hanging="328"/>
        <w:spacing w:after="0" w:line="229" w:lineRule="auto"/>
        <w:tabs>
          <w:tab w:leader="none" w:pos="322" w:val="left"/>
        </w:tabs>
        <w:numPr>
          <w:ilvl w:val="0"/>
          <w:numId w:val="128"/>
        </w:numPr>
        <w:rPr>
          <w:rFonts w:ascii="Arial" w:cs="Arial" w:eastAsia="Arial" w:hAnsi="Arial"/>
          <w:sz w:val="21"/>
          <w:szCs w:val="21"/>
          <w:color w:val="auto"/>
        </w:rPr>
      </w:pPr>
      <w:r>
        <w:rPr>
          <w:rFonts w:ascii="Arial" w:cs="Arial" w:eastAsia="Arial" w:hAnsi="Arial"/>
          <w:sz w:val="21"/>
          <w:szCs w:val="21"/>
          <w:u w:val="single" w:color="auto"/>
          <w:color w:val="auto"/>
        </w:rPr>
        <w:t>Triennial Minimum Cap Ex Amount A</w:t>
      </w:r>
      <w:r>
        <w:rPr>
          <w:rFonts w:ascii="Arial" w:cs="Arial" w:eastAsia="Arial" w:hAnsi="Arial"/>
          <w:sz w:val="21"/>
          <w:szCs w:val="21"/>
          <w:color w:val="auto"/>
        </w:rPr>
        <w:t xml:space="preserve">.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of the Lease is hereby amended such that the definition of “Triennial Minimum Cap Ex Amount A” is hereby revised and modified to replace the reference therein to “Five Hundred Thirty-Seven Million Five Hundred Thousand and No/100 Dollars ($537,500,000.00)” with a reference to “Five Hundred Thirty-One Million Nine Hundred Thousand and No/100 Dollars ($531,900,000.00)”.</w:t>
      </w:r>
    </w:p>
    <w:p>
      <w:pPr>
        <w:spacing w:after="0" w:line="131" w:lineRule="exact"/>
        <w:rPr>
          <w:rFonts w:ascii="Arial" w:cs="Arial" w:eastAsia="Arial" w:hAnsi="Arial"/>
          <w:sz w:val="21"/>
          <w:szCs w:val="21"/>
          <w:color w:val="auto"/>
        </w:rPr>
      </w:pPr>
    </w:p>
    <w:p>
      <w:pPr>
        <w:jc w:val="both"/>
        <w:ind w:left="328" w:hanging="328"/>
        <w:spacing w:after="0" w:line="229" w:lineRule="auto"/>
        <w:tabs>
          <w:tab w:leader="none" w:pos="322" w:val="left"/>
        </w:tabs>
        <w:numPr>
          <w:ilvl w:val="0"/>
          <w:numId w:val="128"/>
        </w:numPr>
        <w:rPr>
          <w:rFonts w:ascii="Arial" w:cs="Arial" w:eastAsia="Arial" w:hAnsi="Arial"/>
          <w:sz w:val="21"/>
          <w:szCs w:val="21"/>
          <w:color w:val="auto"/>
        </w:rPr>
      </w:pPr>
      <w:r>
        <w:rPr>
          <w:rFonts w:ascii="Arial" w:cs="Arial" w:eastAsia="Arial" w:hAnsi="Arial"/>
          <w:sz w:val="21"/>
          <w:szCs w:val="21"/>
          <w:u w:val="single" w:color="auto"/>
          <w:color w:val="auto"/>
        </w:rPr>
        <w:t>Triennial Minimum Cap Ex Amount B</w:t>
      </w:r>
      <w:r>
        <w:rPr>
          <w:rFonts w:ascii="Arial" w:cs="Arial" w:eastAsia="Arial" w:hAnsi="Arial"/>
          <w:sz w:val="21"/>
          <w:szCs w:val="21"/>
          <w:color w:val="auto"/>
        </w:rPr>
        <w:t xml:space="preserve">.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of the Lease is hereby amended such that the definition of “Triennial Minimum Cap Ex Amount B” is hereby revised and modified to replace the reference therein to “Three Hundred Eighty-Four Million Three Hundred Thousand and No/100 Dollars ($384,300,000.00)” with a reference to “Three Hundred Eighty Million Three Hundred Thousand and No/100 Dollars ($380,300,000.00)”.</w:t>
      </w:r>
    </w:p>
    <w:p>
      <w:pPr>
        <w:spacing w:after="0" w:line="131" w:lineRule="exact"/>
        <w:rPr>
          <w:rFonts w:ascii="Arial" w:cs="Arial" w:eastAsia="Arial" w:hAnsi="Arial"/>
          <w:sz w:val="21"/>
          <w:szCs w:val="21"/>
          <w:color w:val="auto"/>
        </w:rPr>
      </w:pPr>
    </w:p>
    <w:p>
      <w:pPr>
        <w:ind w:left="308" w:hanging="308"/>
        <w:spacing w:after="0"/>
        <w:tabs>
          <w:tab w:leader="none" w:pos="308"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Partial Periods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908"/>
          </w:cols>
          <w:pgMar w:left="652" w:top="1414" w:right="339" w:bottom="1440" w:gutter="0" w:footer="0" w:header="0"/>
        </w:sectPr>
      </w:pPr>
    </w:p>
    <w:bookmarkStart w:id="169" w:name="page170"/>
    <w:bookmarkEnd w:id="169"/>
    <w:p>
      <w:pPr>
        <w:jc w:val="both"/>
        <w:ind w:left="968" w:hanging="320"/>
        <w:spacing w:after="0" w:line="248" w:lineRule="auto"/>
        <w:tabs>
          <w:tab w:leader="none" w:pos="960" w:val="left"/>
        </w:tabs>
        <w:numPr>
          <w:ilvl w:val="1"/>
          <w:numId w:val="129"/>
        </w:numPr>
        <w:rPr>
          <w:rFonts w:ascii="Arial" w:cs="Arial" w:eastAsia="Arial" w:hAnsi="Arial"/>
          <w:sz w:val="21"/>
          <w:szCs w:val="21"/>
          <w:color w:val="auto"/>
        </w:rPr>
      </w:pPr>
      <w:r>
        <w:rPr>
          <w:rFonts w:ascii="Arial" w:cs="Arial" w:eastAsia="Arial" w:hAnsi="Arial"/>
          <w:sz w:val="21"/>
          <w:szCs w:val="21"/>
          <w:u w:val="single" w:color="auto"/>
          <w:color w:val="auto"/>
        </w:rPr>
        <w:t>Section 10.5(a)(v)(b)</w:t>
      </w:r>
      <w:r>
        <w:rPr>
          <w:rFonts w:ascii="Arial" w:cs="Arial" w:eastAsia="Arial" w:hAnsi="Arial"/>
          <w:sz w:val="21"/>
          <w:szCs w:val="21"/>
          <w:color w:val="auto"/>
        </w:rPr>
        <w:t xml:space="preserve"> of the Lease is hereby amended to (a) replace the reference therein to “Five Hundred Thirty-Seven Million Five Hundred Thousand and No/100 Dollars ($537,500,000.00)” with a reference to “Five Hundred Thirty-One Million Nine Hundred Thousand and No/100 Dollars ($531,900,000.00)” and (b) replace the reference therein to “One Hundred Seventy-Nine Million One Hundred Sixty-Six Thousand Six Hundred Sixty-Seven and No/100 Dollars ($179,166,667.00)” with a reference to “One Hundred Seventy-Seven Million Three Hundred Thousand and No/100 Dollars ($177,300,000.00)”,</w:t>
      </w:r>
    </w:p>
    <w:p>
      <w:pPr>
        <w:spacing w:after="0" w:line="136" w:lineRule="exact"/>
        <w:rPr>
          <w:rFonts w:ascii="Arial" w:cs="Arial" w:eastAsia="Arial" w:hAnsi="Arial"/>
          <w:sz w:val="21"/>
          <w:szCs w:val="21"/>
          <w:color w:val="auto"/>
        </w:rPr>
      </w:pPr>
    </w:p>
    <w:p>
      <w:pPr>
        <w:jc w:val="both"/>
        <w:ind w:left="968" w:hanging="320"/>
        <w:spacing w:after="0" w:line="279" w:lineRule="auto"/>
        <w:tabs>
          <w:tab w:leader="none" w:pos="967" w:val="left"/>
        </w:tabs>
        <w:numPr>
          <w:ilvl w:val="1"/>
          <w:numId w:val="129"/>
        </w:numPr>
        <w:rPr>
          <w:rFonts w:ascii="Arial" w:cs="Arial" w:eastAsia="Arial" w:hAnsi="Arial"/>
          <w:sz w:val="19"/>
          <w:szCs w:val="19"/>
          <w:color w:val="auto"/>
        </w:rPr>
      </w:pPr>
      <w:r>
        <w:rPr>
          <w:rFonts w:ascii="Arial" w:cs="Arial" w:eastAsia="Arial" w:hAnsi="Arial"/>
          <w:sz w:val="19"/>
          <w:szCs w:val="19"/>
          <w:u w:val="single" w:color="auto"/>
          <w:color w:val="auto"/>
        </w:rPr>
        <w:t>Section 10.5(a)(v)(c)</w:t>
      </w:r>
      <w:r>
        <w:rPr>
          <w:rFonts w:ascii="Arial" w:cs="Arial" w:eastAsia="Arial" w:hAnsi="Arial"/>
          <w:sz w:val="19"/>
          <w:szCs w:val="19"/>
          <w:color w:val="auto"/>
        </w:rPr>
        <w:t xml:space="preserve"> of the Lease is hereby amended to (a) replace the reference therein to “Three Hundred Eighty-Four Million Three Hundred Thousand and No/100 Dollars ($384,300,000.00)” with a reference to “Three Hundred Eighty Million Three Hundred Thousand and No/100 Dollars ($380,300,000.00)” and (b) replace the reference therein to “One Hundred Twenty-Eight Million One Hundred Thousand and No/100 Dollars ($128,100,000.00)” with a reference to “One Hundred Twenty-Six Million Seven Hundred Sixty-Six Thousand Six Hundred Sixty-Six and 67/100 Dollars ($126,766,666.67)”, and</w:t>
      </w:r>
    </w:p>
    <w:p>
      <w:pPr>
        <w:spacing w:after="0" w:line="123" w:lineRule="exact"/>
        <w:rPr>
          <w:rFonts w:ascii="Arial" w:cs="Arial" w:eastAsia="Arial" w:hAnsi="Arial"/>
          <w:sz w:val="19"/>
          <w:szCs w:val="19"/>
          <w:color w:val="auto"/>
        </w:rPr>
      </w:pPr>
    </w:p>
    <w:p>
      <w:pPr>
        <w:jc w:val="both"/>
        <w:ind w:left="968" w:hanging="320"/>
        <w:spacing w:after="0" w:line="273" w:lineRule="auto"/>
        <w:tabs>
          <w:tab w:leader="none" w:pos="959" w:val="left"/>
        </w:tabs>
        <w:numPr>
          <w:ilvl w:val="1"/>
          <w:numId w:val="129"/>
        </w:numPr>
        <w:rPr>
          <w:rFonts w:ascii="Arial" w:cs="Arial" w:eastAsia="Arial" w:hAnsi="Arial"/>
          <w:sz w:val="19"/>
          <w:szCs w:val="19"/>
          <w:color w:val="auto"/>
        </w:rPr>
      </w:pPr>
      <w:r>
        <w:rPr>
          <w:rFonts w:ascii="Arial" w:cs="Arial" w:eastAsia="Arial" w:hAnsi="Arial"/>
          <w:sz w:val="19"/>
          <w:szCs w:val="19"/>
          <w:color w:val="auto"/>
        </w:rPr>
        <w:t xml:space="preserve">The second sentence of </w:t>
      </w:r>
      <w:r>
        <w:rPr>
          <w:rFonts w:ascii="Arial" w:cs="Arial" w:eastAsia="Arial" w:hAnsi="Arial"/>
          <w:sz w:val="19"/>
          <w:szCs w:val="19"/>
          <w:u w:val="single" w:color="auto"/>
          <w:color w:val="auto"/>
        </w:rPr>
        <w:t>Section 10.5(a)(v)</w:t>
      </w:r>
      <w:r>
        <w:rPr>
          <w:rFonts w:ascii="Arial" w:cs="Arial" w:eastAsia="Arial" w:hAnsi="Arial"/>
          <w:sz w:val="19"/>
          <w:szCs w:val="19"/>
          <w:color w:val="auto"/>
        </w:rPr>
        <w:t xml:space="preserve"> of the Lease is hereby amended to (a) replace the reference therein to “Five Hundred Thirty-Seven Million Five Hundred Thousand and No/100 Dollars ($537,500,000.00)” with a reference to “Five Hundred Thirty-One Million Nine Hundred Thousand and No/100 Dollars ($531,900,000.00)”,</w:t>
      </w:r>
    </w:p>
    <w:p>
      <w:pPr>
        <w:spacing w:after="0" w:line="1" w:lineRule="exact"/>
        <w:rPr>
          <w:rFonts w:ascii="Arial" w:cs="Arial" w:eastAsia="Arial" w:hAnsi="Arial"/>
          <w:sz w:val="19"/>
          <w:szCs w:val="19"/>
          <w:color w:val="auto"/>
        </w:rPr>
      </w:pPr>
    </w:p>
    <w:p>
      <w:pPr>
        <w:jc w:val="both"/>
        <w:ind w:left="968" w:firstLine="4"/>
        <w:spacing w:after="0" w:line="272" w:lineRule="auto"/>
        <w:tabs>
          <w:tab w:leader="none" w:pos="1298" w:val="left"/>
        </w:tabs>
        <w:numPr>
          <w:ilvl w:val="2"/>
          <w:numId w:val="129"/>
        </w:numPr>
        <w:rPr>
          <w:rFonts w:ascii="Arial" w:cs="Arial" w:eastAsia="Arial" w:hAnsi="Arial"/>
          <w:sz w:val="19"/>
          <w:szCs w:val="19"/>
          <w:color w:val="auto"/>
        </w:rPr>
      </w:pPr>
      <w:r>
        <w:rPr>
          <w:rFonts w:ascii="Arial" w:cs="Arial" w:eastAsia="Arial" w:hAnsi="Arial"/>
          <w:sz w:val="19"/>
          <w:szCs w:val="19"/>
          <w:color w:val="auto"/>
        </w:rPr>
        <w:t>replace the reference therein to “One Hundred Seventy-Nine Million One Hundred Sixty-Six Thousand Six Hundred Sixty-Seven and No/100 Dollars ($179,166,667.00)” with a reference to “One Hundred Seventy-Seven Million Three Hundred Thousand and No/100 Dollars ($177,300,000.00)”, (c) replace the reference therein to “Three Hundred Eighty-Four Million Three Hundred Thousand and No/100 Dollars ($384,300,000.00)” with a reference to “Three Hundred Eighty Million Three Hundred Thousand and No/100 Dollars ($380,300,000.00)” and (d) replace the reference therein to “One Hundred Twenty-Eight Million One Hundred Thousand and No/100 Dollars ($128,100,000.00)” with a reference to “One Hundred Twenty-Six Million Seven Hundred Sixty-Six Thousand Six Hundred Sixty-Six and 67/100 Dollars ($126,766,666.67)”.</w:t>
      </w:r>
    </w:p>
    <w:p>
      <w:pPr>
        <w:spacing w:after="0" w:line="120" w:lineRule="exact"/>
        <w:rPr>
          <w:rFonts w:ascii="Arial" w:cs="Arial" w:eastAsia="Arial" w:hAnsi="Arial"/>
          <w:sz w:val="19"/>
          <w:szCs w:val="19"/>
          <w:color w:val="auto"/>
        </w:rPr>
      </w:pPr>
    </w:p>
    <w:p>
      <w:pPr>
        <w:ind w:left="308" w:hanging="308"/>
        <w:spacing w:after="0"/>
        <w:tabs>
          <w:tab w:leader="none" w:pos="308"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Section 22.2(ix) Transfer</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jc w:val="both"/>
        <w:ind w:left="968" w:hanging="320"/>
        <w:spacing w:after="0"/>
        <w:tabs>
          <w:tab w:leader="none" w:pos="960" w:val="left"/>
        </w:tabs>
        <w:numPr>
          <w:ilvl w:val="1"/>
          <w:numId w:val="130"/>
        </w:numPr>
        <w:rPr>
          <w:rFonts w:ascii="Arial" w:cs="Arial" w:eastAsia="Arial" w:hAnsi="Arial"/>
          <w:sz w:val="22"/>
          <w:szCs w:val="22"/>
          <w:color w:val="auto"/>
        </w:rPr>
      </w:pPr>
      <w:r>
        <w:rPr>
          <w:rFonts w:ascii="Arial" w:cs="Arial" w:eastAsia="Arial" w:hAnsi="Arial"/>
          <w:sz w:val="22"/>
          <w:szCs w:val="22"/>
          <w:color w:val="auto"/>
        </w:rPr>
        <w:t xml:space="preserve">Landlord and Tenant hereby acknowledge and agree that the LAD Transaction shall be deemed to be, and treated as, a transfer and sale of the entire Leased Property with respect to a Facility pursuant to </w:t>
      </w:r>
      <w:r>
        <w:rPr>
          <w:rFonts w:ascii="Arial" w:cs="Arial" w:eastAsia="Arial" w:hAnsi="Arial"/>
          <w:sz w:val="22"/>
          <w:szCs w:val="22"/>
          <w:u w:val="single" w:color="auto"/>
          <w:color w:val="auto"/>
        </w:rPr>
        <w:t>Section 22.2(ix)</w:t>
      </w:r>
      <w:r>
        <w:rPr>
          <w:rFonts w:ascii="Arial" w:cs="Arial" w:eastAsia="Arial" w:hAnsi="Arial"/>
          <w:sz w:val="22"/>
          <w:szCs w:val="22"/>
          <w:color w:val="auto"/>
        </w:rPr>
        <w:t xml:space="preserve"> of the Lease.</w:t>
      </w:r>
    </w:p>
    <w:p>
      <w:pPr>
        <w:spacing w:after="0" w:line="159" w:lineRule="exact"/>
        <w:rPr>
          <w:rFonts w:ascii="Arial" w:cs="Arial" w:eastAsia="Arial" w:hAnsi="Arial"/>
          <w:sz w:val="22"/>
          <w:szCs w:val="22"/>
          <w:color w:val="auto"/>
        </w:rPr>
      </w:pPr>
    </w:p>
    <w:p>
      <w:pPr>
        <w:jc w:val="both"/>
        <w:ind w:left="968" w:hanging="320"/>
        <w:spacing w:after="0"/>
        <w:tabs>
          <w:tab w:leader="none" w:pos="967" w:val="left"/>
        </w:tabs>
        <w:numPr>
          <w:ilvl w:val="1"/>
          <w:numId w:val="130"/>
        </w:numPr>
        <w:rPr>
          <w:rFonts w:ascii="Arial" w:cs="Arial" w:eastAsia="Arial" w:hAnsi="Arial"/>
          <w:sz w:val="22"/>
          <w:szCs w:val="22"/>
          <w:color w:val="auto"/>
        </w:rPr>
      </w:pPr>
      <w:r>
        <w:rPr>
          <w:rFonts w:ascii="Arial" w:cs="Arial" w:eastAsia="Arial" w:hAnsi="Arial"/>
          <w:sz w:val="22"/>
          <w:szCs w:val="22"/>
          <w:color w:val="auto"/>
        </w:rPr>
        <w:t xml:space="preserve">All of the applicable requirements and conditions set forth in </w:t>
      </w:r>
      <w:r>
        <w:rPr>
          <w:rFonts w:ascii="Arial" w:cs="Arial" w:eastAsia="Arial" w:hAnsi="Arial"/>
          <w:sz w:val="22"/>
          <w:szCs w:val="22"/>
          <w:u w:val="single" w:color="auto"/>
          <w:color w:val="auto"/>
        </w:rPr>
        <w:t>Section 22.2(ix)</w:t>
      </w:r>
      <w:r>
        <w:rPr>
          <w:rFonts w:ascii="Arial" w:cs="Arial" w:eastAsia="Arial" w:hAnsi="Arial"/>
          <w:sz w:val="22"/>
          <w:szCs w:val="22"/>
          <w:color w:val="auto"/>
        </w:rPr>
        <w:t xml:space="preserve"> of the Lease with respect to such transfer and sale are deemed satisfied or waived by the execution of this Amendment and the consummation of the closing of the LAD Transaction.</w:t>
      </w:r>
    </w:p>
    <w:p>
      <w:pPr>
        <w:spacing w:after="0" w:line="145" w:lineRule="exact"/>
        <w:rPr>
          <w:rFonts w:ascii="Arial" w:cs="Arial" w:eastAsia="Arial" w:hAnsi="Arial"/>
          <w:sz w:val="22"/>
          <w:szCs w:val="22"/>
          <w:color w:val="auto"/>
        </w:rPr>
      </w:pPr>
    </w:p>
    <w:p>
      <w:pPr>
        <w:ind w:left="968" w:hanging="320"/>
        <w:spacing w:after="0"/>
        <w:tabs>
          <w:tab w:leader="none" w:pos="968" w:val="left"/>
        </w:tabs>
        <w:numPr>
          <w:ilvl w:val="1"/>
          <w:numId w:val="130"/>
        </w:numPr>
        <w:rPr>
          <w:rFonts w:ascii="Arial" w:cs="Arial" w:eastAsia="Arial" w:hAnsi="Arial"/>
          <w:sz w:val="21"/>
          <w:szCs w:val="21"/>
          <w:color w:val="auto"/>
        </w:rPr>
      </w:pPr>
      <w:r>
        <w:rPr>
          <w:rFonts w:ascii="Arial" w:cs="Arial" w:eastAsia="Arial" w:hAnsi="Arial"/>
          <w:sz w:val="21"/>
          <w:szCs w:val="21"/>
          <w:color w:val="auto"/>
        </w:rPr>
        <w:t xml:space="preserve">The 2018 Facility EBITDAR of Tenant for the LAD Facility is as set forth on </w:t>
      </w:r>
      <w:r>
        <w:rPr>
          <w:rFonts w:ascii="Arial" w:cs="Arial" w:eastAsia="Arial" w:hAnsi="Arial"/>
          <w:sz w:val="21"/>
          <w:szCs w:val="21"/>
          <w:u w:val="single" w:color="auto"/>
          <w:color w:val="auto"/>
        </w:rPr>
        <w:t>Schedule C</w:t>
      </w:r>
      <w:r>
        <w:rPr>
          <w:rFonts w:ascii="Arial" w:cs="Arial" w:eastAsia="Arial" w:hAnsi="Arial"/>
          <w:sz w:val="21"/>
          <w:szCs w:val="21"/>
          <w:color w:val="auto"/>
        </w:rPr>
        <w:t xml:space="preserve"> annexed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908"/>
          </w:cols>
          <w:pgMar w:left="652" w:top="1414" w:right="339" w:bottom="1440" w:gutter="0" w:footer="0" w:header="0"/>
        </w:sectPr>
      </w:pPr>
    </w:p>
    <w:bookmarkStart w:id="170" w:name="page171"/>
    <w:bookmarkEnd w:id="170"/>
    <w:p>
      <w:pPr>
        <w:jc w:val="both"/>
        <w:ind w:left="968" w:hanging="320"/>
        <w:spacing w:after="0" w:line="236" w:lineRule="auto"/>
        <w:tabs>
          <w:tab w:leader="none" w:pos="946" w:val="left"/>
        </w:tabs>
        <w:numPr>
          <w:ilvl w:val="1"/>
          <w:numId w:val="131"/>
        </w:numPr>
        <w:rPr>
          <w:rFonts w:ascii="Arial" w:cs="Arial" w:eastAsia="Arial" w:hAnsi="Arial"/>
          <w:sz w:val="22"/>
          <w:szCs w:val="22"/>
          <w:color w:val="auto"/>
        </w:rPr>
      </w:pPr>
      <w:r>
        <w:rPr>
          <w:rFonts w:ascii="Arial" w:cs="Arial" w:eastAsia="Arial" w:hAnsi="Arial"/>
          <w:sz w:val="22"/>
          <w:szCs w:val="22"/>
          <w:color w:val="auto"/>
        </w:rPr>
        <w:t xml:space="preserve">The amounts of the 2018 EBITDAR Pool and 2018 EBITDAR Pool Before Fifth Amendment shall not be reduced as a result of the LAD Facility no longer being a Facility under the Lease, and the removal of the LAD Facility from the Lease shall not constitute a L1 Transfer or a L2 Transfer under the Lease. </w:t>
      </w:r>
      <w:r>
        <w:rPr>
          <w:rFonts w:ascii="Arial" w:cs="Arial" w:eastAsia="Arial" w:hAnsi="Arial"/>
          <w:sz w:val="22"/>
          <w:szCs w:val="22"/>
          <w:u w:val="single" w:color="auto"/>
          <w:color w:val="auto"/>
        </w:rPr>
        <w:t>Schedule 11</w:t>
      </w:r>
      <w:r>
        <w:rPr>
          <w:rFonts w:ascii="Arial" w:cs="Arial" w:eastAsia="Arial" w:hAnsi="Arial"/>
          <w:sz w:val="22"/>
          <w:szCs w:val="22"/>
          <w:color w:val="auto"/>
        </w:rPr>
        <w:t xml:space="preserve"> to the Lease (setting forth the 2018 Facility EBITDAR of Tenant and Joliet Tenant) shall not be modified as a result of the LAD Transaction.</w:t>
      </w:r>
    </w:p>
    <w:p>
      <w:pPr>
        <w:spacing w:after="0" w:line="146" w:lineRule="exact"/>
        <w:rPr>
          <w:rFonts w:ascii="Arial" w:cs="Arial" w:eastAsia="Arial" w:hAnsi="Arial"/>
          <w:sz w:val="22"/>
          <w:szCs w:val="22"/>
          <w:color w:val="auto"/>
        </w:rPr>
      </w:pPr>
    </w:p>
    <w:p>
      <w:pPr>
        <w:jc w:val="both"/>
        <w:ind w:left="968" w:hanging="320"/>
        <w:spacing w:after="0"/>
        <w:tabs>
          <w:tab w:leader="none" w:pos="954" w:val="left"/>
        </w:tabs>
        <w:numPr>
          <w:ilvl w:val="1"/>
          <w:numId w:val="131"/>
        </w:numPr>
        <w:rPr>
          <w:rFonts w:ascii="Arial" w:cs="Arial" w:eastAsia="Arial" w:hAnsi="Arial"/>
          <w:sz w:val="22"/>
          <w:szCs w:val="22"/>
          <w:color w:val="auto"/>
        </w:rPr>
      </w:pPr>
      <w:r>
        <w:rPr>
          <w:rFonts w:ascii="Arial" w:cs="Arial" w:eastAsia="Arial" w:hAnsi="Arial"/>
          <w:sz w:val="22"/>
          <w:szCs w:val="22"/>
          <w:color w:val="auto"/>
        </w:rPr>
        <w:t xml:space="preserve">The words, number and symbols “two and seventy-three hundredths percent (2.73%)” contained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22.2(ix)</w:t>
      </w:r>
      <w:r>
        <w:rPr>
          <w:rFonts w:ascii="Arial" w:cs="Arial" w:eastAsia="Arial" w:hAnsi="Arial"/>
          <w:sz w:val="22"/>
          <w:szCs w:val="22"/>
          <w:color w:val="auto"/>
        </w:rPr>
        <w:t xml:space="preserve"> of the Lease are hereby deleted and replaced with the following: “two and thirty-nine hundredths percent (2.39%)”.</w:t>
      </w:r>
    </w:p>
    <w:p>
      <w:pPr>
        <w:spacing w:after="0" w:line="159" w:lineRule="exact"/>
        <w:rPr>
          <w:rFonts w:ascii="Arial" w:cs="Arial" w:eastAsia="Arial" w:hAnsi="Arial"/>
          <w:sz w:val="22"/>
          <w:szCs w:val="22"/>
          <w:color w:val="auto"/>
        </w:rPr>
      </w:pPr>
    </w:p>
    <w:p>
      <w:pPr>
        <w:ind w:left="968" w:hanging="320"/>
        <w:spacing w:after="0" w:line="250" w:lineRule="auto"/>
        <w:tabs>
          <w:tab w:leader="none" w:pos="960" w:val="left"/>
        </w:tabs>
        <w:numPr>
          <w:ilvl w:val="1"/>
          <w:numId w:val="131"/>
        </w:numPr>
        <w:rPr>
          <w:rFonts w:ascii="Arial" w:cs="Arial" w:eastAsia="Arial" w:hAnsi="Arial"/>
          <w:sz w:val="22"/>
          <w:szCs w:val="22"/>
          <w:color w:val="auto"/>
        </w:rPr>
      </w:pPr>
      <w:r>
        <w:rPr>
          <w:rFonts w:ascii="Arial" w:cs="Arial" w:eastAsia="Arial" w:hAnsi="Arial"/>
          <w:sz w:val="22"/>
          <w:szCs w:val="22"/>
          <w:color w:val="auto"/>
        </w:rPr>
        <w:t>For purposes of subsequent calculations of the L1/L2 EBITDAR to Rent Ratio under the Lease, the EBITDAR of Tenant in respect of the LAD Facility shall be disregarded.</w:t>
      </w:r>
    </w:p>
    <w:p>
      <w:pPr>
        <w:spacing w:after="0" w:line="134" w:lineRule="exact"/>
        <w:rPr>
          <w:rFonts w:ascii="Arial" w:cs="Arial" w:eastAsia="Arial" w:hAnsi="Arial"/>
          <w:sz w:val="22"/>
          <w:szCs w:val="22"/>
          <w:color w:val="auto"/>
        </w:rPr>
      </w:pPr>
    </w:p>
    <w:p>
      <w:pPr>
        <w:ind w:left="968" w:right="20" w:hanging="320"/>
        <w:spacing w:after="0" w:line="274" w:lineRule="auto"/>
        <w:tabs>
          <w:tab w:leader="none" w:pos="967" w:val="left"/>
        </w:tabs>
        <w:numPr>
          <w:ilvl w:val="1"/>
          <w:numId w:val="131"/>
        </w:numPr>
        <w:rPr>
          <w:rFonts w:ascii="Arial" w:cs="Arial" w:eastAsia="Arial" w:hAnsi="Arial"/>
          <w:sz w:val="21"/>
          <w:szCs w:val="21"/>
          <w:color w:val="auto"/>
        </w:rPr>
      </w:pPr>
      <w:r>
        <w:rPr>
          <w:rFonts w:ascii="Arial" w:cs="Arial" w:eastAsia="Arial" w:hAnsi="Arial"/>
          <w:sz w:val="21"/>
          <w:szCs w:val="21"/>
          <w:color w:val="auto"/>
        </w:rPr>
        <w:t xml:space="preserve">The treatment of the LAD Transaction hereunder is not intended to serve as a precedent for the treatment of future dispositions (if any) which may be effectuated under </w:t>
      </w:r>
      <w:r>
        <w:rPr>
          <w:rFonts w:ascii="Arial" w:cs="Arial" w:eastAsia="Arial" w:hAnsi="Arial"/>
          <w:sz w:val="21"/>
          <w:szCs w:val="21"/>
          <w:u w:val="single" w:color="auto"/>
          <w:color w:val="auto"/>
        </w:rPr>
        <w:t>Section 22.2(ix)</w:t>
      </w:r>
      <w:r>
        <w:rPr>
          <w:rFonts w:ascii="Arial" w:cs="Arial" w:eastAsia="Arial" w:hAnsi="Arial"/>
          <w:sz w:val="21"/>
          <w:szCs w:val="21"/>
          <w:color w:val="auto"/>
        </w:rPr>
        <w:t xml:space="preserve"> of the Lease or otherwise.</w:t>
      </w:r>
    </w:p>
    <w:p>
      <w:pPr>
        <w:spacing w:after="0" w:line="110" w:lineRule="exact"/>
        <w:rPr>
          <w:rFonts w:ascii="Arial" w:cs="Arial" w:eastAsia="Arial" w:hAnsi="Arial"/>
          <w:sz w:val="21"/>
          <w:szCs w:val="21"/>
          <w:color w:val="auto"/>
        </w:rPr>
      </w:pPr>
    </w:p>
    <w:p>
      <w:pPr>
        <w:ind w:left="328" w:hanging="328"/>
        <w:spacing w:after="0" w:line="250" w:lineRule="auto"/>
        <w:tabs>
          <w:tab w:leader="none" w:pos="322"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Revisions to Exhibits and Schedules to the Lease</w:t>
      </w:r>
      <w:r>
        <w:rPr>
          <w:rFonts w:ascii="Arial" w:cs="Arial" w:eastAsia="Arial" w:hAnsi="Arial"/>
          <w:sz w:val="22"/>
          <w:szCs w:val="22"/>
          <w:color w:val="auto"/>
        </w:rPr>
        <w:t>. The Exhibits and Schedules to the Lease are hereby amended as follows:</w:t>
      </w:r>
    </w:p>
    <w:p>
      <w:pPr>
        <w:spacing w:after="0" w:line="147" w:lineRule="exact"/>
        <w:rPr>
          <w:rFonts w:ascii="Arial" w:cs="Arial" w:eastAsia="Arial" w:hAnsi="Arial"/>
          <w:sz w:val="22"/>
          <w:szCs w:val="22"/>
          <w:color w:val="auto"/>
        </w:rPr>
      </w:pPr>
    </w:p>
    <w:p>
      <w:pPr>
        <w:ind w:left="968" w:hanging="320"/>
        <w:spacing w:after="0" w:line="250" w:lineRule="auto"/>
        <w:tabs>
          <w:tab w:leader="none" w:pos="960" w:val="left"/>
        </w:tabs>
        <w:numPr>
          <w:ilvl w:val="1"/>
          <w:numId w:val="132"/>
        </w:numPr>
        <w:rPr>
          <w:rFonts w:ascii="Arial" w:cs="Arial" w:eastAsia="Arial" w:hAnsi="Arial"/>
          <w:sz w:val="22"/>
          <w:szCs w:val="22"/>
          <w:color w:val="auto"/>
        </w:rPr>
      </w:pPr>
      <w:r>
        <w:rPr>
          <w:rFonts w:ascii="Arial" w:cs="Arial" w:eastAsia="Arial" w:hAnsi="Arial"/>
          <w:sz w:val="22"/>
          <w:szCs w:val="22"/>
          <w:u w:val="single" w:color="auto"/>
          <w:color w:val="auto"/>
        </w:rPr>
        <w:t>Facilities</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annexed to the Lease (setting forth the list of Facilities under the Lease) is hereby replaced with the replacement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that is annexed hereto as </w:t>
      </w:r>
      <w:r>
        <w:rPr>
          <w:rFonts w:ascii="Arial" w:cs="Arial" w:eastAsia="Arial" w:hAnsi="Arial"/>
          <w:sz w:val="22"/>
          <w:szCs w:val="22"/>
          <w:u w:val="single" w:color="auto"/>
          <w:color w:val="auto"/>
        </w:rPr>
        <w:t>Schedule D</w:t>
      </w:r>
      <w:r>
        <w:rPr>
          <w:rFonts w:ascii="Arial" w:cs="Arial" w:eastAsia="Arial" w:hAnsi="Arial"/>
          <w:sz w:val="22"/>
          <w:szCs w:val="22"/>
          <w:color w:val="auto"/>
        </w:rPr>
        <w:t>.</w:t>
      </w:r>
    </w:p>
    <w:p>
      <w:pPr>
        <w:spacing w:after="0" w:line="134" w:lineRule="exact"/>
        <w:rPr>
          <w:rFonts w:ascii="Arial" w:cs="Arial" w:eastAsia="Arial" w:hAnsi="Arial"/>
          <w:sz w:val="22"/>
          <w:szCs w:val="22"/>
          <w:color w:val="auto"/>
        </w:rPr>
      </w:pPr>
    </w:p>
    <w:p>
      <w:pPr>
        <w:jc w:val="both"/>
        <w:ind w:left="968" w:hanging="320"/>
        <w:spacing w:after="0" w:line="238" w:lineRule="auto"/>
        <w:tabs>
          <w:tab w:leader="none" w:pos="967" w:val="left"/>
        </w:tabs>
        <w:numPr>
          <w:ilvl w:val="1"/>
          <w:numId w:val="132"/>
        </w:numPr>
        <w:rPr>
          <w:rFonts w:ascii="Arial" w:cs="Arial" w:eastAsia="Arial" w:hAnsi="Arial"/>
          <w:sz w:val="22"/>
          <w:szCs w:val="22"/>
          <w:color w:val="auto"/>
        </w:rPr>
      </w:pPr>
      <w:r>
        <w:rPr>
          <w:rFonts w:ascii="Arial" w:cs="Arial" w:eastAsia="Arial" w:hAnsi="Arial"/>
          <w:sz w:val="22"/>
          <w:szCs w:val="22"/>
          <w:u w:val="single" w:color="auto"/>
          <w:color w:val="auto"/>
        </w:rPr>
        <w:t>Legal Description (LAD Leased Property)</w:t>
      </w:r>
      <w:r>
        <w:rPr>
          <w:rFonts w:ascii="Arial" w:cs="Arial" w:eastAsia="Arial" w:hAnsi="Arial"/>
          <w:sz w:val="22"/>
          <w:szCs w:val="22"/>
          <w:color w:val="auto"/>
        </w:rPr>
        <w:t xml:space="preserve">. The legal descriptions with respect to the Leased Property set forth on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annexed to the Lease are hereby amended such that the legal description with respect to the Leased Property pertaining to the LAD Facility as set forth on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attached hereto is hereby deleted from said </w:t>
      </w:r>
      <w:r>
        <w:rPr>
          <w:rFonts w:ascii="Arial" w:cs="Arial" w:eastAsia="Arial" w:hAnsi="Arial"/>
          <w:sz w:val="22"/>
          <w:szCs w:val="22"/>
          <w:u w:val="single" w:color="auto"/>
          <w:color w:val="auto"/>
        </w:rPr>
        <w:t>Exhibit B</w:t>
      </w:r>
      <w:r>
        <w:rPr>
          <w:rFonts w:ascii="Arial" w:cs="Arial" w:eastAsia="Arial" w:hAnsi="Arial"/>
          <w:sz w:val="22"/>
          <w:szCs w:val="22"/>
          <w:color w:val="auto"/>
        </w:rPr>
        <w:t>.</w:t>
      </w:r>
    </w:p>
    <w:p>
      <w:pPr>
        <w:spacing w:after="0" w:line="144" w:lineRule="exact"/>
        <w:rPr>
          <w:rFonts w:ascii="Arial" w:cs="Arial" w:eastAsia="Arial" w:hAnsi="Arial"/>
          <w:sz w:val="22"/>
          <w:szCs w:val="22"/>
          <w:color w:val="auto"/>
        </w:rPr>
      </w:pPr>
    </w:p>
    <w:p>
      <w:pPr>
        <w:jc w:val="both"/>
        <w:ind w:left="968" w:hanging="320"/>
        <w:spacing w:after="0" w:line="231" w:lineRule="auto"/>
        <w:tabs>
          <w:tab w:leader="none" w:pos="959" w:val="left"/>
        </w:tabs>
        <w:numPr>
          <w:ilvl w:val="1"/>
          <w:numId w:val="132"/>
        </w:numPr>
        <w:rPr>
          <w:rFonts w:ascii="Arial" w:cs="Arial" w:eastAsia="Arial" w:hAnsi="Arial"/>
          <w:sz w:val="22"/>
          <w:szCs w:val="22"/>
          <w:color w:val="auto"/>
        </w:rPr>
      </w:pPr>
      <w:r>
        <w:rPr>
          <w:rFonts w:ascii="Arial" w:cs="Arial" w:eastAsia="Arial" w:hAnsi="Arial"/>
          <w:sz w:val="22"/>
          <w:szCs w:val="22"/>
          <w:u w:val="single" w:color="auto"/>
          <w:color w:val="auto"/>
        </w:rPr>
        <w:t>Property Specific IP</w:t>
      </w:r>
      <w:r>
        <w:rPr>
          <w:rFonts w:ascii="Arial" w:cs="Arial" w:eastAsia="Arial" w:hAnsi="Arial"/>
          <w:sz w:val="22"/>
          <w:szCs w:val="22"/>
          <w:color w:val="auto"/>
        </w:rPr>
        <w:t xml:space="preserve">. The list of Property Specific IP set forth on </w:t>
      </w:r>
      <w:r>
        <w:rPr>
          <w:rFonts w:ascii="Arial" w:cs="Arial" w:eastAsia="Arial" w:hAnsi="Arial"/>
          <w:sz w:val="22"/>
          <w:szCs w:val="22"/>
          <w:u w:val="single" w:color="auto"/>
          <w:color w:val="auto"/>
        </w:rPr>
        <w:t>Exhibit H</w:t>
      </w:r>
      <w:r>
        <w:rPr>
          <w:rFonts w:ascii="Arial" w:cs="Arial" w:eastAsia="Arial" w:hAnsi="Arial"/>
          <w:sz w:val="22"/>
          <w:szCs w:val="22"/>
          <w:color w:val="auto"/>
        </w:rPr>
        <w:t xml:space="preserve"> annexed to the Lease is hereby amended such that the following items of Property Specific IP listed thereon are hereby deleted from said </w:t>
      </w:r>
      <w:r>
        <w:rPr>
          <w:rFonts w:ascii="Arial" w:cs="Arial" w:eastAsia="Arial" w:hAnsi="Arial"/>
          <w:sz w:val="22"/>
          <w:szCs w:val="22"/>
          <w:u w:val="single" w:color="auto"/>
          <w:color w:val="auto"/>
        </w:rPr>
        <w:t>Exhibit</w:t>
      </w:r>
      <w:r>
        <w:rPr>
          <w:rFonts w:ascii="Arial" w:cs="Arial" w:eastAsia="Arial" w:hAnsi="Arial"/>
          <w:sz w:val="22"/>
          <w:szCs w:val="22"/>
          <w:color w:val="auto"/>
        </w:rPr>
        <w:t xml:space="preserve"> </w:t>
      </w:r>
      <w:r>
        <w:rPr>
          <w:rFonts w:ascii="Arial" w:cs="Arial" w:eastAsia="Arial" w:hAnsi="Arial"/>
          <w:sz w:val="22"/>
          <w:szCs w:val="22"/>
          <w:u w:val="single" w:color="auto"/>
          <w:color w:val="auto"/>
        </w:rPr>
        <w:t>H</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908"/>
          </w:cols>
          <w:pgMar w:left="652" w:top="1414" w:right="339" w:bottom="1440" w:gutter="0" w:footer="0" w:header="0"/>
        </w:sectPr>
      </w:pPr>
    </w:p>
    <w:bookmarkStart w:id="171" w:name="page172"/>
    <w:bookmarkEnd w:id="17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120" w:type="dxa"/>
            <w:vAlign w:val="bottom"/>
            <w:tcBorders>
              <w:top w:val="single" w:sz="8" w:color="auto"/>
              <w:left w:val="single" w:sz="8" w:color="auto"/>
              <w:right w:val="single" w:sz="8" w:color="auto"/>
            </w:tcBorders>
            <w:vMerge w:val="restart"/>
            <w:shd w:val="clear" w:color="auto" w:fill="D9D9D9"/>
          </w:tcPr>
          <w:p>
            <w:pPr>
              <w:ind w:left="340"/>
              <w:spacing w:after="0"/>
              <w:rPr>
                <w:sz w:val="20"/>
                <w:szCs w:val="20"/>
                <w:color w:val="auto"/>
              </w:rPr>
            </w:pPr>
            <w:r>
              <w:rPr>
                <w:rFonts w:ascii="Arial" w:cs="Arial" w:eastAsia="Arial" w:hAnsi="Arial"/>
                <w:sz w:val="18"/>
                <w:szCs w:val="18"/>
                <w:b w:val="1"/>
                <w:bCs w:val="1"/>
                <w:color w:val="auto"/>
              </w:rPr>
              <w:t>Mark</w:t>
            </w:r>
          </w:p>
        </w:tc>
        <w:tc>
          <w:tcPr>
            <w:tcW w:w="1220" w:type="dxa"/>
            <w:vAlign w:val="bottom"/>
            <w:tcBorders>
              <w:top w:val="single" w:sz="8" w:color="auto"/>
              <w:right w:val="single" w:sz="8" w:color="auto"/>
            </w:tcBorders>
            <w:vMerge w:val="restart"/>
            <w:shd w:val="clear" w:color="auto" w:fill="D9D9D9"/>
          </w:tcPr>
          <w:p>
            <w:pPr>
              <w:ind w:left="140"/>
              <w:spacing w:after="0"/>
              <w:rPr>
                <w:sz w:val="20"/>
                <w:szCs w:val="20"/>
                <w:color w:val="auto"/>
              </w:rPr>
            </w:pPr>
            <w:r>
              <w:rPr>
                <w:rFonts w:ascii="Arial" w:cs="Arial" w:eastAsia="Arial" w:hAnsi="Arial"/>
                <w:sz w:val="18"/>
                <w:szCs w:val="18"/>
                <w:b w:val="1"/>
                <w:bCs w:val="1"/>
                <w:color w:val="auto"/>
              </w:rPr>
              <w:t>Jurisdiction</w:t>
            </w:r>
          </w:p>
        </w:tc>
        <w:tc>
          <w:tcPr>
            <w:tcW w:w="1080" w:type="dxa"/>
            <w:vAlign w:val="bottom"/>
            <w:tcBorders>
              <w:top w:val="single" w:sz="8" w:color="auto"/>
              <w:right w:val="single" w:sz="8" w:color="auto"/>
            </w:tcBorders>
            <w:vMerge w:val="restart"/>
            <w:shd w:val="clear" w:color="auto" w:fill="D9D9D9"/>
          </w:tcPr>
          <w:p>
            <w:pPr>
              <w:ind w:left="280"/>
              <w:spacing w:after="0"/>
              <w:rPr>
                <w:sz w:val="20"/>
                <w:szCs w:val="20"/>
                <w:color w:val="auto"/>
              </w:rPr>
            </w:pPr>
            <w:r>
              <w:rPr>
                <w:rFonts w:ascii="Arial" w:cs="Arial" w:eastAsia="Arial" w:hAnsi="Arial"/>
                <w:sz w:val="18"/>
                <w:szCs w:val="18"/>
                <w:b w:val="1"/>
                <w:bCs w:val="1"/>
                <w:color w:val="auto"/>
              </w:rPr>
              <w:t>Brand</w:t>
            </w:r>
          </w:p>
        </w:tc>
        <w:tc>
          <w:tcPr>
            <w:tcW w:w="1080" w:type="dxa"/>
            <w:vAlign w:val="bottom"/>
            <w:tcBorders>
              <w:top w:val="single" w:sz="8" w:color="auto"/>
              <w:right w:val="single" w:sz="8" w:color="auto"/>
            </w:tcBorders>
            <w:shd w:val="clear" w:color="auto" w:fill="D9D9D9"/>
          </w:tcPr>
          <w:p>
            <w:pPr>
              <w:ind w:left="180"/>
              <w:spacing w:after="0" w:line="189" w:lineRule="exact"/>
              <w:rPr>
                <w:sz w:val="20"/>
                <w:szCs w:val="20"/>
                <w:color w:val="auto"/>
              </w:rPr>
            </w:pPr>
            <w:r>
              <w:rPr>
                <w:rFonts w:ascii="Arial" w:cs="Arial" w:eastAsia="Arial" w:hAnsi="Arial"/>
                <w:sz w:val="18"/>
                <w:szCs w:val="18"/>
                <w:b w:val="1"/>
                <w:bCs w:val="1"/>
                <w:color w:val="auto"/>
              </w:rPr>
              <w:t>Specific /</w:t>
            </w:r>
          </w:p>
        </w:tc>
        <w:tc>
          <w:tcPr>
            <w:tcW w:w="1080" w:type="dxa"/>
            <w:vAlign w:val="bottom"/>
            <w:tcBorders>
              <w:top w:val="single" w:sz="8" w:color="auto"/>
              <w:right w:val="single" w:sz="8" w:color="auto"/>
            </w:tcBorders>
            <w:vMerge w:val="restart"/>
            <w:shd w:val="clear" w:color="auto" w:fill="D9D9D9"/>
          </w:tcPr>
          <w:p>
            <w:pPr>
              <w:ind w:left="180"/>
              <w:spacing w:after="0"/>
              <w:rPr>
                <w:sz w:val="20"/>
                <w:szCs w:val="20"/>
                <w:color w:val="auto"/>
              </w:rPr>
            </w:pPr>
            <w:r>
              <w:rPr>
                <w:rFonts w:ascii="Arial" w:cs="Arial" w:eastAsia="Arial" w:hAnsi="Arial"/>
                <w:sz w:val="18"/>
                <w:szCs w:val="18"/>
                <w:b w:val="1"/>
                <w:bCs w:val="1"/>
                <w:color w:val="auto"/>
              </w:rPr>
              <w:t>Property</w:t>
            </w:r>
          </w:p>
        </w:tc>
        <w:tc>
          <w:tcPr>
            <w:tcW w:w="1140" w:type="dxa"/>
            <w:vAlign w:val="bottom"/>
            <w:tcBorders>
              <w:top w:val="single" w:sz="8" w:color="auto"/>
              <w:right w:val="single" w:sz="8" w:color="auto"/>
            </w:tcBorders>
            <w:vMerge w:val="restart"/>
            <w:shd w:val="clear" w:color="auto" w:fill="D9D9D9"/>
          </w:tcPr>
          <w:p>
            <w:pPr>
              <w:ind w:left="220"/>
              <w:spacing w:after="0"/>
              <w:rPr>
                <w:sz w:val="20"/>
                <w:szCs w:val="20"/>
                <w:color w:val="auto"/>
              </w:rPr>
            </w:pPr>
            <w:r>
              <w:rPr>
                <w:rFonts w:ascii="Arial" w:cs="Arial" w:eastAsia="Arial" w:hAnsi="Arial"/>
                <w:sz w:val="18"/>
                <w:szCs w:val="18"/>
                <w:b w:val="1"/>
                <w:bCs w:val="1"/>
                <w:color w:val="auto"/>
              </w:rPr>
              <w:t>App. No.</w:t>
            </w:r>
          </w:p>
        </w:tc>
        <w:tc>
          <w:tcPr>
            <w:tcW w:w="1160" w:type="dxa"/>
            <w:vAlign w:val="bottom"/>
            <w:tcBorders>
              <w:top w:val="single" w:sz="8" w:color="auto"/>
              <w:right w:val="single" w:sz="8" w:color="auto"/>
            </w:tcBorders>
            <w:vMerge w:val="restart"/>
            <w:shd w:val="clear" w:color="auto" w:fill="D9D9D9"/>
          </w:tcPr>
          <w:p>
            <w:pPr>
              <w:ind w:left="180"/>
              <w:spacing w:after="0"/>
              <w:rPr>
                <w:sz w:val="20"/>
                <w:szCs w:val="20"/>
                <w:color w:val="auto"/>
              </w:rPr>
            </w:pPr>
            <w:r>
              <w:rPr>
                <w:rFonts w:ascii="Arial" w:cs="Arial" w:eastAsia="Arial" w:hAnsi="Arial"/>
                <w:sz w:val="18"/>
                <w:szCs w:val="18"/>
                <w:b w:val="1"/>
                <w:bCs w:val="1"/>
                <w:color w:val="auto"/>
              </w:rPr>
              <w:t>App. Date</w:t>
            </w:r>
          </w:p>
        </w:tc>
        <w:tc>
          <w:tcPr>
            <w:tcW w:w="1140" w:type="dxa"/>
            <w:vAlign w:val="bottom"/>
            <w:tcBorders>
              <w:top w:val="single" w:sz="8" w:color="auto"/>
              <w:right w:val="single" w:sz="8" w:color="auto"/>
            </w:tcBorders>
            <w:vMerge w:val="restart"/>
            <w:shd w:val="clear" w:color="auto" w:fill="D9D9D9"/>
          </w:tcPr>
          <w:p>
            <w:pPr>
              <w:ind w:left="220"/>
              <w:spacing w:after="0"/>
              <w:rPr>
                <w:sz w:val="20"/>
                <w:szCs w:val="20"/>
                <w:color w:val="auto"/>
              </w:rPr>
            </w:pPr>
            <w:r>
              <w:rPr>
                <w:rFonts w:ascii="Arial" w:cs="Arial" w:eastAsia="Arial" w:hAnsi="Arial"/>
                <w:sz w:val="18"/>
                <w:szCs w:val="18"/>
                <w:b w:val="1"/>
                <w:bCs w:val="1"/>
                <w:color w:val="auto"/>
              </w:rPr>
              <w:t>Reg. No.</w:t>
            </w:r>
          </w:p>
        </w:tc>
        <w:tc>
          <w:tcPr>
            <w:tcW w:w="1140" w:type="dxa"/>
            <w:vAlign w:val="bottom"/>
            <w:tcBorders>
              <w:top w:val="single" w:sz="8" w:color="auto"/>
              <w:right w:val="single" w:sz="8" w:color="auto"/>
            </w:tcBorders>
            <w:vMerge w:val="restart"/>
            <w:shd w:val="clear" w:color="auto" w:fill="D9D9D9"/>
          </w:tcPr>
          <w:p>
            <w:pPr>
              <w:ind w:left="180"/>
              <w:spacing w:after="0"/>
              <w:rPr>
                <w:sz w:val="20"/>
                <w:szCs w:val="20"/>
                <w:color w:val="auto"/>
              </w:rPr>
            </w:pPr>
            <w:r>
              <w:rPr>
                <w:rFonts w:ascii="Arial" w:cs="Arial" w:eastAsia="Arial" w:hAnsi="Arial"/>
                <w:sz w:val="18"/>
                <w:szCs w:val="18"/>
                <w:b w:val="1"/>
                <w:bCs w:val="1"/>
                <w:color w:val="auto"/>
              </w:rPr>
              <w:t>Reg. Date</w:t>
            </w:r>
          </w:p>
        </w:tc>
        <w:tc>
          <w:tcPr>
            <w:tcW w:w="1100" w:type="dxa"/>
            <w:vAlign w:val="bottom"/>
            <w:tcBorders>
              <w:top w:val="single" w:sz="8" w:color="auto"/>
              <w:right w:val="single" w:sz="8" w:color="auto"/>
            </w:tcBorders>
            <w:vMerge w:val="restart"/>
            <w:shd w:val="clear" w:color="auto" w:fill="D9D9D9"/>
          </w:tcPr>
          <w:p>
            <w:pPr>
              <w:ind w:left="300"/>
              <w:spacing w:after="0"/>
              <w:rPr>
                <w:sz w:val="20"/>
                <w:szCs w:val="20"/>
                <w:color w:val="auto"/>
              </w:rPr>
            </w:pPr>
            <w:r>
              <w:rPr>
                <w:rFonts w:ascii="Arial" w:cs="Arial" w:eastAsia="Arial" w:hAnsi="Arial"/>
                <w:sz w:val="18"/>
                <w:szCs w:val="18"/>
                <w:b w:val="1"/>
                <w:bCs w:val="1"/>
                <w:color w:val="auto"/>
              </w:rPr>
              <w:t>Status</w:t>
            </w:r>
          </w:p>
        </w:tc>
        <w:tc>
          <w:tcPr>
            <w:tcW w:w="0" w:type="dxa"/>
            <w:vAlign w:val="bottom"/>
          </w:tcPr>
          <w:p>
            <w:pPr>
              <w:spacing w:after="0"/>
              <w:rPr>
                <w:sz w:val="1"/>
                <w:szCs w:val="1"/>
                <w:color w:val="auto"/>
              </w:rPr>
            </w:pPr>
          </w:p>
        </w:tc>
      </w:tr>
      <w:tr>
        <w:trPr>
          <w:trHeight w:val="229"/>
        </w:trPr>
        <w:tc>
          <w:tcPr>
            <w:tcW w:w="1120" w:type="dxa"/>
            <w:vAlign w:val="bottom"/>
            <w:tcBorders>
              <w:left w:val="single" w:sz="8" w:color="auto"/>
              <w:bottom w:val="single" w:sz="8" w:color="auto"/>
              <w:right w:val="single" w:sz="8" w:color="auto"/>
            </w:tcBorders>
            <w:vMerge w:val="continue"/>
            <w:shd w:val="clear" w:color="auto" w:fill="D9D9D9"/>
          </w:tcPr>
          <w:p>
            <w:pPr>
              <w:spacing w:after="0"/>
              <w:rPr>
                <w:sz w:val="19"/>
                <w:szCs w:val="19"/>
                <w:color w:val="auto"/>
              </w:rPr>
            </w:pPr>
          </w:p>
        </w:tc>
        <w:tc>
          <w:tcPr>
            <w:tcW w:w="1220" w:type="dxa"/>
            <w:vAlign w:val="bottom"/>
            <w:tcBorders>
              <w:bottom w:val="single" w:sz="8" w:color="auto"/>
              <w:right w:val="single" w:sz="8" w:color="auto"/>
            </w:tcBorders>
            <w:vMerge w:val="continue"/>
            <w:shd w:val="clear" w:color="auto" w:fill="D9D9D9"/>
          </w:tcPr>
          <w:p>
            <w:pPr>
              <w:spacing w:after="0"/>
              <w:rPr>
                <w:sz w:val="19"/>
                <w:szCs w:val="19"/>
                <w:color w:val="auto"/>
              </w:rPr>
            </w:pPr>
          </w:p>
        </w:tc>
        <w:tc>
          <w:tcPr>
            <w:tcW w:w="1080" w:type="dxa"/>
            <w:vAlign w:val="bottom"/>
            <w:tcBorders>
              <w:bottom w:val="single" w:sz="8" w:color="auto"/>
              <w:right w:val="single" w:sz="8" w:color="auto"/>
            </w:tcBorders>
            <w:vMerge w:val="continue"/>
            <w:shd w:val="clear" w:color="auto" w:fill="D9D9D9"/>
          </w:tcPr>
          <w:p>
            <w:pPr>
              <w:spacing w:after="0"/>
              <w:rPr>
                <w:sz w:val="19"/>
                <w:szCs w:val="19"/>
                <w:color w:val="auto"/>
              </w:rPr>
            </w:pPr>
          </w:p>
        </w:tc>
        <w:tc>
          <w:tcPr>
            <w:tcW w:w="1080" w:type="dxa"/>
            <w:vAlign w:val="bottom"/>
            <w:tcBorders>
              <w:bottom w:val="single" w:sz="8" w:color="auto"/>
              <w:right w:val="single" w:sz="8" w:color="auto"/>
            </w:tcBorders>
            <w:shd w:val="clear" w:color="auto" w:fill="D9D9D9"/>
          </w:tcPr>
          <w:p>
            <w:pPr>
              <w:ind w:left="120"/>
              <w:spacing w:after="0"/>
              <w:rPr>
                <w:sz w:val="20"/>
                <w:szCs w:val="20"/>
                <w:color w:val="auto"/>
              </w:rPr>
            </w:pPr>
            <w:r>
              <w:rPr>
                <w:rFonts w:ascii="Arial" w:cs="Arial" w:eastAsia="Arial" w:hAnsi="Arial"/>
                <w:sz w:val="18"/>
                <w:szCs w:val="18"/>
                <w:b w:val="1"/>
                <w:bCs w:val="1"/>
                <w:color w:val="auto"/>
              </w:rPr>
              <w:t>Enterprise</w:t>
            </w:r>
          </w:p>
        </w:tc>
        <w:tc>
          <w:tcPr>
            <w:tcW w:w="1080" w:type="dxa"/>
            <w:vAlign w:val="bottom"/>
            <w:tcBorders>
              <w:bottom w:val="single" w:sz="8" w:color="auto"/>
              <w:right w:val="single" w:sz="8" w:color="auto"/>
            </w:tcBorders>
            <w:vMerge w:val="continue"/>
            <w:shd w:val="clear" w:color="auto" w:fill="D9D9D9"/>
          </w:tcPr>
          <w:p>
            <w:pPr>
              <w:spacing w:after="0"/>
              <w:rPr>
                <w:sz w:val="19"/>
                <w:szCs w:val="19"/>
                <w:color w:val="auto"/>
              </w:rPr>
            </w:pPr>
          </w:p>
        </w:tc>
        <w:tc>
          <w:tcPr>
            <w:tcW w:w="1140" w:type="dxa"/>
            <w:vAlign w:val="bottom"/>
            <w:tcBorders>
              <w:bottom w:val="single" w:sz="8" w:color="auto"/>
              <w:right w:val="single" w:sz="8" w:color="auto"/>
            </w:tcBorders>
            <w:vMerge w:val="continue"/>
            <w:shd w:val="clear" w:color="auto" w:fill="D9D9D9"/>
          </w:tcPr>
          <w:p>
            <w:pPr>
              <w:spacing w:after="0"/>
              <w:rPr>
                <w:sz w:val="19"/>
                <w:szCs w:val="19"/>
                <w:color w:val="auto"/>
              </w:rPr>
            </w:pPr>
          </w:p>
        </w:tc>
        <w:tc>
          <w:tcPr>
            <w:tcW w:w="1160" w:type="dxa"/>
            <w:vAlign w:val="bottom"/>
            <w:tcBorders>
              <w:bottom w:val="single" w:sz="8" w:color="auto"/>
              <w:right w:val="single" w:sz="8" w:color="auto"/>
            </w:tcBorders>
            <w:vMerge w:val="continue"/>
            <w:shd w:val="clear" w:color="auto" w:fill="D9D9D9"/>
          </w:tcPr>
          <w:p>
            <w:pPr>
              <w:spacing w:after="0"/>
              <w:rPr>
                <w:sz w:val="19"/>
                <w:szCs w:val="19"/>
                <w:color w:val="auto"/>
              </w:rPr>
            </w:pPr>
          </w:p>
        </w:tc>
        <w:tc>
          <w:tcPr>
            <w:tcW w:w="1140" w:type="dxa"/>
            <w:vAlign w:val="bottom"/>
            <w:tcBorders>
              <w:bottom w:val="single" w:sz="8" w:color="auto"/>
              <w:right w:val="single" w:sz="8" w:color="auto"/>
            </w:tcBorders>
            <w:vMerge w:val="continue"/>
            <w:shd w:val="clear" w:color="auto" w:fill="D9D9D9"/>
          </w:tcPr>
          <w:p>
            <w:pPr>
              <w:spacing w:after="0"/>
              <w:rPr>
                <w:sz w:val="19"/>
                <w:szCs w:val="19"/>
                <w:color w:val="auto"/>
              </w:rPr>
            </w:pPr>
          </w:p>
        </w:tc>
        <w:tc>
          <w:tcPr>
            <w:tcW w:w="1140" w:type="dxa"/>
            <w:vAlign w:val="bottom"/>
            <w:tcBorders>
              <w:bottom w:val="single" w:sz="8" w:color="auto"/>
              <w:right w:val="single" w:sz="8" w:color="auto"/>
            </w:tcBorders>
            <w:vMerge w:val="continue"/>
            <w:shd w:val="clear" w:color="auto" w:fill="D9D9D9"/>
          </w:tcPr>
          <w:p>
            <w:pPr>
              <w:spacing w:after="0"/>
              <w:rPr>
                <w:sz w:val="19"/>
                <w:szCs w:val="19"/>
                <w:color w:val="auto"/>
              </w:rPr>
            </w:pPr>
          </w:p>
        </w:tc>
        <w:tc>
          <w:tcPr>
            <w:tcW w:w="1100" w:type="dxa"/>
            <w:vAlign w:val="bottom"/>
            <w:tcBorders>
              <w:bottom w:val="single" w:sz="8" w:color="auto"/>
              <w:right w:val="single" w:sz="8" w:color="auto"/>
            </w:tcBorders>
            <w:vMerge w:val="continue"/>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120" w:type="dxa"/>
            <w:vAlign w:val="bottom"/>
            <w:tcBorders>
              <w:left w:val="single" w:sz="8" w:color="auto"/>
              <w:right w:val="single" w:sz="8" w:color="auto"/>
            </w:tcBorders>
          </w:tcPr>
          <w:p>
            <w:pPr>
              <w:ind w:left="80"/>
              <w:spacing w:after="0" w:line="155" w:lineRule="exact"/>
              <w:rPr>
                <w:sz w:val="20"/>
                <w:szCs w:val="20"/>
                <w:color w:val="auto"/>
              </w:rPr>
            </w:pPr>
            <w:r>
              <w:rPr>
                <w:rFonts w:ascii="Arial" w:cs="Arial" w:eastAsia="Arial" w:hAnsi="Arial"/>
                <w:sz w:val="17"/>
                <w:szCs w:val="17"/>
                <w:color w:val="auto"/>
              </w:rPr>
              <w:t>Pepper Rose</w:t>
            </w:r>
          </w:p>
        </w:tc>
        <w:tc>
          <w:tcPr>
            <w:tcW w:w="122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Louisiana</w:t>
            </w:r>
          </w:p>
        </w:tc>
        <w:tc>
          <w:tcPr>
            <w:tcW w:w="108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Harrah’s</w:t>
            </w:r>
          </w:p>
        </w:tc>
        <w:tc>
          <w:tcPr>
            <w:tcW w:w="108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Specific</w:t>
            </w:r>
          </w:p>
        </w:tc>
        <w:tc>
          <w:tcPr>
            <w:tcW w:w="108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Harrah’s</w:t>
            </w:r>
          </w:p>
        </w:tc>
        <w:tc>
          <w:tcPr>
            <w:tcW w:w="114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NA</w:t>
            </w:r>
          </w:p>
        </w:tc>
        <w:tc>
          <w:tcPr>
            <w:tcW w:w="116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12/17/2001</w:t>
            </w:r>
          </w:p>
        </w:tc>
        <w:tc>
          <w:tcPr>
            <w:tcW w:w="114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57-2528</w:t>
            </w:r>
          </w:p>
        </w:tc>
        <w:tc>
          <w:tcPr>
            <w:tcW w:w="114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12/17/2001</w:t>
            </w:r>
          </w:p>
        </w:tc>
        <w:tc>
          <w:tcPr>
            <w:tcW w:w="110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Registered</w:t>
            </w:r>
          </w:p>
        </w:tc>
        <w:tc>
          <w:tcPr>
            <w:tcW w:w="0" w:type="dxa"/>
            <w:vAlign w:val="bottom"/>
          </w:tcPr>
          <w:p>
            <w:pPr>
              <w:spacing w:after="0"/>
              <w:rPr>
                <w:sz w:val="1"/>
                <w:szCs w:val="1"/>
                <w:color w:val="auto"/>
              </w:rPr>
            </w:pPr>
          </w:p>
        </w:tc>
      </w:tr>
      <w:tr>
        <w:trPr>
          <w:trHeight w:val="162"/>
        </w:trPr>
        <w:tc>
          <w:tcPr>
            <w:tcW w:w="1120" w:type="dxa"/>
            <w:vAlign w:val="bottom"/>
            <w:tcBorders>
              <w:left w:val="single" w:sz="8" w:color="auto"/>
              <w:right w:val="single" w:sz="8" w:color="auto"/>
            </w:tcBorders>
          </w:tcPr>
          <w:p>
            <w:pPr>
              <w:ind w:left="80"/>
              <w:spacing w:after="0" w:line="162" w:lineRule="exact"/>
              <w:rPr>
                <w:sz w:val="20"/>
                <w:szCs w:val="20"/>
                <w:color w:val="auto"/>
              </w:rPr>
            </w:pPr>
            <w:r>
              <w:rPr>
                <w:rFonts w:ascii="Arial" w:cs="Arial" w:eastAsia="Arial" w:hAnsi="Arial"/>
                <w:sz w:val="17"/>
                <w:szCs w:val="17"/>
                <w:color w:val="auto"/>
              </w:rPr>
              <w:t>(Design)</w:t>
            </w:r>
          </w:p>
        </w:tc>
        <w:tc>
          <w:tcPr>
            <w:tcW w:w="122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7"/>
                <w:szCs w:val="17"/>
                <w:color w:val="auto"/>
              </w:rPr>
              <w:t>Louisiana</w:t>
            </w:r>
          </w:p>
        </w:tc>
        <w:tc>
          <w:tcPr>
            <w:tcW w:w="114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20" w:type="dxa"/>
            <w:vAlign w:val="bottom"/>
            <w:tcBorders>
              <w:left w:val="single" w:sz="8" w:color="auto"/>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Downs</w:t>
            </w:r>
          </w:p>
        </w:tc>
        <w:tc>
          <w:tcPr>
            <w:tcW w:w="114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20" w:type="dxa"/>
            <w:vAlign w:val="bottom"/>
            <w:tcBorders>
              <w:left w:val="single" w:sz="8" w:color="auto"/>
              <w:right w:val="single" w:sz="8" w:color="auto"/>
            </w:tcBorders>
          </w:tcPr>
          <w:p>
            <w:pPr>
              <w:ind w:left="80"/>
              <w:spacing w:after="0" w:line="155" w:lineRule="exact"/>
              <w:rPr>
                <w:sz w:val="20"/>
                <w:szCs w:val="20"/>
                <w:color w:val="auto"/>
              </w:rPr>
            </w:pPr>
            <w:r>
              <w:rPr>
                <w:rFonts w:ascii="Arial" w:cs="Arial" w:eastAsia="Arial" w:hAnsi="Arial"/>
                <w:sz w:val="17"/>
                <w:szCs w:val="17"/>
                <w:color w:val="auto"/>
              </w:rPr>
              <w:t>“Louisiana</w:t>
            </w:r>
          </w:p>
        </w:tc>
        <w:tc>
          <w:tcPr>
            <w:tcW w:w="122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Louisiana</w:t>
            </w:r>
          </w:p>
        </w:tc>
        <w:tc>
          <w:tcPr>
            <w:tcW w:w="108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Harrah’s /</w:t>
            </w:r>
          </w:p>
        </w:tc>
        <w:tc>
          <w:tcPr>
            <w:tcW w:w="108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Specific</w:t>
            </w:r>
          </w:p>
        </w:tc>
        <w:tc>
          <w:tcPr>
            <w:tcW w:w="108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Harrah’s</w:t>
            </w:r>
          </w:p>
        </w:tc>
        <w:tc>
          <w:tcPr>
            <w:tcW w:w="114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NA</w:t>
            </w:r>
          </w:p>
        </w:tc>
        <w:tc>
          <w:tcPr>
            <w:tcW w:w="116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4/19/1993</w:t>
            </w:r>
          </w:p>
        </w:tc>
        <w:tc>
          <w:tcPr>
            <w:tcW w:w="114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51-0725</w:t>
            </w:r>
          </w:p>
        </w:tc>
        <w:tc>
          <w:tcPr>
            <w:tcW w:w="114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4/19/1993</w:t>
            </w:r>
          </w:p>
        </w:tc>
        <w:tc>
          <w:tcPr>
            <w:tcW w:w="110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Registered</w:t>
            </w:r>
          </w:p>
        </w:tc>
        <w:tc>
          <w:tcPr>
            <w:tcW w:w="0" w:type="dxa"/>
            <w:vAlign w:val="bottom"/>
          </w:tcPr>
          <w:p>
            <w:pPr>
              <w:spacing w:after="0"/>
              <w:rPr>
                <w:sz w:val="1"/>
                <w:szCs w:val="1"/>
                <w:color w:val="auto"/>
              </w:rPr>
            </w:pPr>
          </w:p>
        </w:tc>
      </w:tr>
      <w:tr>
        <w:trPr>
          <w:trHeight w:val="162"/>
        </w:trPr>
        <w:tc>
          <w:tcPr>
            <w:tcW w:w="1120" w:type="dxa"/>
            <w:vAlign w:val="bottom"/>
            <w:tcBorders>
              <w:left w:val="single" w:sz="8" w:color="auto"/>
              <w:right w:val="single" w:sz="8" w:color="auto"/>
            </w:tcBorders>
          </w:tcPr>
          <w:p>
            <w:pPr>
              <w:ind w:left="80"/>
              <w:spacing w:after="0" w:line="162" w:lineRule="exact"/>
              <w:rPr>
                <w:sz w:val="20"/>
                <w:szCs w:val="20"/>
                <w:color w:val="auto"/>
              </w:rPr>
            </w:pPr>
            <w:r>
              <w:rPr>
                <w:rFonts w:ascii="Arial" w:cs="Arial" w:eastAsia="Arial" w:hAnsi="Arial"/>
                <w:sz w:val="17"/>
                <w:szCs w:val="17"/>
                <w:color w:val="auto"/>
              </w:rPr>
              <w:t>Downs”</w:t>
            </w:r>
          </w:p>
        </w:tc>
        <w:tc>
          <w:tcPr>
            <w:tcW w:w="122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7"/>
                <w:szCs w:val="17"/>
                <w:color w:val="auto"/>
              </w:rPr>
              <w:t>Louisiana</w:t>
            </w:r>
          </w:p>
        </w:tc>
        <w:tc>
          <w:tcPr>
            <w:tcW w:w="108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7"/>
                <w:szCs w:val="17"/>
                <w:color w:val="auto"/>
              </w:rPr>
              <w:t>Louisiana</w:t>
            </w:r>
          </w:p>
        </w:tc>
        <w:tc>
          <w:tcPr>
            <w:tcW w:w="114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20" w:type="dxa"/>
            <w:vAlign w:val="bottom"/>
            <w:tcBorders>
              <w:left w:val="single" w:sz="8" w:color="auto"/>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Downs</w:t>
            </w:r>
          </w:p>
        </w:tc>
        <w:tc>
          <w:tcPr>
            <w:tcW w:w="108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Downs</w:t>
            </w:r>
          </w:p>
        </w:tc>
        <w:tc>
          <w:tcPr>
            <w:tcW w:w="114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120" w:type="dxa"/>
            <w:vAlign w:val="bottom"/>
            <w:tcBorders>
              <w:left w:val="single" w:sz="8" w:color="auto"/>
              <w:right w:val="single" w:sz="8" w:color="auto"/>
            </w:tcBorders>
          </w:tcPr>
          <w:p>
            <w:pPr>
              <w:ind w:left="80"/>
              <w:spacing w:after="0" w:line="155" w:lineRule="exact"/>
              <w:rPr>
                <w:sz w:val="20"/>
                <w:szCs w:val="20"/>
                <w:color w:val="auto"/>
              </w:rPr>
            </w:pPr>
            <w:r>
              <w:rPr>
                <w:rFonts w:ascii="Arial" w:cs="Arial" w:eastAsia="Arial" w:hAnsi="Arial"/>
                <w:sz w:val="17"/>
                <w:szCs w:val="17"/>
                <w:color w:val="auto"/>
              </w:rPr>
              <w:t>Horse Cents</w:t>
            </w:r>
          </w:p>
        </w:tc>
        <w:tc>
          <w:tcPr>
            <w:tcW w:w="122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Louisiana</w:t>
            </w:r>
          </w:p>
        </w:tc>
        <w:tc>
          <w:tcPr>
            <w:tcW w:w="108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Harrah’s /</w:t>
            </w:r>
          </w:p>
        </w:tc>
        <w:tc>
          <w:tcPr>
            <w:tcW w:w="108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Specific</w:t>
            </w:r>
          </w:p>
        </w:tc>
        <w:tc>
          <w:tcPr>
            <w:tcW w:w="108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Harrah’s</w:t>
            </w:r>
          </w:p>
        </w:tc>
        <w:tc>
          <w:tcPr>
            <w:tcW w:w="114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NA</w:t>
            </w:r>
          </w:p>
        </w:tc>
        <w:tc>
          <w:tcPr>
            <w:tcW w:w="116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12/4/2003</w:t>
            </w:r>
          </w:p>
        </w:tc>
        <w:tc>
          <w:tcPr>
            <w:tcW w:w="114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58-0417</w:t>
            </w:r>
          </w:p>
        </w:tc>
        <w:tc>
          <w:tcPr>
            <w:tcW w:w="114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12/4/2003</w:t>
            </w:r>
          </w:p>
        </w:tc>
        <w:tc>
          <w:tcPr>
            <w:tcW w:w="110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Registered</w:t>
            </w:r>
          </w:p>
        </w:tc>
        <w:tc>
          <w:tcPr>
            <w:tcW w:w="0" w:type="dxa"/>
            <w:vAlign w:val="bottom"/>
          </w:tcPr>
          <w:p>
            <w:pPr>
              <w:spacing w:after="0"/>
              <w:rPr>
                <w:sz w:val="1"/>
                <w:szCs w:val="1"/>
                <w:color w:val="auto"/>
              </w:rPr>
            </w:pPr>
          </w:p>
        </w:tc>
      </w:tr>
      <w:tr>
        <w:trPr>
          <w:trHeight w:val="162"/>
        </w:trPr>
        <w:tc>
          <w:tcPr>
            <w:tcW w:w="1120" w:type="dxa"/>
            <w:vAlign w:val="bottom"/>
            <w:tcBorders>
              <w:left w:val="single" w:sz="8" w:color="auto"/>
              <w:right w:val="single" w:sz="8" w:color="auto"/>
            </w:tcBorders>
          </w:tcPr>
          <w:p>
            <w:pPr>
              <w:ind w:left="80"/>
              <w:spacing w:after="0" w:line="162" w:lineRule="exact"/>
              <w:rPr>
                <w:sz w:val="20"/>
                <w:szCs w:val="20"/>
                <w:color w:val="auto"/>
              </w:rPr>
            </w:pPr>
            <w:r>
              <w:rPr>
                <w:rFonts w:ascii="Arial" w:cs="Arial" w:eastAsia="Arial" w:hAnsi="Arial"/>
                <w:sz w:val="17"/>
                <w:szCs w:val="17"/>
                <w:color w:val="auto"/>
              </w:rPr>
              <w:t>(Block)</w:t>
            </w:r>
          </w:p>
        </w:tc>
        <w:tc>
          <w:tcPr>
            <w:tcW w:w="122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7"/>
                <w:szCs w:val="17"/>
                <w:color w:val="auto"/>
              </w:rPr>
              <w:t>Louisiana</w:t>
            </w:r>
          </w:p>
        </w:tc>
        <w:tc>
          <w:tcPr>
            <w:tcW w:w="108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7"/>
                <w:szCs w:val="17"/>
                <w:color w:val="auto"/>
              </w:rPr>
              <w:t>Louisiana</w:t>
            </w:r>
          </w:p>
        </w:tc>
        <w:tc>
          <w:tcPr>
            <w:tcW w:w="114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20" w:type="dxa"/>
            <w:vAlign w:val="bottom"/>
            <w:tcBorders>
              <w:left w:val="single" w:sz="8" w:color="auto"/>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Downs</w:t>
            </w:r>
          </w:p>
        </w:tc>
        <w:tc>
          <w:tcPr>
            <w:tcW w:w="108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Downs</w:t>
            </w:r>
          </w:p>
        </w:tc>
        <w:tc>
          <w:tcPr>
            <w:tcW w:w="114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120" w:type="dxa"/>
            <w:vAlign w:val="bottom"/>
            <w:tcBorders>
              <w:left w:val="single" w:sz="8" w:color="auto"/>
              <w:right w:val="single" w:sz="8" w:color="auto"/>
            </w:tcBorders>
          </w:tcPr>
          <w:p>
            <w:pPr>
              <w:ind w:left="80"/>
              <w:spacing w:after="0" w:line="155" w:lineRule="exact"/>
              <w:rPr>
                <w:sz w:val="20"/>
                <w:szCs w:val="20"/>
                <w:color w:val="auto"/>
              </w:rPr>
            </w:pPr>
            <w:r>
              <w:rPr>
                <w:rFonts w:ascii="Arial" w:cs="Arial" w:eastAsia="Arial" w:hAnsi="Arial"/>
                <w:sz w:val="17"/>
                <w:szCs w:val="17"/>
                <w:color w:val="auto"/>
              </w:rPr>
              <w:t>Super Derby</w:t>
            </w:r>
          </w:p>
        </w:tc>
        <w:tc>
          <w:tcPr>
            <w:tcW w:w="122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Louisiana</w:t>
            </w:r>
          </w:p>
        </w:tc>
        <w:tc>
          <w:tcPr>
            <w:tcW w:w="108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Harrah’s /</w:t>
            </w:r>
          </w:p>
        </w:tc>
        <w:tc>
          <w:tcPr>
            <w:tcW w:w="108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Specific</w:t>
            </w:r>
          </w:p>
        </w:tc>
        <w:tc>
          <w:tcPr>
            <w:tcW w:w="108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Harrah’s</w:t>
            </w:r>
          </w:p>
        </w:tc>
        <w:tc>
          <w:tcPr>
            <w:tcW w:w="114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NA</w:t>
            </w:r>
          </w:p>
        </w:tc>
        <w:tc>
          <w:tcPr>
            <w:tcW w:w="116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4/19/1993</w:t>
            </w:r>
          </w:p>
        </w:tc>
        <w:tc>
          <w:tcPr>
            <w:tcW w:w="114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51-0724</w:t>
            </w:r>
          </w:p>
        </w:tc>
        <w:tc>
          <w:tcPr>
            <w:tcW w:w="114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4/19/1993</w:t>
            </w:r>
          </w:p>
        </w:tc>
        <w:tc>
          <w:tcPr>
            <w:tcW w:w="110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Registered</w:t>
            </w:r>
          </w:p>
        </w:tc>
        <w:tc>
          <w:tcPr>
            <w:tcW w:w="0" w:type="dxa"/>
            <w:vAlign w:val="bottom"/>
          </w:tcPr>
          <w:p>
            <w:pPr>
              <w:spacing w:after="0"/>
              <w:rPr>
                <w:sz w:val="1"/>
                <w:szCs w:val="1"/>
                <w:color w:val="auto"/>
              </w:rPr>
            </w:pPr>
          </w:p>
        </w:tc>
      </w:tr>
      <w:tr>
        <w:trPr>
          <w:trHeight w:val="162"/>
        </w:trPr>
        <w:tc>
          <w:tcPr>
            <w:tcW w:w="1120" w:type="dxa"/>
            <w:vAlign w:val="bottom"/>
            <w:tcBorders>
              <w:left w:val="single" w:sz="8" w:color="auto"/>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7"/>
                <w:szCs w:val="17"/>
                <w:color w:val="auto"/>
              </w:rPr>
              <w:t>Louisiana</w:t>
            </w:r>
          </w:p>
        </w:tc>
        <w:tc>
          <w:tcPr>
            <w:tcW w:w="108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7"/>
                <w:szCs w:val="17"/>
                <w:color w:val="auto"/>
              </w:rPr>
              <w:t>Louisiana</w:t>
            </w:r>
          </w:p>
        </w:tc>
        <w:tc>
          <w:tcPr>
            <w:tcW w:w="114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20" w:type="dxa"/>
            <w:vAlign w:val="bottom"/>
            <w:tcBorders>
              <w:left w:val="single" w:sz="8" w:color="auto"/>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Downs</w:t>
            </w:r>
          </w:p>
        </w:tc>
        <w:tc>
          <w:tcPr>
            <w:tcW w:w="108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Downs</w:t>
            </w:r>
          </w:p>
        </w:tc>
        <w:tc>
          <w:tcPr>
            <w:tcW w:w="114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120" w:type="dxa"/>
            <w:vAlign w:val="bottom"/>
            <w:tcBorders>
              <w:left w:val="single" w:sz="8" w:color="auto"/>
              <w:right w:val="single" w:sz="8" w:color="auto"/>
            </w:tcBorders>
          </w:tcPr>
          <w:p>
            <w:pPr>
              <w:ind w:left="80"/>
              <w:spacing w:after="0" w:line="155" w:lineRule="exact"/>
              <w:rPr>
                <w:sz w:val="20"/>
                <w:szCs w:val="20"/>
                <w:color w:val="auto"/>
              </w:rPr>
            </w:pPr>
            <w:r>
              <w:rPr>
                <w:rFonts w:ascii="Arial" w:cs="Arial" w:eastAsia="Arial" w:hAnsi="Arial"/>
                <w:sz w:val="17"/>
                <w:szCs w:val="17"/>
                <w:color w:val="auto"/>
              </w:rPr>
              <w:t>Louisiana</w:t>
            </w:r>
          </w:p>
        </w:tc>
        <w:tc>
          <w:tcPr>
            <w:tcW w:w="122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w w:val="92"/>
              </w:rPr>
              <w:t>United States of</w:t>
            </w:r>
          </w:p>
        </w:tc>
        <w:tc>
          <w:tcPr>
            <w:tcW w:w="108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Harrah’s /</w:t>
            </w:r>
          </w:p>
        </w:tc>
        <w:tc>
          <w:tcPr>
            <w:tcW w:w="108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Specific</w:t>
            </w:r>
          </w:p>
        </w:tc>
        <w:tc>
          <w:tcPr>
            <w:tcW w:w="108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Harrah’s</w:t>
            </w:r>
          </w:p>
        </w:tc>
        <w:tc>
          <w:tcPr>
            <w:tcW w:w="114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78/197284</w:t>
            </w:r>
          </w:p>
        </w:tc>
        <w:tc>
          <w:tcPr>
            <w:tcW w:w="116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12/23/2002</w:t>
            </w:r>
          </w:p>
        </w:tc>
        <w:tc>
          <w:tcPr>
            <w:tcW w:w="114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2874317</w:t>
            </w:r>
          </w:p>
        </w:tc>
        <w:tc>
          <w:tcPr>
            <w:tcW w:w="114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8/17/2004</w:t>
            </w:r>
          </w:p>
        </w:tc>
        <w:tc>
          <w:tcPr>
            <w:tcW w:w="110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Registered</w:t>
            </w:r>
          </w:p>
        </w:tc>
        <w:tc>
          <w:tcPr>
            <w:tcW w:w="0" w:type="dxa"/>
            <w:vAlign w:val="bottom"/>
          </w:tcPr>
          <w:p>
            <w:pPr>
              <w:spacing w:after="0"/>
              <w:rPr>
                <w:sz w:val="1"/>
                <w:szCs w:val="1"/>
                <w:color w:val="auto"/>
              </w:rPr>
            </w:pPr>
          </w:p>
        </w:tc>
      </w:tr>
      <w:tr>
        <w:trPr>
          <w:trHeight w:val="162"/>
        </w:trPr>
        <w:tc>
          <w:tcPr>
            <w:tcW w:w="1120" w:type="dxa"/>
            <w:vAlign w:val="bottom"/>
            <w:tcBorders>
              <w:left w:val="single" w:sz="8" w:color="auto"/>
              <w:right w:val="single" w:sz="8" w:color="auto"/>
            </w:tcBorders>
          </w:tcPr>
          <w:p>
            <w:pPr>
              <w:ind w:left="80"/>
              <w:spacing w:after="0" w:line="162" w:lineRule="exact"/>
              <w:rPr>
                <w:sz w:val="20"/>
                <w:szCs w:val="20"/>
                <w:color w:val="auto"/>
              </w:rPr>
            </w:pPr>
            <w:r>
              <w:rPr>
                <w:rFonts w:ascii="Arial" w:cs="Arial" w:eastAsia="Arial" w:hAnsi="Arial"/>
                <w:sz w:val="17"/>
                <w:szCs w:val="17"/>
                <w:color w:val="auto"/>
              </w:rPr>
              <w:t>Downs</w:t>
            </w:r>
          </w:p>
        </w:tc>
        <w:tc>
          <w:tcPr>
            <w:tcW w:w="122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7"/>
                <w:szCs w:val="17"/>
                <w:color w:val="auto"/>
              </w:rPr>
              <w:t>America</w:t>
            </w:r>
          </w:p>
        </w:tc>
        <w:tc>
          <w:tcPr>
            <w:tcW w:w="108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7"/>
                <w:szCs w:val="17"/>
                <w:color w:val="auto"/>
              </w:rPr>
              <w:t>Louisiana</w:t>
            </w:r>
          </w:p>
        </w:tc>
        <w:tc>
          <w:tcPr>
            <w:tcW w:w="108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7"/>
                <w:szCs w:val="17"/>
                <w:color w:val="auto"/>
              </w:rPr>
              <w:t>Louisiana</w:t>
            </w:r>
          </w:p>
        </w:tc>
        <w:tc>
          <w:tcPr>
            <w:tcW w:w="114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(Block)</w:t>
            </w:r>
          </w:p>
        </w:tc>
        <w:tc>
          <w:tcPr>
            <w:tcW w:w="122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Downs</w:t>
            </w:r>
          </w:p>
        </w:tc>
        <w:tc>
          <w:tcPr>
            <w:tcW w:w="108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Downs</w:t>
            </w:r>
          </w:p>
        </w:tc>
        <w:tc>
          <w:tcPr>
            <w:tcW w:w="114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20" w:type="dxa"/>
            <w:vAlign w:val="bottom"/>
            <w:tcBorders>
              <w:left w:val="single" w:sz="8" w:color="auto"/>
              <w:right w:val="single" w:sz="8" w:color="auto"/>
            </w:tcBorders>
          </w:tcPr>
          <w:p>
            <w:pPr>
              <w:ind w:left="80"/>
              <w:spacing w:after="0" w:line="155" w:lineRule="exact"/>
              <w:rPr>
                <w:sz w:val="20"/>
                <w:szCs w:val="20"/>
                <w:color w:val="auto"/>
              </w:rPr>
            </w:pPr>
            <w:r>
              <w:rPr>
                <w:rFonts w:ascii="Arial" w:cs="Arial" w:eastAsia="Arial" w:hAnsi="Arial"/>
                <w:sz w:val="17"/>
                <w:szCs w:val="17"/>
                <w:color w:val="auto"/>
              </w:rPr>
              <w:t>Louisiana</w:t>
            </w:r>
          </w:p>
        </w:tc>
        <w:tc>
          <w:tcPr>
            <w:tcW w:w="122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w w:val="92"/>
              </w:rPr>
              <w:t>United States of</w:t>
            </w:r>
          </w:p>
        </w:tc>
        <w:tc>
          <w:tcPr>
            <w:tcW w:w="108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Harrah’s /</w:t>
            </w:r>
          </w:p>
        </w:tc>
        <w:tc>
          <w:tcPr>
            <w:tcW w:w="108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Specific</w:t>
            </w:r>
          </w:p>
        </w:tc>
        <w:tc>
          <w:tcPr>
            <w:tcW w:w="108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Harrah’s</w:t>
            </w:r>
          </w:p>
        </w:tc>
        <w:tc>
          <w:tcPr>
            <w:tcW w:w="114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78/199756</w:t>
            </w:r>
          </w:p>
        </w:tc>
        <w:tc>
          <w:tcPr>
            <w:tcW w:w="116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1/3/2003</w:t>
            </w:r>
          </w:p>
        </w:tc>
        <w:tc>
          <w:tcPr>
            <w:tcW w:w="114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2791383</w:t>
            </w:r>
          </w:p>
        </w:tc>
        <w:tc>
          <w:tcPr>
            <w:tcW w:w="114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12/9/2003</w:t>
            </w:r>
          </w:p>
        </w:tc>
        <w:tc>
          <w:tcPr>
            <w:tcW w:w="110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Registered</w:t>
            </w:r>
          </w:p>
        </w:tc>
        <w:tc>
          <w:tcPr>
            <w:tcW w:w="0" w:type="dxa"/>
            <w:vAlign w:val="bottom"/>
          </w:tcPr>
          <w:p>
            <w:pPr>
              <w:spacing w:after="0"/>
              <w:rPr>
                <w:sz w:val="1"/>
                <w:szCs w:val="1"/>
                <w:color w:val="auto"/>
              </w:rPr>
            </w:pPr>
          </w:p>
        </w:tc>
      </w:tr>
      <w:tr>
        <w:trPr>
          <w:trHeight w:val="162"/>
        </w:trPr>
        <w:tc>
          <w:tcPr>
            <w:tcW w:w="1120" w:type="dxa"/>
            <w:vAlign w:val="bottom"/>
            <w:tcBorders>
              <w:left w:val="single" w:sz="8" w:color="auto"/>
              <w:right w:val="single" w:sz="8" w:color="auto"/>
            </w:tcBorders>
          </w:tcPr>
          <w:p>
            <w:pPr>
              <w:ind w:left="80"/>
              <w:spacing w:after="0" w:line="162" w:lineRule="exact"/>
              <w:rPr>
                <w:sz w:val="20"/>
                <w:szCs w:val="20"/>
                <w:color w:val="auto"/>
              </w:rPr>
            </w:pPr>
            <w:r>
              <w:rPr>
                <w:rFonts w:ascii="Arial" w:cs="Arial" w:eastAsia="Arial" w:hAnsi="Arial"/>
                <w:sz w:val="17"/>
                <w:szCs w:val="17"/>
                <w:color w:val="auto"/>
              </w:rPr>
              <w:t>Downs</w:t>
            </w:r>
          </w:p>
        </w:tc>
        <w:tc>
          <w:tcPr>
            <w:tcW w:w="122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7"/>
                <w:szCs w:val="17"/>
                <w:color w:val="auto"/>
              </w:rPr>
              <w:t>America</w:t>
            </w:r>
          </w:p>
        </w:tc>
        <w:tc>
          <w:tcPr>
            <w:tcW w:w="108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7"/>
                <w:szCs w:val="17"/>
                <w:color w:val="auto"/>
              </w:rPr>
              <w:t>Louisiana</w:t>
            </w:r>
          </w:p>
        </w:tc>
        <w:tc>
          <w:tcPr>
            <w:tcW w:w="108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7"/>
                <w:szCs w:val="17"/>
                <w:color w:val="auto"/>
              </w:rPr>
              <w:t>Louisiana</w:t>
            </w:r>
          </w:p>
        </w:tc>
        <w:tc>
          <w:tcPr>
            <w:tcW w:w="114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tcBorders>
              <w:left w:val="single" w:sz="8" w:color="auto"/>
              <w:right w:val="single" w:sz="8" w:color="auto"/>
            </w:tcBorders>
          </w:tcPr>
          <w:p>
            <w:pPr>
              <w:ind w:left="80"/>
              <w:spacing w:after="0" w:line="162" w:lineRule="exact"/>
              <w:rPr>
                <w:sz w:val="20"/>
                <w:szCs w:val="20"/>
                <w:color w:val="auto"/>
              </w:rPr>
            </w:pPr>
            <w:r>
              <w:rPr>
                <w:rFonts w:ascii="Arial" w:cs="Arial" w:eastAsia="Arial" w:hAnsi="Arial"/>
                <w:sz w:val="17"/>
                <w:szCs w:val="17"/>
                <w:color w:val="auto"/>
              </w:rPr>
              <w:t>Racing</w:t>
            </w:r>
          </w:p>
        </w:tc>
        <w:tc>
          <w:tcPr>
            <w:tcW w:w="122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7"/>
                <w:szCs w:val="17"/>
                <w:color w:val="auto"/>
              </w:rPr>
              <w:t>Downs</w:t>
            </w:r>
          </w:p>
        </w:tc>
        <w:tc>
          <w:tcPr>
            <w:tcW w:w="108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7"/>
                <w:szCs w:val="17"/>
                <w:color w:val="auto"/>
              </w:rPr>
              <w:t>Downs</w:t>
            </w:r>
          </w:p>
        </w:tc>
        <w:tc>
          <w:tcPr>
            <w:tcW w:w="114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20" w:type="dxa"/>
            <w:vAlign w:val="bottom"/>
            <w:tcBorders>
              <w:left w:val="single" w:sz="8" w:color="auto"/>
              <w:right w:val="single" w:sz="8" w:color="auto"/>
            </w:tcBorders>
          </w:tcPr>
          <w:p>
            <w:pPr>
              <w:ind w:left="80"/>
              <w:spacing w:after="0" w:line="162" w:lineRule="exact"/>
              <w:rPr>
                <w:sz w:val="20"/>
                <w:szCs w:val="20"/>
                <w:color w:val="auto"/>
              </w:rPr>
            </w:pPr>
            <w:r>
              <w:rPr>
                <w:rFonts w:ascii="Arial" w:cs="Arial" w:eastAsia="Arial" w:hAnsi="Arial"/>
                <w:sz w:val="17"/>
                <w:szCs w:val="17"/>
                <w:color w:val="auto"/>
              </w:rPr>
              <w:t>Horses</w:t>
            </w:r>
          </w:p>
        </w:tc>
        <w:tc>
          <w:tcPr>
            <w:tcW w:w="122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(Design)</w:t>
            </w:r>
          </w:p>
        </w:tc>
        <w:tc>
          <w:tcPr>
            <w:tcW w:w="122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120" w:type="dxa"/>
            <w:vAlign w:val="bottom"/>
            <w:tcBorders>
              <w:left w:val="single" w:sz="8" w:color="auto"/>
              <w:right w:val="single" w:sz="8" w:color="auto"/>
            </w:tcBorders>
          </w:tcPr>
          <w:p>
            <w:pPr>
              <w:ind w:left="80"/>
              <w:spacing w:after="0" w:line="155" w:lineRule="exact"/>
              <w:rPr>
                <w:sz w:val="20"/>
                <w:szCs w:val="20"/>
                <w:color w:val="auto"/>
              </w:rPr>
            </w:pPr>
            <w:r>
              <w:rPr>
                <w:rFonts w:ascii="Arial" w:cs="Arial" w:eastAsia="Arial" w:hAnsi="Arial"/>
                <w:sz w:val="17"/>
                <w:szCs w:val="17"/>
                <w:color w:val="auto"/>
              </w:rPr>
              <w:t>Super Derby</w:t>
            </w:r>
          </w:p>
        </w:tc>
        <w:tc>
          <w:tcPr>
            <w:tcW w:w="122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w w:val="92"/>
              </w:rPr>
              <w:t>United States of</w:t>
            </w:r>
          </w:p>
        </w:tc>
        <w:tc>
          <w:tcPr>
            <w:tcW w:w="108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Harrah’s /</w:t>
            </w:r>
          </w:p>
        </w:tc>
        <w:tc>
          <w:tcPr>
            <w:tcW w:w="108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Specific</w:t>
            </w:r>
          </w:p>
        </w:tc>
        <w:tc>
          <w:tcPr>
            <w:tcW w:w="108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Harrah’s</w:t>
            </w:r>
          </w:p>
        </w:tc>
        <w:tc>
          <w:tcPr>
            <w:tcW w:w="114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78/199798</w:t>
            </w:r>
          </w:p>
        </w:tc>
        <w:tc>
          <w:tcPr>
            <w:tcW w:w="116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1/3/2003</w:t>
            </w:r>
          </w:p>
        </w:tc>
        <w:tc>
          <w:tcPr>
            <w:tcW w:w="114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2788933</w:t>
            </w:r>
          </w:p>
        </w:tc>
        <w:tc>
          <w:tcPr>
            <w:tcW w:w="114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12/2/2003</w:t>
            </w:r>
          </w:p>
        </w:tc>
        <w:tc>
          <w:tcPr>
            <w:tcW w:w="1100" w:type="dxa"/>
            <w:vAlign w:val="bottom"/>
            <w:tcBorders>
              <w:right w:val="single" w:sz="8" w:color="auto"/>
            </w:tcBorders>
          </w:tcPr>
          <w:p>
            <w:pPr>
              <w:ind w:left="60"/>
              <w:spacing w:after="0" w:line="155" w:lineRule="exact"/>
              <w:rPr>
                <w:sz w:val="20"/>
                <w:szCs w:val="20"/>
                <w:color w:val="auto"/>
              </w:rPr>
            </w:pPr>
            <w:r>
              <w:rPr>
                <w:rFonts w:ascii="Arial" w:cs="Arial" w:eastAsia="Arial" w:hAnsi="Arial"/>
                <w:sz w:val="17"/>
                <w:szCs w:val="17"/>
                <w:color w:val="auto"/>
              </w:rPr>
              <w:t>Registered</w:t>
            </w:r>
          </w:p>
        </w:tc>
        <w:tc>
          <w:tcPr>
            <w:tcW w:w="0" w:type="dxa"/>
            <w:vAlign w:val="bottom"/>
          </w:tcPr>
          <w:p>
            <w:pPr>
              <w:spacing w:after="0"/>
              <w:rPr>
                <w:sz w:val="1"/>
                <w:szCs w:val="1"/>
                <w:color w:val="auto"/>
              </w:rPr>
            </w:pPr>
          </w:p>
        </w:tc>
      </w:tr>
      <w:tr>
        <w:trPr>
          <w:trHeight w:val="162"/>
        </w:trPr>
        <w:tc>
          <w:tcPr>
            <w:tcW w:w="1120" w:type="dxa"/>
            <w:vAlign w:val="bottom"/>
            <w:tcBorders>
              <w:left w:val="single" w:sz="8" w:color="auto"/>
              <w:right w:val="single" w:sz="8" w:color="auto"/>
            </w:tcBorders>
          </w:tcPr>
          <w:p>
            <w:pPr>
              <w:ind w:left="80"/>
              <w:spacing w:after="0" w:line="162" w:lineRule="exact"/>
              <w:rPr>
                <w:sz w:val="20"/>
                <w:szCs w:val="20"/>
                <w:color w:val="auto"/>
              </w:rPr>
            </w:pPr>
            <w:r>
              <w:rPr>
                <w:rFonts w:ascii="Arial" w:cs="Arial" w:eastAsia="Arial" w:hAnsi="Arial"/>
                <w:sz w:val="17"/>
                <w:szCs w:val="17"/>
                <w:color w:val="auto"/>
              </w:rPr>
              <w:t>(Block)</w:t>
            </w:r>
          </w:p>
        </w:tc>
        <w:tc>
          <w:tcPr>
            <w:tcW w:w="122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7"/>
                <w:szCs w:val="17"/>
                <w:color w:val="auto"/>
              </w:rPr>
              <w:t>America</w:t>
            </w:r>
          </w:p>
        </w:tc>
        <w:tc>
          <w:tcPr>
            <w:tcW w:w="108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7"/>
                <w:szCs w:val="17"/>
                <w:color w:val="auto"/>
              </w:rPr>
              <w:t>Louisiana</w:t>
            </w:r>
          </w:p>
        </w:tc>
        <w:tc>
          <w:tcPr>
            <w:tcW w:w="108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ind w:left="60"/>
              <w:spacing w:after="0" w:line="162" w:lineRule="exact"/>
              <w:rPr>
                <w:sz w:val="20"/>
                <w:szCs w:val="20"/>
                <w:color w:val="auto"/>
              </w:rPr>
            </w:pPr>
            <w:r>
              <w:rPr>
                <w:rFonts w:ascii="Arial" w:cs="Arial" w:eastAsia="Arial" w:hAnsi="Arial"/>
                <w:sz w:val="17"/>
                <w:szCs w:val="17"/>
                <w:color w:val="auto"/>
              </w:rPr>
              <w:t>Louisiana</w:t>
            </w:r>
          </w:p>
        </w:tc>
        <w:tc>
          <w:tcPr>
            <w:tcW w:w="114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20" w:type="dxa"/>
            <w:vAlign w:val="bottom"/>
            <w:tcBorders>
              <w:left w:val="single" w:sz="8" w:color="auto"/>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Downs</w:t>
            </w:r>
          </w:p>
        </w:tc>
        <w:tc>
          <w:tcPr>
            <w:tcW w:w="108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Downs</w:t>
            </w:r>
          </w:p>
        </w:tc>
        <w:tc>
          <w:tcPr>
            <w:tcW w:w="114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1" w:lineRule="exact"/>
        <w:rPr>
          <w:sz w:val="20"/>
          <w:szCs w:val="20"/>
          <w:color w:val="auto"/>
        </w:rPr>
      </w:pPr>
    </w:p>
    <w:tbl>
      <w:tblPr>
        <w:tblLayout w:type="fixed"/>
        <w:tblInd w:w="90" w:type="dxa"/>
        <w:tblCellMar>
          <w:top w:w="0" w:type="dxa"/>
          <w:left w:w="0" w:type="dxa"/>
          <w:bottom w:w="0" w:type="dxa"/>
          <w:right w:w="0" w:type="dxa"/>
        </w:tblCellMar>
      </w:tblPr>
      <w:tr>
        <w:trPr>
          <w:trHeight w:val="283"/>
        </w:trPr>
        <w:tc>
          <w:tcPr>
            <w:tcW w:w="3680" w:type="dxa"/>
            <w:vAlign w:val="bottom"/>
            <w:tcBorders>
              <w:top w:val="single" w:sz="8" w:color="auto"/>
              <w:left w:val="single" w:sz="8" w:color="auto"/>
              <w:bottom w:val="single" w:sz="8" w:color="auto"/>
              <w:right w:val="single" w:sz="8" w:color="auto"/>
            </w:tcBorders>
            <w:shd w:val="clear" w:color="auto" w:fill="D9D9D9"/>
          </w:tcPr>
          <w:p>
            <w:pPr>
              <w:ind w:left="40"/>
              <w:spacing w:after="0"/>
              <w:rPr>
                <w:sz w:val="20"/>
                <w:szCs w:val="20"/>
                <w:color w:val="auto"/>
              </w:rPr>
            </w:pPr>
            <w:r>
              <w:rPr>
                <w:rFonts w:ascii="Arial" w:cs="Arial" w:eastAsia="Arial" w:hAnsi="Arial"/>
                <w:sz w:val="22"/>
                <w:szCs w:val="22"/>
                <w:color w:val="auto"/>
              </w:rPr>
              <w:t>Domain Name</w:t>
            </w:r>
          </w:p>
        </w:tc>
        <w:tc>
          <w:tcPr>
            <w:tcW w:w="3160" w:type="dxa"/>
            <w:vAlign w:val="bottom"/>
            <w:tcBorders>
              <w:top w:val="single" w:sz="8" w:color="auto"/>
              <w:bottom w:val="single" w:sz="8" w:color="auto"/>
              <w:right w:val="single" w:sz="8" w:color="auto"/>
            </w:tcBorders>
            <w:shd w:val="clear" w:color="auto" w:fill="D9D9D9"/>
          </w:tcPr>
          <w:p>
            <w:pPr>
              <w:spacing w:after="0"/>
              <w:rPr>
                <w:sz w:val="20"/>
                <w:szCs w:val="20"/>
                <w:color w:val="auto"/>
              </w:rPr>
            </w:pPr>
            <w:r>
              <w:rPr>
                <w:rFonts w:ascii="Arial" w:cs="Arial" w:eastAsia="Arial" w:hAnsi="Arial"/>
                <w:sz w:val="22"/>
                <w:szCs w:val="22"/>
                <w:color w:val="auto"/>
              </w:rPr>
              <w:t>Brand</w:t>
            </w:r>
          </w:p>
        </w:tc>
        <w:tc>
          <w:tcPr>
            <w:tcW w:w="2020" w:type="dxa"/>
            <w:vAlign w:val="bottom"/>
            <w:tcBorders>
              <w:top w:val="single" w:sz="8" w:color="auto"/>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22"/>
                <w:szCs w:val="22"/>
                <w:color w:val="auto"/>
              </w:rPr>
              <w:t>Reg. Date</w:t>
            </w:r>
          </w:p>
        </w:tc>
        <w:tc>
          <w:tcPr>
            <w:tcW w:w="2300" w:type="dxa"/>
            <w:vAlign w:val="bottom"/>
            <w:tcBorders>
              <w:top w:val="single" w:sz="8" w:color="auto"/>
              <w:bottom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22"/>
                <w:szCs w:val="22"/>
                <w:color w:val="auto"/>
              </w:rPr>
              <w:t>Registry Expiry Date</w:t>
            </w:r>
          </w:p>
        </w:tc>
      </w:tr>
      <w:tr>
        <w:trPr>
          <w:trHeight w:val="263"/>
        </w:trPr>
        <w:tc>
          <w:tcPr>
            <w:tcW w:w="36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ladowns.com</w:t>
            </w: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Louisiana Downs</w:t>
            </w:r>
          </w:p>
        </w:tc>
        <w:tc>
          <w:tcPr>
            <w:tcW w:w="2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1995-07-24</w:t>
            </w:r>
          </w:p>
        </w:tc>
        <w:tc>
          <w:tcPr>
            <w:tcW w:w="2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2021-07-23</w:t>
            </w:r>
          </w:p>
        </w:tc>
      </w:tr>
      <w:tr>
        <w:trPr>
          <w:trHeight w:val="264"/>
        </w:trPr>
        <w:tc>
          <w:tcPr>
            <w:tcW w:w="36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louisianadown.com</w:t>
            </w: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Louisiana Downs</w:t>
            </w:r>
          </w:p>
        </w:tc>
        <w:tc>
          <w:tcPr>
            <w:tcW w:w="2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2003-01-28</w:t>
            </w:r>
          </w:p>
        </w:tc>
        <w:tc>
          <w:tcPr>
            <w:tcW w:w="2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2022-01-28</w:t>
            </w:r>
          </w:p>
        </w:tc>
      </w:tr>
    </w:tbl>
    <w:p>
      <w:pPr>
        <w:spacing w:after="0" w:line="200" w:lineRule="exact"/>
        <w:rPr>
          <w:sz w:val="20"/>
          <w:szCs w:val="20"/>
          <w:color w:val="auto"/>
        </w:rPr>
      </w:pPr>
    </w:p>
    <w:p>
      <w:pPr>
        <w:spacing w:after="0" w:line="319" w:lineRule="exact"/>
        <w:rPr>
          <w:sz w:val="20"/>
          <w:szCs w:val="20"/>
          <w:color w:val="auto"/>
        </w:rPr>
      </w:pPr>
    </w:p>
    <w:p>
      <w:pPr>
        <w:ind w:left="1300" w:right="20" w:hanging="320"/>
        <w:spacing w:after="0" w:line="250" w:lineRule="auto"/>
        <w:tabs>
          <w:tab w:leader="none" w:pos="1278" w:val="left"/>
        </w:tabs>
        <w:numPr>
          <w:ilvl w:val="0"/>
          <w:numId w:val="133"/>
        </w:numPr>
        <w:rPr>
          <w:rFonts w:ascii="Arial" w:cs="Arial" w:eastAsia="Arial" w:hAnsi="Arial"/>
          <w:sz w:val="22"/>
          <w:szCs w:val="22"/>
          <w:color w:val="auto"/>
        </w:rPr>
      </w:pPr>
      <w:r>
        <w:rPr>
          <w:rFonts w:ascii="Arial" w:cs="Arial" w:eastAsia="Arial" w:hAnsi="Arial"/>
          <w:sz w:val="22"/>
          <w:szCs w:val="22"/>
          <w:u w:val="single" w:color="auto"/>
          <w:color w:val="auto"/>
        </w:rPr>
        <w:t>Description of Title Policies</w:t>
      </w:r>
      <w:r>
        <w:rPr>
          <w:rFonts w:ascii="Arial" w:cs="Arial" w:eastAsia="Arial" w:hAnsi="Arial"/>
          <w:sz w:val="22"/>
          <w:szCs w:val="22"/>
          <w:color w:val="auto"/>
        </w:rPr>
        <w:t xml:space="preserve">. The list of Title Policies set forth on </w:t>
      </w:r>
      <w:r>
        <w:rPr>
          <w:rFonts w:ascii="Arial" w:cs="Arial" w:eastAsia="Arial" w:hAnsi="Arial"/>
          <w:sz w:val="22"/>
          <w:szCs w:val="22"/>
          <w:u w:val="single" w:color="auto"/>
          <w:color w:val="auto"/>
        </w:rPr>
        <w:t>Exhibit J</w:t>
      </w:r>
      <w:r>
        <w:rPr>
          <w:rFonts w:ascii="Arial" w:cs="Arial" w:eastAsia="Arial" w:hAnsi="Arial"/>
          <w:sz w:val="22"/>
          <w:szCs w:val="22"/>
          <w:color w:val="auto"/>
        </w:rPr>
        <w:t xml:space="preserve"> annexed to the Lease is hereby amended such that the reference thereon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60"/>
          </w:cols>
          <w:pgMar w:left="320" w:top="1440" w:right="319" w:bottom="1440" w:gutter="0" w:footer="0" w:header="0"/>
        </w:sectPr>
      </w:pPr>
    </w:p>
    <w:bookmarkStart w:id="172" w:name="page173"/>
    <w:bookmarkEnd w:id="172"/>
    <w:p>
      <w:pPr>
        <w:ind w:left="1300"/>
        <w:spacing w:after="0"/>
        <w:rPr>
          <w:sz w:val="20"/>
          <w:szCs w:val="20"/>
          <w:color w:val="auto"/>
        </w:rPr>
      </w:pPr>
      <w:r>
        <w:rPr>
          <w:rFonts w:ascii="Arial" w:cs="Arial" w:eastAsia="Arial" w:hAnsi="Arial"/>
          <w:sz w:val="22"/>
          <w:szCs w:val="22"/>
          <w:color w:val="auto"/>
        </w:rPr>
        <w:t xml:space="preserve">Title Policy relating solely to the LAD Facility is hereby deleted from said </w:t>
      </w:r>
      <w:r>
        <w:rPr>
          <w:rFonts w:ascii="Arial" w:cs="Arial" w:eastAsia="Arial" w:hAnsi="Arial"/>
          <w:sz w:val="22"/>
          <w:szCs w:val="22"/>
          <w:u w:val="single" w:color="auto"/>
          <w:color w:val="auto"/>
        </w:rPr>
        <w:t>Exhibit J</w:t>
      </w:r>
      <w:r>
        <w:rPr>
          <w:rFonts w:ascii="Arial" w:cs="Arial" w:eastAsia="Arial" w:hAnsi="Arial"/>
          <w:sz w:val="22"/>
          <w:szCs w:val="22"/>
          <w:color w:val="auto"/>
        </w:rPr>
        <w:t>.</w:t>
      </w:r>
    </w:p>
    <w:p>
      <w:pPr>
        <w:spacing w:after="0" w:line="206" w:lineRule="exact"/>
        <w:rPr>
          <w:sz w:val="20"/>
          <w:szCs w:val="20"/>
          <w:color w:val="auto"/>
        </w:rPr>
      </w:pPr>
    </w:p>
    <w:p>
      <w:pPr>
        <w:ind w:left="1300" w:hanging="320"/>
        <w:spacing w:after="0" w:line="328" w:lineRule="auto"/>
        <w:tabs>
          <w:tab w:leader="none" w:pos="1286" w:val="left"/>
        </w:tabs>
        <w:numPr>
          <w:ilvl w:val="1"/>
          <w:numId w:val="134"/>
        </w:numPr>
        <w:rPr>
          <w:rFonts w:ascii="Arial" w:cs="Arial" w:eastAsia="Arial" w:hAnsi="Arial"/>
          <w:sz w:val="19"/>
          <w:szCs w:val="19"/>
          <w:color w:val="auto"/>
        </w:rPr>
      </w:pPr>
      <w:r>
        <w:rPr>
          <w:rFonts w:ascii="Arial" w:cs="Arial" w:eastAsia="Arial" w:hAnsi="Arial"/>
          <w:sz w:val="19"/>
          <w:szCs w:val="19"/>
          <w:u w:val="single" w:color="auto"/>
          <w:color w:val="auto"/>
        </w:rPr>
        <w:t>Managed Facilities IP Trademarks</w:t>
      </w:r>
      <w:r>
        <w:rPr>
          <w:rFonts w:ascii="Arial" w:cs="Arial" w:eastAsia="Arial" w:hAnsi="Arial"/>
          <w:sz w:val="19"/>
          <w:szCs w:val="19"/>
          <w:color w:val="auto"/>
        </w:rPr>
        <w:t xml:space="preserve">. The list of Managed Facilities IP set forth on </w:t>
      </w:r>
      <w:r>
        <w:rPr>
          <w:rFonts w:ascii="Arial" w:cs="Arial" w:eastAsia="Arial" w:hAnsi="Arial"/>
          <w:sz w:val="19"/>
          <w:szCs w:val="19"/>
          <w:u w:val="single" w:color="auto"/>
          <w:color w:val="auto"/>
        </w:rPr>
        <w:t>Exhibit P</w:t>
      </w:r>
      <w:r>
        <w:rPr>
          <w:rFonts w:ascii="Arial" w:cs="Arial" w:eastAsia="Arial" w:hAnsi="Arial"/>
          <w:sz w:val="19"/>
          <w:szCs w:val="19"/>
          <w:color w:val="auto"/>
        </w:rPr>
        <w:t xml:space="preserve"> annexed to the Lease is hereby amended such that “Harrah’s Bossier City (Louisiana Downs)” is hereby deleted from said </w:t>
      </w:r>
      <w:r>
        <w:rPr>
          <w:rFonts w:ascii="Arial" w:cs="Arial" w:eastAsia="Arial" w:hAnsi="Arial"/>
          <w:sz w:val="19"/>
          <w:szCs w:val="19"/>
          <w:u w:val="single" w:color="auto"/>
          <w:color w:val="auto"/>
        </w:rPr>
        <w:t>Exhibit P</w:t>
      </w:r>
      <w:r>
        <w:rPr>
          <w:rFonts w:ascii="Arial" w:cs="Arial" w:eastAsia="Arial" w:hAnsi="Arial"/>
          <w:sz w:val="19"/>
          <w:szCs w:val="19"/>
          <w:color w:val="auto"/>
        </w:rPr>
        <w:t>.</w:t>
      </w:r>
    </w:p>
    <w:p>
      <w:pPr>
        <w:spacing w:after="0" w:line="104" w:lineRule="exact"/>
        <w:rPr>
          <w:rFonts w:ascii="Arial" w:cs="Arial" w:eastAsia="Arial" w:hAnsi="Arial"/>
          <w:sz w:val="19"/>
          <w:szCs w:val="19"/>
          <w:color w:val="auto"/>
        </w:rPr>
      </w:pPr>
    </w:p>
    <w:p>
      <w:pPr>
        <w:jc w:val="both"/>
        <w:ind w:left="1300" w:hanging="320"/>
        <w:spacing w:after="0" w:line="257" w:lineRule="auto"/>
        <w:tabs>
          <w:tab w:leader="none" w:pos="1292" w:val="left"/>
        </w:tabs>
        <w:numPr>
          <w:ilvl w:val="1"/>
          <w:numId w:val="134"/>
        </w:numPr>
        <w:rPr>
          <w:rFonts w:ascii="Arial" w:cs="Arial" w:eastAsia="Arial" w:hAnsi="Arial"/>
          <w:sz w:val="21"/>
          <w:szCs w:val="21"/>
          <w:color w:val="auto"/>
        </w:rPr>
      </w:pPr>
      <w:r>
        <w:rPr>
          <w:rFonts w:ascii="Arial" w:cs="Arial" w:eastAsia="Arial" w:hAnsi="Arial"/>
          <w:sz w:val="21"/>
          <w:szCs w:val="21"/>
          <w:u w:val="single" w:color="auto"/>
          <w:color w:val="auto"/>
        </w:rPr>
        <w:t>Landlord Entities</w:t>
      </w:r>
      <w:r>
        <w:rPr>
          <w:rFonts w:ascii="Arial" w:cs="Arial" w:eastAsia="Arial" w:hAnsi="Arial"/>
          <w:sz w:val="21"/>
          <w:szCs w:val="21"/>
          <w:color w:val="auto"/>
        </w:rPr>
        <w:t xml:space="preserve">. The list of entities comprising Landlord set forth on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annexed to the Lease is hereby amended such that, from and after the date hereof, Harrah’s Bossier City LLC shall be deleted from said </w:t>
      </w:r>
      <w:r>
        <w:rPr>
          <w:rFonts w:ascii="Arial" w:cs="Arial" w:eastAsia="Arial" w:hAnsi="Arial"/>
          <w:sz w:val="21"/>
          <w:szCs w:val="21"/>
          <w:u w:val="single" w:color="auto"/>
          <w:color w:val="auto"/>
        </w:rPr>
        <w:t>Schedule</w:t>
      </w:r>
      <w:r>
        <w:rPr>
          <w:rFonts w:ascii="Arial" w:cs="Arial" w:eastAsia="Arial" w:hAnsi="Arial"/>
          <w:sz w:val="21"/>
          <w:szCs w:val="21"/>
          <w:color w:val="auto"/>
        </w:rPr>
        <w:t xml:space="preserve"> </w:t>
      </w:r>
      <w:r>
        <w:rPr>
          <w:rFonts w:ascii="Arial" w:cs="Arial" w:eastAsia="Arial" w:hAnsi="Arial"/>
          <w:sz w:val="21"/>
          <w:szCs w:val="21"/>
          <w:u w:val="single" w:color="auto"/>
          <w:color w:val="auto"/>
        </w:rPr>
        <w:t>A</w:t>
      </w:r>
      <w:r>
        <w:rPr>
          <w:rFonts w:ascii="Arial" w:cs="Arial" w:eastAsia="Arial" w:hAnsi="Arial"/>
          <w:sz w:val="21"/>
          <w:szCs w:val="21"/>
          <w:color w:val="auto"/>
        </w:rPr>
        <w:t xml:space="preserve"> and Harrah’s Bossier City LLC shall no longer be a Landlord under the Lease.</w:t>
      </w:r>
    </w:p>
    <w:p>
      <w:pPr>
        <w:spacing w:after="0" w:line="169" w:lineRule="exact"/>
        <w:rPr>
          <w:rFonts w:ascii="Arial" w:cs="Arial" w:eastAsia="Arial" w:hAnsi="Arial"/>
          <w:sz w:val="21"/>
          <w:szCs w:val="21"/>
          <w:color w:val="auto"/>
        </w:rPr>
      </w:pPr>
    </w:p>
    <w:p>
      <w:pPr>
        <w:jc w:val="both"/>
        <w:ind w:left="1300" w:hanging="320"/>
        <w:spacing w:after="0" w:line="238" w:lineRule="auto"/>
        <w:tabs>
          <w:tab w:leader="none" w:pos="1299" w:val="left"/>
        </w:tabs>
        <w:numPr>
          <w:ilvl w:val="1"/>
          <w:numId w:val="134"/>
        </w:numPr>
        <w:rPr>
          <w:rFonts w:ascii="Arial" w:cs="Arial" w:eastAsia="Arial" w:hAnsi="Arial"/>
          <w:sz w:val="22"/>
          <w:szCs w:val="22"/>
          <w:color w:val="auto"/>
        </w:rPr>
      </w:pPr>
      <w:r>
        <w:rPr>
          <w:rFonts w:ascii="Arial" w:cs="Arial" w:eastAsia="Arial" w:hAnsi="Arial"/>
          <w:sz w:val="22"/>
          <w:szCs w:val="22"/>
          <w:u w:val="single" w:color="auto"/>
          <w:color w:val="auto"/>
        </w:rPr>
        <w:t>Tenant Entities</w:t>
      </w:r>
      <w:r>
        <w:rPr>
          <w:rFonts w:ascii="Arial" w:cs="Arial" w:eastAsia="Arial" w:hAnsi="Arial"/>
          <w:sz w:val="22"/>
          <w:szCs w:val="22"/>
          <w:color w:val="auto"/>
        </w:rPr>
        <w:t xml:space="preserve">. The list of entities comprising Tenant set forth on </w:t>
      </w:r>
      <w:r>
        <w:rPr>
          <w:rFonts w:ascii="Arial" w:cs="Arial" w:eastAsia="Arial" w:hAnsi="Arial"/>
          <w:sz w:val="22"/>
          <w:szCs w:val="22"/>
          <w:u w:val="single" w:color="auto"/>
          <w:color w:val="auto"/>
        </w:rPr>
        <w:t>Schedule B</w:t>
      </w:r>
      <w:r>
        <w:rPr>
          <w:rFonts w:ascii="Arial" w:cs="Arial" w:eastAsia="Arial" w:hAnsi="Arial"/>
          <w:sz w:val="22"/>
          <w:szCs w:val="22"/>
          <w:color w:val="auto"/>
        </w:rPr>
        <w:t xml:space="preserve"> annexed to the Lease is hereby amended such that, from and after the date hereof, Harrah’s Bossier City Investment Company, L.L.C. shall be deleted from said </w:t>
      </w:r>
      <w:r>
        <w:rPr>
          <w:rFonts w:ascii="Arial" w:cs="Arial" w:eastAsia="Arial" w:hAnsi="Arial"/>
          <w:sz w:val="22"/>
          <w:szCs w:val="22"/>
          <w:u w:val="single" w:color="auto"/>
          <w:color w:val="auto"/>
        </w:rPr>
        <w:t>Schedule B</w:t>
      </w:r>
      <w:r>
        <w:rPr>
          <w:rFonts w:ascii="Arial" w:cs="Arial" w:eastAsia="Arial" w:hAnsi="Arial"/>
          <w:sz w:val="22"/>
          <w:szCs w:val="22"/>
          <w:color w:val="auto"/>
        </w:rPr>
        <w:t xml:space="preserve"> and Harrah’s Bossier City Investment Company, L.L.C. shall no longer be a Tenant under the Lease.</w:t>
      </w:r>
    </w:p>
    <w:p>
      <w:pPr>
        <w:spacing w:after="0" w:line="184" w:lineRule="exact"/>
        <w:rPr>
          <w:rFonts w:ascii="Arial" w:cs="Arial" w:eastAsia="Arial" w:hAnsi="Arial"/>
          <w:sz w:val="22"/>
          <w:szCs w:val="22"/>
          <w:color w:val="auto"/>
        </w:rPr>
      </w:pPr>
    </w:p>
    <w:p>
      <w:pPr>
        <w:jc w:val="both"/>
        <w:ind w:left="1300" w:hanging="320"/>
        <w:spacing w:after="0"/>
        <w:tabs>
          <w:tab w:leader="none" w:pos="1939" w:val="left"/>
        </w:tabs>
        <w:numPr>
          <w:ilvl w:val="1"/>
          <w:numId w:val="134"/>
        </w:numPr>
        <w:rPr>
          <w:rFonts w:ascii="Arial" w:cs="Arial" w:eastAsia="Arial" w:hAnsi="Arial"/>
          <w:sz w:val="22"/>
          <w:szCs w:val="22"/>
          <w:color w:val="auto"/>
        </w:rPr>
      </w:pPr>
      <w:r>
        <w:rPr>
          <w:rFonts w:ascii="Arial" w:cs="Arial" w:eastAsia="Arial" w:hAnsi="Arial"/>
          <w:sz w:val="22"/>
          <w:szCs w:val="22"/>
          <w:u w:val="single" w:color="auto"/>
          <w:color w:val="auto"/>
        </w:rPr>
        <w:t>Gaming Licenses</w:t>
      </w:r>
      <w:r>
        <w:rPr>
          <w:rFonts w:ascii="Arial" w:cs="Arial" w:eastAsia="Arial" w:hAnsi="Arial"/>
          <w:sz w:val="22"/>
          <w:szCs w:val="22"/>
          <w:color w:val="auto"/>
        </w:rPr>
        <w:t xml:space="preserve">. The list of Gaming Licenses set forth on </w:t>
      </w:r>
      <w:r>
        <w:rPr>
          <w:rFonts w:ascii="Arial" w:cs="Arial" w:eastAsia="Arial" w:hAnsi="Arial"/>
          <w:sz w:val="22"/>
          <w:szCs w:val="22"/>
          <w:u w:val="single" w:color="auto"/>
          <w:color w:val="auto"/>
        </w:rPr>
        <w:t>Schedule 1</w:t>
      </w:r>
      <w:r>
        <w:rPr>
          <w:rFonts w:ascii="Arial" w:cs="Arial" w:eastAsia="Arial" w:hAnsi="Arial"/>
          <w:sz w:val="22"/>
          <w:szCs w:val="22"/>
          <w:color w:val="auto"/>
        </w:rPr>
        <w:t xml:space="preserve"> annexed to the Lease is hereby amended such that the Gaming Licenses bearing Unique IDs 463 and 21-29849, in each case, relating to the LAD Facility are hereby deleted from said </w:t>
      </w:r>
      <w:r>
        <w:rPr>
          <w:rFonts w:ascii="Arial" w:cs="Arial" w:eastAsia="Arial" w:hAnsi="Arial"/>
          <w:sz w:val="22"/>
          <w:szCs w:val="22"/>
          <w:u w:val="single" w:color="auto"/>
          <w:color w:val="auto"/>
        </w:rPr>
        <w:t>Schedule 1</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jc w:val="both"/>
        <w:ind w:left="1300" w:hanging="320"/>
        <w:spacing w:after="0" w:line="257" w:lineRule="auto"/>
        <w:tabs>
          <w:tab w:leader="none" w:pos="1292" w:val="left"/>
        </w:tabs>
        <w:numPr>
          <w:ilvl w:val="1"/>
          <w:numId w:val="134"/>
        </w:numPr>
        <w:rPr>
          <w:rFonts w:ascii="Arial" w:cs="Arial" w:eastAsia="Arial" w:hAnsi="Arial"/>
          <w:sz w:val="21"/>
          <w:szCs w:val="21"/>
          <w:color w:val="auto"/>
        </w:rPr>
      </w:pPr>
      <w:r>
        <w:rPr>
          <w:rFonts w:ascii="Arial" w:cs="Arial" w:eastAsia="Arial" w:hAnsi="Arial"/>
          <w:sz w:val="21"/>
          <w:szCs w:val="21"/>
          <w:u w:val="single" w:color="auto"/>
          <w:color w:val="auto"/>
        </w:rPr>
        <w:t>Maximum Fixed Rent Term</w:t>
      </w:r>
      <w:r>
        <w:rPr>
          <w:rFonts w:ascii="Arial" w:cs="Arial" w:eastAsia="Arial" w:hAnsi="Arial"/>
          <w:sz w:val="21"/>
          <w:szCs w:val="21"/>
          <w:color w:val="auto"/>
        </w:rPr>
        <w:t xml:space="preserve">. The schedule setting forth the Maximum Fixed Rent Term with respect to each Facility set forth on </w:t>
      </w:r>
      <w:r>
        <w:rPr>
          <w:rFonts w:ascii="Arial" w:cs="Arial" w:eastAsia="Arial" w:hAnsi="Arial"/>
          <w:sz w:val="21"/>
          <w:szCs w:val="21"/>
          <w:u w:val="single" w:color="auto"/>
          <w:color w:val="auto"/>
        </w:rPr>
        <w:t>Schedule 3</w:t>
      </w:r>
      <w:r>
        <w:rPr>
          <w:rFonts w:ascii="Arial" w:cs="Arial" w:eastAsia="Arial" w:hAnsi="Arial"/>
          <w:sz w:val="21"/>
          <w:szCs w:val="21"/>
          <w:color w:val="auto"/>
        </w:rPr>
        <w:t xml:space="preserve"> annexed to the Lease is hereby amended such that the reference to “Harrah’s Bossier City (Louisiana Downs)” thereon is hereby deleted from said </w:t>
      </w:r>
      <w:r>
        <w:rPr>
          <w:rFonts w:ascii="Arial" w:cs="Arial" w:eastAsia="Arial" w:hAnsi="Arial"/>
          <w:sz w:val="21"/>
          <w:szCs w:val="21"/>
          <w:u w:val="single" w:color="auto"/>
          <w:color w:val="auto"/>
        </w:rPr>
        <w:t>Schedule 3</w:t>
      </w:r>
      <w:r>
        <w:rPr>
          <w:rFonts w:ascii="Arial" w:cs="Arial" w:eastAsia="Arial" w:hAnsi="Arial"/>
          <w:sz w:val="21"/>
          <w:szCs w:val="21"/>
          <w:color w:val="auto"/>
        </w:rPr>
        <w:t>.</w:t>
      </w:r>
    </w:p>
    <w:p>
      <w:pPr>
        <w:spacing w:after="0" w:line="169" w:lineRule="exact"/>
        <w:rPr>
          <w:rFonts w:ascii="Arial" w:cs="Arial" w:eastAsia="Arial" w:hAnsi="Arial"/>
          <w:sz w:val="21"/>
          <w:szCs w:val="21"/>
          <w:color w:val="auto"/>
        </w:rPr>
      </w:pPr>
    </w:p>
    <w:p>
      <w:pPr>
        <w:ind w:left="1300" w:right="20" w:hanging="320"/>
        <w:spacing w:after="0" w:line="328" w:lineRule="auto"/>
        <w:tabs>
          <w:tab w:leader="none" w:pos="1300" w:val="left"/>
        </w:tabs>
        <w:numPr>
          <w:ilvl w:val="1"/>
          <w:numId w:val="134"/>
        </w:numPr>
        <w:rPr>
          <w:rFonts w:ascii="Arial" w:cs="Arial" w:eastAsia="Arial" w:hAnsi="Arial"/>
          <w:sz w:val="19"/>
          <w:szCs w:val="19"/>
          <w:color w:val="auto"/>
        </w:rPr>
      </w:pPr>
      <w:r>
        <w:rPr>
          <w:rFonts w:ascii="Arial" w:cs="Arial" w:eastAsia="Arial" w:hAnsi="Arial"/>
          <w:sz w:val="19"/>
          <w:szCs w:val="19"/>
          <w:u w:val="single" w:color="auto"/>
          <w:color w:val="auto"/>
        </w:rPr>
        <w:t>Specified Subleases</w:t>
      </w:r>
      <w:r>
        <w:rPr>
          <w:rFonts w:ascii="Arial" w:cs="Arial" w:eastAsia="Arial" w:hAnsi="Arial"/>
          <w:sz w:val="19"/>
          <w:szCs w:val="19"/>
          <w:color w:val="auto"/>
        </w:rPr>
        <w:t xml:space="preserve">. The list of Specified Subleases set forth on </w:t>
      </w:r>
      <w:r>
        <w:rPr>
          <w:rFonts w:ascii="Arial" w:cs="Arial" w:eastAsia="Arial" w:hAnsi="Arial"/>
          <w:sz w:val="19"/>
          <w:szCs w:val="19"/>
          <w:u w:val="single" w:color="auto"/>
          <w:color w:val="auto"/>
        </w:rPr>
        <w:t>Schedule 4</w:t>
      </w:r>
      <w:r>
        <w:rPr>
          <w:rFonts w:ascii="Arial" w:cs="Arial" w:eastAsia="Arial" w:hAnsi="Arial"/>
          <w:sz w:val="19"/>
          <w:szCs w:val="19"/>
          <w:color w:val="auto"/>
        </w:rPr>
        <w:t xml:space="preserve"> annexed to the Lease is hereby amended such that the Specified Sublease bearing Contract ID No. 9388 is hereby deleted from said </w:t>
      </w:r>
      <w:r>
        <w:rPr>
          <w:rFonts w:ascii="Arial" w:cs="Arial" w:eastAsia="Arial" w:hAnsi="Arial"/>
          <w:sz w:val="19"/>
          <w:szCs w:val="19"/>
          <w:u w:val="single" w:color="auto"/>
          <w:color w:val="auto"/>
        </w:rPr>
        <w:t>Schedule 4</w:t>
      </w:r>
      <w:r>
        <w:rPr>
          <w:rFonts w:ascii="Arial" w:cs="Arial" w:eastAsia="Arial" w:hAnsi="Arial"/>
          <w:sz w:val="19"/>
          <w:szCs w:val="19"/>
          <w:color w:val="auto"/>
        </w:rPr>
        <w:t>.</w:t>
      </w:r>
    </w:p>
    <w:p>
      <w:pPr>
        <w:spacing w:after="0" w:line="85" w:lineRule="exact"/>
        <w:rPr>
          <w:rFonts w:ascii="Arial" w:cs="Arial" w:eastAsia="Arial" w:hAnsi="Arial"/>
          <w:sz w:val="19"/>
          <w:szCs w:val="19"/>
          <w:color w:val="auto"/>
        </w:rPr>
      </w:pPr>
    </w:p>
    <w:p>
      <w:pPr>
        <w:jc w:val="both"/>
        <w:ind w:firstLine="656"/>
        <w:spacing w:after="0" w:line="221" w:lineRule="auto"/>
        <w:tabs>
          <w:tab w:leader="none" w:pos="1296" w:val="left"/>
        </w:tabs>
        <w:numPr>
          <w:ilvl w:val="0"/>
          <w:numId w:val="135"/>
        </w:numPr>
        <w:rPr>
          <w:rFonts w:ascii="Arial" w:cs="Arial" w:eastAsia="Arial" w:hAnsi="Arial"/>
          <w:sz w:val="21"/>
          <w:szCs w:val="21"/>
          <w:color w:val="auto"/>
        </w:rPr>
      </w:pPr>
      <w:r>
        <w:rPr>
          <w:rFonts w:ascii="Arial" w:cs="Arial" w:eastAsia="Arial" w:hAnsi="Arial"/>
          <w:sz w:val="21"/>
          <w:szCs w:val="21"/>
          <w:b w:val="1"/>
          <w:bCs w:val="1"/>
          <w:u w:val="single" w:color="auto"/>
          <w:color w:val="auto"/>
        </w:rPr>
        <w:t>No Other Modification or Amendment to the Lease</w:t>
      </w:r>
      <w:r>
        <w:rPr>
          <w:rFonts w:ascii="Arial" w:cs="Arial" w:eastAsia="Arial" w:hAnsi="Arial"/>
          <w:sz w:val="21"/>
          <w:szCs w:val="21"/>
          <w:color w:val="auto"/>
        </w:rPr>
        <w:t>. The Lease shall remain in full force and effect except as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expressly amended or modified by this Amendment. From and after the date of this Amendment, all references in the Lease to the “Lease” shall be deemed to refer to the Lease as amended by this Amendment. For the avoidance of doubt, the Lease shall continue in full force and effect with respect to the balance of (x) the Facilities (other than (i) the portion of the Turfway Park Facility located upon the Turfway Park Parcel as of the Turfway Park Parcel Severance Date in accordance with </w:t>
      </w:r>
      <w:r>
        <w:rPr>
          <w:rFonts w:ascii="Arial" w:cs="Arial" w:eastAsia="Arial" w:hAnsi="Arial"/>
          <w:sz w:val="21"/>
          <w:szCs w:val="21"/>
          <w:u w:val="single" w:color="auto"/>
          <w:color w:val="auto"/>
        </w:rPr>
        <w:t>Section 2.A.</w:t>
      </w:r>
      <w:r>
        <w:rPr>
          <w:rFonts w:ascii="Arial" w:cs="Arial" w:eastAsia="Arial" w:hAnsi="Arial"/>
          <w:sz w:val="21"/>
          <w:szCs w:val="21"/>
          <w:color w:val="auto"/>
        </w:rPr>
        <w:t xml:space="preserve"> of this Amendment and (ii) the LAD Facility as of the date hereof in accordance with </w:t>
      </w:r>
      <w:r>
        <w:rPr>
          <w:rFonts w:ascii="Arial" w:cs="Arial" w:eastAsia="Arial" w:hAnsi="Arial"/>
          <w:sz w:val="21"/>
          <w:szCs w:val="21"/>
          <w:u w:val="single" w:color="auto"/>
          <w:color w:val="auto"/>
        </w:rPr>
        <w:t>Section 3.A.</w:t>
      </w:r>
      <w:r>
        <w:rPr>
          <w:rFonts w:ascii="Arial" w:cs="Arial" w:eastAsia="Arial" w:hAnsi="Arial"/>
          <w:sz w:val="21"/>
          <w:szCs w:val="21"/>
          <w:color w:val="auto"/>
        </w:rPr>
        <w:t xml:space="preserve"> of this Amendment) and (y) the Leased Property (other than (i) the Turfway Park Parcel as of the Turfway Park Parcel Severance Date in accordance with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2.A.</w:t>
      </w:r>
      <w:r>
        <w:rPr>
          <w:rFonts w:ascii="Arial" w:cs="Arial" w:eastAsia="Arial" w:hAnsi="Arial"/>
          <w:sz w:val="21"/>
          <w:szCs w:val="21"/>
          <w:color w:val="auto"/>
        </w:rPr>
        <w:t xml:space="preserve"> of this Amendment and (ii) the LAD Leased Property as of the date hereof in accordance with </w:t>
      </w:r>
      <w:r>
        <w:rPr>
          <w:rFonts w:ascii="Arial" w:cs="Arial" w:eastAsia="Arial" w:hAnsi="Arial"/>
          <w:sz w:val="21"/>
          <w:szCs w:val="21"/>
          <w:u w:val="single" w:color="auto"/>
          <w:color w:val="auto"/>
        </w:rPr>
        <w:t>Section 3.A.</w:t>
      </w:r>
      <w:r>
        <w:rPr>
          <w:rFonts w:ascii="Arial" w:cs="Arial" w:eastAsia="Arial" w:hAnsi="Arial"/>
          <w:sz w:val="21"/>
          <w:szCs w:val="21"/>
          <w:color w:val="auto"/>
        </w:rPr>
        <w:t xml:space="preserve"> of this Amendment).</w:t>
      </w:r>
    </w:p>
    <w:p>
      <w:pPr>
        <w:spacing w:after="0" w:line="158" w:lineRule="exact"/>
        <w:rPr>
          <w:rFonts w:ascii="Arial" w:cs="Arial" w:eastAsia="Arial" w:hAnsi="Arial"/>
          <w:sz w:val="21"/>
          <w:szCs w:val="21"/>
          <w:color w:val="auto"/>
        </w:rPr>
      </w:pPr>
    </w:p>
    <w:p>
      <w:pPr>
        <w:jc w:val="both"/>
        <w:ind w:firstLine="656"/>
        <w:spacing w:after="0" w:line="220" w:lineRule="auto"/>
        <w:tabs>
          <w:tab w:leader="none" w:pos="1296" w:val="left"/>
        </w:tabs>
        <w:numPr>
          <w:ilvl w:val="0"/>
          <w:numId w:val="135"/>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 Jurisdiction</w:t>
      </w:r>
      <w:r>
        <w:rPr>
          <w:rFonts w:ascii="Arial" w:cs="Arial" w:eastAsia="Arial" w:hAnsi="Arial"/>
          <w:sz w:val="22"/>
          <w:szCs w:val="22"/>
          <w:color w:val="auto"/>
        </w:rPr>
        <w:t>. This Amendment shall be construed according to and governed by the laws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jurisdiction(s) specified by the Lease without regard to its or their conflicts of law principles. The parties hereto hereby irrevocably submit to the jurisdiction of any court of competent jurisdiction located in such applicable jurisdiction in connection with any proceeding arising out of or relating to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14" w:right="339" w:bottom="1440" w:gutter="0" w:footer="0" w:header="0"/>
        </w:sectPr>
      </w:pPr>
    </w:p>
    <w:bookmarkStart w:id="173" w:name="page174"/>
    <w:bookmarkEnd w:id="173"/>
    <w:p>
      <w:pPr>
        <w:jc w:val="both"/>
        <w:ind w:firstLine="656"/>
        <w:spacing w:after="0" w:line="225" w:lineRule="auto"/>
        <w:tabs>
          <w:tab w:leader="none" w:pos="1296" w:val="left"/>
        </w:tabs>
        <w:numPr>
          <w:ilvl w:val="0"/>
          <w:numId w:val="136"/>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Amendment may be executed by one or more of the parties hereto on any number of separate</w:t>
      </w:r>
      <w:r>
        <w:rPr>
          <w:rFonts w:ascii="Arial" w:cs="Arial" w:eastAsia="Arial" w:hAnsi="Arial"/>
          <w:sz w:val="22"/>
          <w:szCs w:val="22"/>
          <w:b w:val="1"/>
          <w:bCs w:val="1"/>
          <w:color w:val="auto"/>
        </w:rPr>
        <w:t xml:space="preserve"> </w:t>
      </w:r>
      <w:r>
        <w:rPr>
          <w:rFonts w:ascii="Arial" w:cs="Arial" w:eastAsia="Arial" w:hAnsi="Arial"/>
          <w:sz w:val="22"/>
          <w:szCs w:val="22"/>
          <w:color w:val="auto"/>
        </w:rPr>
        <w:t>counterparts, and all of such counterparts taken together shall be deemed to constitute one and the same instrument. Facsimile and/or .pdf signatures shall be deemed to be originals for all purposes.</w:t>
      </w:r>
    </w:p>
    <w:p>
      <w:pPr>
        <w:spacing w:after="0" w:line="152" w:lineRule="exact"/>
        <w:rPr>
          <w:rFonts w:ascii="Arial" w:cs="Arial" w:eastAsia="Arial" w:hAnsi="Arial"/>
          <w:sz w:val="22"/>
          <w:szCs w:val="22"/>
          <w:color w:val="auto"/>
        </w:rPr>
      </w:pPr>
    </w:p>
    <w:p>
      <w:pPr>
        <w:ind w:firstLine="656"/>
        <w:spacing w:after="0" w:line="235" w:lineRule="auto"/>
        <w:tabs>
          <w:tab w:leader="none" w:pos="1296" w:val="left"/>
        </w:tabs>
        <w:numPr>
          <w:ilvl w:val="0"/>
          <w:numId w:val="136"/>
        </w:numPr>
        <w:rPr>
          <w:rFonts w:ascii="Arial" w:cs="Arial" w:eastAsia="Arial" w:hAnsi="Arial"/>
          <w:sz w:val="22"/>
          <w:szCs w:val="22"/>
          <w:color w:val="auto"/>
        </w:rPr>
      </w:pPr>
      <w:r>
        <w:rPr>
          <w:rFonts w:ascii="Arial" w:cs="Arial" w:eastAsia="Arial" w:hAnsi="Arial"/>
          <w:sz w:val="22"/>
          <w:szCs w:val="22"/>
          <w:b w:val="1"/>
          <w:bCs w:val="1"/>
          <w:u w:val="single" w:color="auto"/>
          <w:color w:val="auto"/>
        </w:rPr>
        <w:t>Effectiveness</w:t>
      </w:r>
      <w:r>
        <w:rPr>
          <w:rFonts w:ascii="Arial" w:cs="Arial" w:eastAsia="Arial" w:hAnsi="Arial"/>
          <w:sz w:val="22"/>
          <w:szCs w:val="22"/>
          <w:color w:val="auto"/>
        </w:rPr>
        <w:t>. This Amendment shall be effective, as of the date hereof, only upon execution and delivery by each</w:t>
      </w:r>
      <w:r>
        <w:rPr>
          <w:rFonts w:ascii="Arial" w:cs="Arial" w:eastAsia="Arial" w:hAnsi="Arial"/>
          <w:sz w:val="22"/>
          <w:szCs w:val="22"/>
          <w:b w:val="1"/>
          <w:bCs w:val="1"/>
          <w:color w:val="auto"/>
        </w:rPr>
        <w:t xml:space="preserve"> </w:t>
      </w:r>
      <w:r>
        <w:rPr>
          <w:rFonts w:ascii="Arial" w:cs="Arial" w:eastAsia="Arial" w:hAnsi="Arial"/>
          <w:sz w:val="22"/>
          <w:szCs w:val="22"/>
          <w:color w:val="auto"/>
        </w:rPr>
        <w:t>of the parties hereto.</w:t>
      </w:r>
    </w:p>
    <w:p>
      <w:pPr>
        <w:spacing w:after="0" w:line="152" w:lineRule="exact"/>
        <w:rPr>
          <w:rFonts w:ascii="Arial" w:cs="Arial" w:eastAsia="Arial" w:hAnsi="Arial"/>
          <w:sz w:val="22"/>
          <w:szCs w:val="22"/>
          <w:color w:val="auto"/>
        </w:rPr>
      </w:pPr>
    </w:p>
    <w:p>
      <w:pPr>
        <w:jc w:val="both"/>
        <w:ind w:firstLine="656"/>
        <w:spacing w:after="0" w:line="222" w:lineRule="auto"/>
        <w:tabs>
          <w:tab w:leader="none" w:pos="1296" w:val="left"/>
        </w:tabs>
        <w:numPr>
          <w:ilvl w:val="0"/>
          <w:numId w:val="136"/>
        </w:numPr>
        <w:rPr>
          <w:rFonts w:ascii="Arial" w:cs="Arial" w:eastAsia="Arial" w:hAnsi="Arial"/>
          <w:sz w:val="21"/>
          <w:szCs w:val="21"/>
          <w:color w:val="auto"/>
        </w:rPr>
      </w:pPr>
      <w:r>
        <w:rPr>
          <w:rFonts w:ascii="Arial" w:cs="Arial" w:eastAsia="Arial" w:hAnsi="Arial"/>
          <w:sz w:val="21"/>
          <w:szCs w:val="21"/>
          <w:b w:val="1"/>
          <w:bCs w:val="1"/>
          <w:u w:val="single" w:color="auto"/>
          <w:color w:val="auto"/>
        </w:rPr>
        <w:t>Miscellaneous</w:t>
      </w:r>
      <w:r>
        <w:rPr>
          <w:rFonts w:ascii="Arial" w:cs="Arial" w:eastAsia="Arial" w:hAnsi="Arial"/>
          <w:sz w:val="21"/>
          <w:szCs w:val="21"/>
          <w:color w:val="auto"/>
        </w:rPr>
        <w:t>. If any provision of this Amendment is adjudicated to be invalid, illegal or unenforceable, in whole</w:t>
      </w:r>
      <w:r>
        <w:rPr>
          <w:rFonts w:ascii="Arial" w:cs="Arial" w:eastAsia="Arial" w:hAnsi="Arial"/>
          <w:sz w:val="21"/>
          <w:szCs w:val="21"/>
          <w:b w:val="1"/>
          <w:bCs w:val="1"/>
          <w:color w:val="auto"/>
        </w:rPr>
        <w:t xml:space="preserve"> </w:t>
      </w:r>
      <w:r>
        <w:rPr>
          <w:rFonts w:ascii="Arial" w:cs="Arial" w:eastAsia="Arial" w:hAnsi="Arial"/>
          <w:sz w:val="21"/>
          <w:szCs w:val="21"/>
          <w:color w:val="auto"/>
        </w:rPr>
        <w:t>or in part, it will be deemed omitted to that extent and all other provisions of this Amendment will remain in full force and effect. Neither this Amendment nor any provision hereof may be changed, modified, waived, discharged or terminated orally, but only by an instrument in writing signed by the party against whom enforcement of such change, modification, waiver, discharge or termination is sought. The paragraph headings and captions contained in this Amendment are for convenience of reference only and in no event define, describe or limit the scope or intent of this Amendment or any of the provisions or terms hereof. This Amendment shall be binding upon and inure to the benefit of the parties and their respective heirs, legal representatives, successors and permitted assigns.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395" w:right="339" w:bottom="1440" w:gutter="0" w:footer="0" w:header="0"/>
        </w:sectPr>
      </w:pPr>
    </w:p>
    <w:bookmarkStart w:id="174" w:name="page175"/>
    <w:bookmarkEnd w:id="174"/>
    <w:p>
      <w:pPr>
        <w:ind w:firstLine="648"/>
        <w:spacing w:after="0" w:line="232" w:lineRule="auto"/>
        <w:rPr>
          <w:sz w:val="20"/>
          <w:szCs w:val="20"/>
          <w:color w:val="auto"/>
        </w:rPr>
      </w:pPr>
      <w:r>
        <w:rPr>
          <w:rFonts w:ascii="Arial" w:cs="Arial" w:eastAsia="Arial" w:hAnsi="Arial"/>
          <w:sz w:val="22"/>
          <w:szCs w:val="22"/>
          <w:color w:val="auto"/>
        </w:rPr>
        <w:t>IN WITNESS WHEREOF, the parties hereto have caused this Amendment to be duly executed by their duly authorized representatives, all as of the date hereof.</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LANDLORD:</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HORSESHOE COUNCIL BLUFFS LLC</w:t>
      </w:r>
    </w:p>
    <w:p>
      <w:pPr>
        <w:spacing w:after="0" w:line="204" w:lineRule="auto"/>
        <w:rPr>
          <w:sz w:val="20"/>
          <w:szCs w:val="20"/>
          <w:color w:val="auto"/>
        </w:rPr>
      </w:pPr>
      <w:r>
        <w:rPr>
          <w:rFonts w:ascii="Arial" w:cs="Arial" w:eastAsia="Arial" w:hAnsi="Arial"/>
          <w:sz w:val="22"/>
          <w:szCs w:val="22"/>
          <w:b w:val="1"/>
          <w:bCs w:val="1"/>
          <w:color w:val="auto"/>
        </w:rPr>
        <w:t>HARRAH’S COUNCIL BLUFFS LLC</w:t>
      </w:r>
    </w:p>
    <w:p>
      <w:pPr>
        <w:spacing w:after="0" w:line="205" w:lineRule="auto"/>
        <w:rPr>
          <w:sz w:val="20"/>
          <w:szCs w:val="20"/>
          <w:color w:val="auto"/>
        </w:rPr>
      </w:pPr>
      <w:r>
        <w:rPr>
          <w:rFonts w:ascii="Arial" w:cs="Arial" w:eastAsia="Arial" w:hAnsi="Arial"/>
          <w:sz w:val="22"/>
          <w:szCs w:val="22"/>
          <w:b w:val="1"/>
          <w:bCs w:val="1"/>
          <w:color w:val="auto"/>
        </w:rPr>
        <w:t>HARRAH’S METROPOLIS LLC</w:t>
      </w:r>
    </w:p>
    <w:p>
      <w:pPr>
        <w:spacing w:after="0" w:line="205" w:lineRule="auto"/>
        <w:rPr>
          <w:sz w:val="20"/>
          <w:szCs w:val="20"/>
          <w:color w:val="auto"/>
        </w:rPr>
      </w:pPr>
      <w:r>
        <w:rPr>
          <w:rFonts w:ascii="Arial" w:cs="Arial" w:eastAsia="Arial" w:hAnsi="Arial"/>
          <w:sz w:val="22"/>
          <w:szCs w:val="22"/>
          <w:b w:val="1"/>
          <w:bCs w:val="1"/>
          <w:color w:val="auto"/>
        </w:rPr>
        <w:t>NEW HORSESHOE HAMMOND LLC</w:t>
      </w:r>
    </w:p>
    <w:p>
      <w:pPr>
        <w:spacing w:after="0" w:line="205" w:lineRule="auto"/>
        <w:rPr>
          <w:sz w:val="20"/>
          <w:szCs w:val="20"/>
          <w:color w:val="auto"/>
        </w:rPr>
      </w:pPr>
      <w:r>
        <w:rPr>
          <w:rFonts w:ascii="Arial" w:cs="Arial" w:eastAsia="Arial" w:hAnsi="Arial"/>
          <w:sz w:val="22"/>
          <w:szCs w:val="22"/>
          <w:b w:val="1"/>
          <w:bCs w:val="1"/>
          <w:color w:val="auto"/>
        </w:rPr>
        <w:t>NEW HARRAH’S NORTH KANSAS CITY LLC</w:t>
      </w:r>
    </w:p>
    <w:p>
      <w:pPr>
        <w:spacing w:after="0" w:line="205" w:lineRule="auto"/>
        <w:rPr>
          <w:sz w:val="20"/>
          <w:szCs w:val="20"/>
          <w:color w:val="auto"/>
        </w:rPr>
      </w:pPr>
      <w:r>
        <w:rPr>
          <w:rFonts w:ascii="Arial" w:cs="Arial" w:eastAsia="Arial" w:hAnsi="Arial"/>
          <w:sz w:val="22"/>
          <w:szCs w:val="22"/>
          <w:b w:val="1"/>
          <w:bCs w:val="1"/>
          <w:color w:val="auto"/>
        </w:rPr>
        <w:t>GRAND BILOXI LLC</w:t>
      </w:r>
    </w:p>
    <w:p>
      <w:pPr>
        <w:spacing w:after="0" w:line="205" w:lineRule="auto"/>
        <w:rPr>
          <w:sz w:val="20"/>
          <w:szCs w:val="20"/>
          <w:color w:val="auto"/>
        </w:rPr>
      </w:pPr>
      <w:r>
        <w:rPr>
          <w:rFonts w:ascii="Arial" w:cs="Arial" w:eastAsia="Arial" w:hAnsi="Arial"/>
          <w:sz w:val="22"/>
          <w:szCs w:val="22"/>
          <w:b w:val="1"/>
          <w:bCs w:val="1"/>
          <w:color w:val="auto"/>
        </w:rPr>
        <w:t>HORSESHOE TUNICA LLC</w:t>
      </w:r>
    </w:p>
    <w:p>
      <w:pPr>
        <w:spacing w:after="0" w:line="205" w:lineRule="auto"/>
        <w:rPr>
          <w:sz w:val="20"/>
          <w:szCs w:val="20"/>
          <w:color w:val="auto"/>
        </w:rPr>
      </w:pPr>
      <w:r>
        <w:rPr>
          <w:rFonts w:ascii="Arial" w:cs="Arial" w:eastAsia="Arial" w:hAnsi="Arial"/>
          <w:sz w:val="22"/>
          <w:szCs w:val="22"/>
          <w:b w:val="1"/>
          <w:bCs w:val="1"/>
          <w:color w:val="auto"/>
        </w:rPr>
        <w:t>NEW TUNICA ROADHOUSE LLC</w:t>
      </w:r>
    </w:p>
    <w:p>
      <w:pPr>
        <w:spacing w:after="0" w:line="205" w:lineRule="auto"/>
        <w:rPr>
          <w:sz w:val="20"/>
          <w:szCs w:val="20"/>
          <w:color w:val="auto"/>
        </w:rPr>
      </w:pPr>
      <w:r>
        <w:rPr>
          <w:rFonts w:ascii="Arial" w:cs="Arial" w:eastAsia="Arial" w:hAnsi="Arial"/>
          <w:sz w:val="22"/>
          <w:szCs w:val="22"/>
          <w:b w:val="1"/>
          <w:bCs w:val="1"/>
          <w:color w:val="auto"/>
        </w:rPr>
        <w:t>CAESARS ATLANTIC CITY LLC</w:t>
      </w:r>
    </w:p>
    <w:p>
      <w:pPr>
        <w:spacing w:after="0" w:line="205" w:lineRule="auto"/>
        <w:rPr>
          <w:sz w:val="20"/>
          <w:szCs w:val="20"/>
          <w:color w:val="auto"/>
        </w:rPr>
      </w:pPr>
      <w:r>
        <w:rPr>
          <w:rFonts w:ascii="Arial" w:cs="Arial" w:eastAsia="Arial" w:hAnsi="Arial"/>
          <w:sz w:val="22"/>
          <w:szCs w:val="22"/>
          <w:b w:val="1"/>
          <w:bCs w:val="1"/>
          <w:color w:val="auto"/>
        </w:rPr>
        <w:t>BALLY’S ATLANTIC CITY LLC</w:t>
      </w:r>
    </w:p>
    <w:p>
      <w:pPr>
        <w:spacing w:after="0" w:line="205" w:lineRule="auto"/>
        <w:rPr>
          <w:sz w:val="20"/>
          <w:szCs w:val="20"/>
          <w:color w:val="auto"/>
        </w:rPr>
      </w:pPr>
      <w:r>
        <w:rPr>
          <w:rFonts w:ascii="Arial" w:cs="Arial" w:eastAsia="Arial" w:hAnsi="Arial"/>
          <w:sz w:val="22"/>
          <w:szCs w:val="22"/>
          <w:b w:val="1"/>
          <w:bCs w:val="1"/>
          <w:color w:val="auto"/>
        </w:rPr>
        <w:t>HARRAH’S LAKE TAHOE LLC</w:t>
      </w:r>
    </w:p>
    <w:p>
      <w:pPr>
        <w:spacing w:after="0" w:line="205" w:lineRule="auto"/>
        <w:rPr>
          <w:sz w:val="20"/>
          <w:szCs w:val="20"/>
          <w:color w:val="auto"/>
        </w:rPr>
      </w:pPr>
      <w:r>
        <w:rPr>
          <w:rFonts w:ascii="Arial" w:cs="Arial" w:eastAsia="Arial" w:hAnsi="Arial"/>
          <w:sz w:val="22"/>
          <w:szCs w:val="22"/>
          <w:b w:val="1"/>
          <w:bCs w:val="1"/>
          <w:color w:val="auto"/>
        </w:rPr>
        <w:t>HARVEY’S LAKE TAHOE LLC</w:t>
      </w:r>
    </w:p>
    <w:p>
      <w:pPr>
        <w:spacing w:after="0" w:line="205" w:lineRule="auto"/>
        <w:rPr>
          <w:sz w:val="20"/>
          <w:szCs w:val="20"/>
          <w:color w:val="auto"/>
        </w:rPr>
      </w:pPr>
      <w:r>
        <w:rPr>
          <w:rFonts w:ascii="Arial" w:cs="Arial" w:eastAsia="Arial" w:hAnsi="Arial"/>
          <w:sz w:val="22"/>
          <w:szCs w:val="22"/>
          <w:b w:val="1"/>
          <w:bCs w:val="1"/>
          <w:color w:val="auto"/>
        </w:rPr>
        <w:t>HARRAH’S RENO LLC</w:t>
      </w:r>
    </w:p>
    <w:p>
      <w:pPr>
        <w:spacing w:after="0" w:line="205" w:lineRule="auto"/>
        <w:rPr>
          <w:sz w:val="20"/>
          <w:szCs w:val="20"/>
          <w:color w:val="auto"/>
        </w:rPr>
      </w:pPr>
      <w:r>
        <w:rPr>
          <w:rFonts w:ascii="Arial" w:cs="Arial" w:eastAsia="Arial" w:hAnsi="Arial"/>
          <w:sz w:val="22"/>
          <w:szCs w:val="22"/>
          <w:b w:val="1"/>
          <w:bCs w:val="1"/>
          <w:color w:val="auto"/>
        </w:rPr>
        <w:t>VEGAS DEVELOPMENT LLC</w:t>
      </w:r>
    </w:p>
    <w:p>
      <w:pPr>
        <w:spacing w:after="0" w:line="204" w:lineRule="auto"/>
        <w:rPr>
          <w:sz w:val="20"/>
          <w:szCs w:val="20"/>
          <w:color w:val="auto"/>
        </w:rPr>
      </w:pPr>
      <w:r>
        <w:rPr>
          <w:rFonts w:ascii="Arial" w:cs="Arial" w:eastAsia="Arial" w:hAnsi="Arial"/>
          <w:sz w:val="22"/>
          <w:szCs w:val="22"/>
          <w:b w:val="1"/>
          <w:bCs w:val="1"/>
          <w:color w:val="auto"/>
        </w:rPr>
        <w:t>VEGAS OPERATING PROPERTY LLC</w:t>
      </w:r>
    </w:p>
    <w:p>
      <w:pPr>
        <w:spacing w:after="0" w:line="205" w:lineRule="auto"/>
        <w:rPr>
          <w:sz w:val="20"/>
          <w:szCs w:val="20"/>
          <w:color w:val="auto"/>
        </w:rPr>
      </w:pPr>
      <w:r>
        <w:rPr>
          <w:rFonts w:ascii="Arial" w:cs="Arial" w:eastAsia="Arial" w:hAnsi="Arial"/>
          <w:sz w:val="22"/>
          <w:szCs w:val="22"/>
          <w:b w:val="1"/>
          <w:bCs w:val="1"/>
          <w:color w:val="auto"/>
        </w:rPr>
        <w:t>MISCELLANEOUS LAND LLC</w:t>
      </w:r>
    </w:p>
    <w:p>
      <w:pPr>
        <w:spacing w:after="0" w:line="205" w:lineRule="auto"/>
        <w:rPr>
          <w:sz w:val="20"/>
          <w:szCs w:val="20"/>
          <w:color w:val="auto"/>
        </w:rPr>
      </w:pPr>
      <w:r>
        <w:rPr>
          <w:rFonts w:ascii="Arial" w:cs="Arial" w:eastAsia="Arial" w:hAnsi="Arial"/>
          <w:sz w:val="22"/>
          <w:szCs w:val="22"/>
          <w:b w:val="1"/>
          <w:bCs w:val="1"/>
          <w:color w:val="auto"/>
        </w:rPr>
        <w:t>PROPCO GULFPORT LLC</w:t>
      </w:r>
    </w:p>
    <w:p>
      <w:pPr>
        <w:spacing w:after="0" w:line="205" w:lineRule="auto"/>
        <w:rPr>
          <w:sz w:val="20"/>
          <w:szCs w:val="20"/>
          <w:color w:val="auto"/>
        </w:rPr>
      </w:pPr>
      <w:r>
        <w:rPr>
          <w:rFonts w:ascii="Arial" w:cs="Arial" w:eastAsia="Arial" w:hAnsi="Arial"/>
          <w:sz w:val="22"/>
          <w:szCs w:val="22"/>
          <w:b w:val="1"/>
          <w:bCs w:val="1"/>
          <w:color w:val="auto"/>
        </w:rPr>
        <w:t>PHILADELPHIA PROPCO LLC</w:t>
      </w:r>
    </w:p>
    <w:p>
      <w:pPr>
        <w:spacing w:after="0" w:line="205" w:lineRule="auto"/>
        <w:rPr>
          <w:sz w:val="20"/>
          <w:szCs w:val="20"/>
          <w:color w:val="auto"/>
        </w:rPr>
      </w:pPr>
      <w:r>
        <w:rPr>
          <w:rFonts w:ascii="Arial" w:cs="Arial" w:eastAsia="Arial" w:hAnsi="Arial"/>
          <w:sz w:val="22"/>
          <w:szCs w:val="22"/>
          <w:b w:val="1"/>
          <w:bCs w:val="1"/>
          <w:color w:val="auto"/>
        </w:rPr>
        <w:t>HARRAH’S ATLANTIC CITY LLC</w:t>
      </w:r>
    </w:p>
    <w:p>
      <w:pPr>
        <w:spacing w:after="0" w:line="205" w:lineRule="auto"/>
        <w:rPr>
          <w:sz w:val="20"/>
          <w:szCs w:val="20"/>
          <w:color w:val="auto"/>
        </w:rPr>
      </w:pPr>
      <w:r>
        <w:rPr>
          <w:rFonts w:ascii="Arial" w:cs="Arial" w:eastAsia="Arial" w:hAnsi="Arial"/>
          <w:sz w:val="22"/>
          <w:szCs w:val="22"/>
          <w:b w:val="1"/>
          <w:bCs w:val="1"/>
          <w:color w:val="auto"/>
        </w:rPr>
        <w:t>NEW LAUGHLIN OWNER LLC</w:t>
      </w:r>
    </w:p>
    <w:p>
      <w:pPr>
        <w:spacing w:after="0" w:line="205" w:lineRule="auto"/>
        <w:rPr>
          <w:sz w:val="20"/>
          <w:szCs w:val="20"/>
          <w:color w:val="auto"/>
        </w:rPr>
      </w:pPr>
      <w:r>
        <w:rPr>
          <w:rFonts w:ascii="Arial" w:cs="Arial" w:eastAsia="Arial" w:hAnsi="Arial"/>
          <w:sz w:val="22"/>
          <w:szCs w:val="22"/>
          <w:b w:val="1"/>
          <w:bCs w:val="1"/>
          <w:color w:val="auto"/>
        </w:rPr>
        <w:t>HARRAH’S NEW ORLEANS LLC</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each, a Delaware limited liability company</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By: /s/ David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-5715</wp:posOffset>
            </wp:positionV>
            <wp:extent cx="13601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2">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ind w:left="340"/>
        <w:spacing w:after="0" w:line="204" w:lineRule="auto"/>
        <w:rPr>
          <w:sz w:val="20"/>
          <w:szCs w:val="20"/>
          <w:color w:val="auto"/>
        </w:rPr>
      </w:pPr>
      <w:r>
        <w:rPr>
          <w:rFonts w:ascii="Arial" w:cs="Arial" w:eastAsia="Arial" w:hAnsi="Arial"/>
          <w:sz w:val="22"/>
          <w:szCs w:val="22"/>
          <w:color w:val="auto"/>
        </w:rPr>
        <w:t>Name: David Kieske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Treasurer</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HORSESHOE BOSSIER CITY PROP LLC</w:t>
      </w:r>
    </w:p>
    <w:p>
      <w:pPr>
        <w:spacing w:after="0" w:line="204" w:lineRule="auto"/>
        <w:rPr>
          <w:sz w:val="20"/>
          <w:szCs w:val="20"/>
          <w:color w:val="auto"/>
        </w:rPr>
      </w:pPr>
      <w:r>
        <w:rPr>
          <w:rFonts w:ascii="Arial" w:cs="Arial" w:eastAsia="Arial" w:hAnsi="Arial"/>
          <w:sz w:val="22"/>
          <w:szCs w:val="22"/>
          <w:b w:val="1"/>
          <w:bCs w:val="1"/>
          <w:color w:val="auto"/>
        </w:rPr>
        <w:t>HARRAH’S BOSSIER CITY LLC</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each, a Louisiana limited liability company</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By: /s/ David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-5715</wp:posOffset>
            </wp:positionV>
            <wp:extent cx="13601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3">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ind w:left="340"/>
        <w:spacing w:after="0" w:line="204" w:lineRule="auto"/>
        <w:rPr>
          <w:sz w:val="20"/>
          <w:szCs w:val="20"/>
          <w:color w:val="auto"/>
        </w:rPr>
      </w:pPr>
      <w:r>
        <w:rPr>
          <w:rFonts w:ascii="Arial" w:cs="Arial" w:eastAsia="Arial" w:hAnsi="Arial"/>
          <w:sz w:val="22"/>
          <w:szCs w:val="22"/>
          <w:color w:val="auto"/>
        </w:rPr>
        <w:t>Name: David Kieske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Treasurer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[Signatures Continue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to Ninth Amendment to Regional Lease]</w:t>
      </w:r>
    </w:p>
    <w:p>
      <w:pPr>
        <w:sectPr>
          <w:pgSz w:w="11900" w:h="16838" w:orient="portrait"/>
          <w:cols w:equalWidth="0" w:num="1">
            <w:col w:w="11240"/>
          </w:cols>
          <w:pgMar w:left="320" w:top="1401" w:right="339" w:bottom="1440" w:gutter="0" w:footer="0" w:header="0"/>
        </w:sectPr>
      </w:pPr>
    </w:p>
    <w:bookmarkStart w:id="175" w:name="page176"/>
    <w:bookmarkEnd w:id="175"/>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TENANT: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CEOC, LLC</w:t>
      </w:r>
      <w:r>
        <w:rPr>
          <w:rFonts w:ascii="Arial" w:cs="Arial" w:eastAsia="Arial" w:hAnsi="Arial"/>
          <w:sz w:val="22"/>
          <w:szCs w:val="22"/>
          <w:color w:val="auto"/>
        </w:rPr>
        <w:t>, a Delaware limited liability company,</w:t>
      </w:r>
    </w:p>
    <w:p>
      <w:pPr>
        <w:spacing w:after="0" w:line="204" w:lineRule="auto"/>
        <w:rPr>
          <w:sz w:val="20"/>
          <w:szCs w:val="20"/>
          <w:color w:val="auto"/>
        </w:rPr>
      </w:pPr>
      <w:r>
        <w:rPr>
          <w:rFonts w:ascii="Arial" w:cs="Arial" w:eastAsia="Arial" w:hAnsi="Arial"/>
          <w:sz w:val="22"/>
          <w:szCs w:val="22"/>
          <w:b w:val="1"/>
          <w:bCs w:val="1"/>
          <w:color w:val="auto"/>
        </w:rPr>
        <w:t>HBR REALTY COMPANY LLC</w:t>
      </w:r>
      <w:r>
        <w:rPr>
          <w:rFonts w:ascii="Arial" w:cs="Arial" w:eastAsia="Arial" w:hAnsi="Arial"/>
          <w:sz w:val="22"/>
          <w:szCs w:val="22"/>
          <w:color w:val="auto"/>
        </w:rPr>
        <w:t>, a Nevada limited liability company,</w:t>
      </w:r>
    </w:p>
    <w:p>
      <w:pPr>
        <w:spacing w:after="0" w:line="205" w:lineRule="auto"/>
        <w:rPr>
          <w:sz w:val="20"/>
          <w:szCs w:val="20"/>
          <w:color w:val="auto"/>
        </w:rPr>
      </w:pPr>
      <w:r>
        <w:rPr>
          <w:rFonts w:ascii="Arial" w:cs="Arial" w:eastAsia="Arial" w:hAnsi="Arial"/>
          <w:sz w:val="22"/>
          <w:szCs w:val="22"/>
          <w:b w:val="1"/>
          <w:bCs w:val="1"/>
          <w:color w:val="auto"/>
        </w:rPr>
        <w:t>HARVEYS IOWA MANAGEMENT COMPANY LLC</w:t>
      </w:r>
      <w:r>
        <w:rPr>
          <w:rFonts w:ascii="Arial" w:cs="Arial" w:eastAsia="Arial" w:hAnsi="Arial"/>
          <w:sz w:val="22"/>
          <w:szCs w:val="22"/>
          <w:color w:val="auto"/>
        </w:rPr>
        <w:t>, a Nevada limited liability company,</w:t>
      </w:r>
    </w:p>
    <w:p>
      <w:pPr>
        <w:spacing w:after="0" w:line="205" w:lineRule="auto"/>
        <w:rPr>
          <w:sz w:val="20"/>
          <w:szCs w:val="20"/>
          <w:color w:val="auto"/>
        </w:rPr>
      </w:pPr>
      <w:r>
        <w:rPr>
          <w:rFonts w:ascii="Arial" w:cs="Arial" w:eastAsia="Arial" w:hAnsi="Arial"/>
          <w:sz w:val="22"/>
          <w:szCs w:val="22"/>
          <w:b w:val="1"/>
          <w:bCs w:val="1"/>
          <w:color w:val="auto"/>
        </w:rPr>
        <w:t>SOUTHERN ILLINOIS RIVERBOAT/CASINO CRUISES LLC</w:t>
      </w:r>
      <w:r>
        <w:rPr>
          <w:rFonts w:ascii="Arial" w:cs="Arial" w:eastAsia="Arial" w:hAnsi="Arial"/>
          <w:sz w:val="22"/>
          <w:szCs w:val="22"/>
          <w:color w:val="auto"/>
        </w:rPr>
        <w:t>, an Illinois limited liability company,</w:t>
      </w:r>
    </w:p>
    <w:p>
      <w:pPr>
        <w:spacing w:after="0" w:line="205" w:lineRule="auto"/>
        <w:rPr>
          <w:sz w:val="20"/>
          <w:szCs w:val="20"/>
          <w:color w:val="auto"/>
        </w:rPr>
      </w:pPr>
      <w:r>
        <w:rPr>
          <w:rFonts w:ascii="Arial" w:cs="Arial" w:eastAsia="Arial" w:hAnsi="Arial"/>
          <w:sz w:val="22"/>
          <w:szCs w:val="22"/>
          <w:b w:val="1"/>
          <w:bCs w:val="1"/>
          <w:color w:val="auto"/>
        </w:rPr>
        <w:t>HORSESHOE HAMMOND, LLC</w:t>
      </w:r>
      <w:r>
        <w:rPr>
          <w:rFonts w:ascii="Arial" w:cs="Arial" w:eastAsia="Arial" w:hAnsi="Arial"/>
          <w:sz w:val="22"/>
          <w:szCs w:val="22"/>
          <w:color w:val="auto"/>
        </w:rPr>
        <w:t>, an Indiana limited liability company,</w:t>
      </w:r>
    </w:p>
    <w:p>
      <w:pPr>
        <w:spacing w:after="0" w:line="215" w:lineRule="auto"/>
        <w:rPr>
          <w:sz w:val="20"/>
          <w:szCs w:val="20"/>
          <w:color w:val="auto"/>
        </w:rPr>
      </w:pPr>
      <w:r>
        <w:rPr>
          <w:rFonts w:ascii="Arial" w:cs="Arial" w:eastAsia="Arial" w:hAnsi="Arial"/>
          <w:sz w:val="21"/>
          <w:szCs w:val="21"/>
          <w:b w:val="1"/>
          <w:bCs w:val="1"/>
          <w:color w:val="auto"/>
        </w:rPr>
        <w:t>HARRAH’S BOSSIER CITY INVESTMENT COMPANY, L.L.C.</w:t>
      </w:r>
      <w:r>
        <w:rPr>
          <w:rFonts w:ascii="Arial" w:cs="Arial" w:eastAsia="Arial" w:hAnsi="Arial"/>
          <w:sz w:val="21"/>
          <w:szCs w:val="21"/>
          <w:color w:val="auto"/>
        </w:rPr>
        <w:t>, a Louisiana limited liability company,</w:t>
      </w:r>
    </w:p>
    <w:p>
      <w:pPr>
        <w:spacing w:after="0" w:line="205" w:lineRule="auto"/>
        <w:rPr>
          <w:sz w:val="20"/>
          <w:szCs w:val="20"/>
          <w:color w:val="auto"/>
        </w:rPr>
      </w:pPr>
      <w:r>
        <w:rPr>
          <w:rFonts w:ascii="Arial" w:cs="Arial" w:eastAsia="Arial" w:hAnsi="Arial"/>
          <w:sz w:val="22"/>
          <w:szCs w:val="22"/>
          <w:b w:val="1"/>
          <w:bCs w:val="1"/>
          <w:color w:val="auto"/>
        </w:rPr>
        <w:t>HARRAH’S NORTH KANSAS CITY LLC</w:t>
      </w:r>
      <w:r>
        <w:rPr>
          <w:rFonts w:ascii="Arial" w:cs="Arial" w:eastAsia="Arial" w:hAnsi="Arial"/>
          <w:sz w:val="22"/>
          <w:szCs w:val="22"/>
          <w:color w:val="auto"/>
        </w:rPr>
        <w:t>, a Missouri limited liability company,</w:t>
      </w:r>
    </w:p>
    <w:p>
      <w:pPr>
        <w:spacing w:after="0" w:line="205" w:lineRule="auto"/>
        <w:rPr>
          <w:sz w:val="20"/>
          <w:szCs w:val="20"/>
          <w:color w:val="auto"/>
        </w:rPr>
      </w:pPr>
      <w:r>
        <w:rPr>
          <w:rFonts w:ascii="Arial" w:cs="Arial" w:eastAsia="Arial" w:hAnsi="Arial"/>
          <w:sz w:val="22"/>
          <w:szCs w:val="22"/>
          <w:b w:val="1"/>
          <w:bCs w:val="1"/>
          <w:color w:val="auto"/>
        </w:rPr>
        <w:t>GRAND CASINOS OF BILOXI, LLC</w:t>
      </w:r>
      <w:r>
        <w:rPr>
          <w:rFonts w:ascii="Arial" w:cs="Arial" w:eastAsia="Arial" w:hAnsi="Arial"/>
          <w:sz w:val="22"/>
          <w:szCs w:val="22"/>
          <w:color w:val="auto"/>
        </w:rPr>
        <w:t>, a Minnesota limited liability company,</w:t>
      </w:r>
    </w:p>
    <w:p>
      <w:pPr>
        <w:spacing w:after="0" w:line="205" w:lineRule="auto"/>
        <w:rPr>
          <w:sz w:val="20"/>
          <w:szCs w:val="20"/>
          <w:color w:val="auto"/>
        </w:rPr>
      </w:pPr>
      <w:r>
        <w:rPr>
          <w:rFonts w:ascii="Arial" w:cs="Arial" w:eastAsia="Arial" w:hAnsi="Arial"/>
          <w:sz w:val="22"/>
          <w:szCs w:val="22"/>
          <w:b w:val="1"/>
          <w:bCs w:val="1"/>
          <w:color w:val="auto"/>
        </w:rPr>
        <w:t>ROBINSON PROPERTY GROUP LLC</w:t>
      </w:r>
      <w:r>
        <w:rPr>
          <w:rFonts w:ascii="Arial" w:cs="Arial" w:eastAsia="Arial" w:hAnsi="Arial"/>
          <w:sz w:val="22"/>
          <w:szCs w:val="22"/>
          <w:color w:val="auto"/>
        </w:rPr>
        <w:t>, a Mississippi limited liability company,</w:t>
      </w:r>
    </w:p>
    <w:p>
      <w:pPr>
        <w:spacing w:after="0" w:line="205" w:lineRule="auto"/>
        <w:rPr>
          <w:sz w:val="20"/>
          <w:szCs w:val="20"/>
          <w:color w:val="auto"/>
        </w:rPr>
      </w:pPr>
      <w:r>
        <w:rPr>
          <w:rFonts w:ascii="Arial" w:cs="Arial" w:eastAsia="Arial" w:hAnsi="Arial"/>
          <w:sz w:val="22"/>
          <w:szCs w:val="22"/>
          <w:b w:val="1"/>
          <w:bCs w:val="1"/>
          <w:color w:val="auto"/>
        </w:rPr>
        <w:t>TUNICA ROADHOUSE LLC</w:t>
      </w:r>
      <w:r>
        <w:rPr>
          <w:rFonts w:ascii="Arial" w:cs="Arial" w:eastAsia="Arial" w:hAnsi="Arial"/>
          <w:sz w:val="22"/>
          <w:szCs w:val="22"/>
          <w:color w:val="auto"/>
        </w:rPr>
        <w:t>, a Delaware limited liability company,</w:t>
      </w:r>
    </w:p>
    <w:p>
      <w:pPr>
        <w:spacing w:after="0" w:line="205" w:lineRule="auto"/>
        <w:rPr>
          <w:sz w:val="20"/>
          <w:szCs w:val="20"/>
          <w:color w:val="auto"/>
        </w:rPr>
      </w:pPr>
      <w:r>
        <w:rPr>
          <w:rFonts w:ascii="Arial" w:cs="Arial" w:eastAsia="Arial" w:hAnsi="Arial"/>
          <w:sz w:val="22"/>
          <w:szCs w:val="22"/>
          <w:b w:val="1"/>
          <w:bCs w:val="1"/>
          <w:color w:val="auto"/>
        </w:rPr>
        <w:t>CAESARS NEW JERSEY LLC</w:t>
      </w:r>
      <w:r>
        <w:rPr>
          <w:rFonts w:ascii="Arial" w:cs="Arial" w:eastAsia="Arial" w:hAnsi="Arial"/>
          <w:sz w:val="22"/>
          <w:szCs w:val="22"/>
          <w:color w:val="auto"/>
        </w:rPr>
        <w:t>, a New Jersey limited liability company,</w:t>
      </w:r>
    </w:p>
    <w:p>
      <w:pPr>
        <w:spacing w:after="0" w:line="204" w:lineRule="auto"/>
        <w:rPr>
          <w:sz w:val="20"/>
          <w:szCs w:val="20"/>
          <w:color w:val="auto"/>
        </w:rPr>
      </w:pPr>
      <w:r>
        <w:rPr>
          <w:rFonts w:ascii="Arial" w:cs="Arial" w:eastAsia="Arial" w:hAnsi="Arial"/>
          <w:sz w:val="22"/>
          <w:szCs w:val="22"/>
          <w:b w:val="1"/>
          <w:bCs w:val="1"/>
          <w:color w:val="auto"/>
        </w:rPr>
        <w:t>HARVEYS TAHOE MANAGEMENT COMPANY LLC</w:t>
      </w:r>
      <w:r>
        <w:rPr>
          <w:rFonts w:ascii="Arial" w:cs="Arial" w:eastAsia="Arial" w:hAnsi="Arial"/>
          <w:sz w:val="22"/>
          <w:szCs w:val="22"/>
          <w:color w:val="auto"/>
        </w:rPr>
        <w:t>, a Nevada limited liability company,</w:t>
      </w:r>
    </w:p>
    <w:p>
      <w:pPr>
        <w:spacing w:after="0" w:line="205" w:lineRule="auto"/>
        <w:rPr>
          <w:sz w:val="20"/>
          <w:szCs w:val="20"/>
          <w:color w:val="auto"/>
        </w:rPr>
      </w:pPr>
      <w:r>
        <w:rPr>
          <w:rFonts w:ascii="Arial" w:cs="Arial" w:eastAsia="Arial" w:hAnsi="Arial"/>
          <w:sz w:val="22"/>
          <w:szCs w:val="22"/>
          <w:b w:val="1"/>
          <w:bCs w:val="1"/>
          <w:color w:val="auto"/>
        </w:rPr>
        <w:t>CASINO COMPUTER PROGRAMMING, INC.</w:t>
      </w:r>
      <w:r>
        <w:rPr>
          <w:rFonts w:ascii="Arial" w:cs="Arial" w:eastAsia="Arial" w:hAnsi="Arial"/>
          <w:sz w:val="22"/>
          <w:szCs w:val="22"/>
          <w:color w:val="auto"/>
        </w:rPr>
        <w:t>, an Indiana corporation,</w:t>
      </w:r>
    </w:p>
    <w:p>
      <w:pPr>
        <w:spacing w:after="0" w:line="205" w:lineRule="auto"/>
        <w:rPr>
          <w:sz w:val="20"/>
          <w:szCs w:val="20"/>
          <w:color w:val="auto"/>
        </w:rPr>
      </w:pPr>
      <w:r>
        <w:rPr>
          <w:rFonts w:ascii="Arial" w:cs="Arial" w:eastAsia="Arial" w:hAnsi="Arial"/>
          <w:sz w:val="22"/>
          <w:szCs w:val="22"/>
          <w:b w:val="1"/>
          <w:bCs w:val="1"/>
          <w:color w:val="auto"/>
        </w:rPr>
        <w:t>HARVEYS BR MANAGEMENT COMPANY, INC.</w:t>
      </w:r>
      <w:r>
        <w:rPr>
          <w:rFonts w:ascii="Arial" w:cs="Arial" w:eastAsia="Arial" w:hAnsi="Arial"/>
          <w:sz w:val="22"/>
          <w:szCs w:val="22"/>
          <w:color w:val="auto"/>
        </w:rPr>
        <w:t>, a Nevada corporation,</w:t>
      </w:r>
    </w:p>
    <w:p>
      <w:pPr>
        <w:spacing w:after="0" w:line="205" w:lineRule="auto"/>
        <w:rPr>
          <w:sz w:val="20"/>
          <w:szCs w:val="20"/>
          <w:color w:val="auto"/>
        </w:rPr>
      </w:pPr>
      <w:r>
        <w:rPr>
          <w:rFonts w:ascii="Arial" w:cs="Arial" w:eastAsia="Arial" w:hAnsi="Arial"/>
          <w:sz w:val="22"/>
          <w:szCs w:val="22"/>
          <w:b w:val="1"/>
          <w:bCs w:val="1"/>
          <w:color w:val="auto"/>
        </w:rPr>
        <w:t>HARRAH’S LAUGHLIN, LLC</w:t>
      </w:r>
      <w:r>
        <w:rPr>
          <w:rFonts w:ascii="Arial" w:cs="Arial" w:eastAsia="Arial" w:hAnsi="Arial"/>
          <w:sz w:val="22"/>
          <w:szCs w:val="22"/>
          <w:color w:val="auto"/>
        </w:rPr>
        <w:t>, a Nevada limited liability company,</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JAZZ CASINO COMPANY, L.L.C.</w:t>
      </w:r>
      <w:r>
        <w:rPr>
          <w:rFonts w:ascii="Arial" w:cs="Arial" w:eastAsia="Arial" w:hAnsi="Arial"/>
          <w:sz w:val="22"/>
          <w:szCs w:val="22"/>
          <w:color w:val="auto"/>
        </w:rPr>
        <w:t>, a Louisiana limited liability company</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By: /s/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-5715</wp:posOffset>
            </wp:positionV>
            <wp:extent cx="127635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4">
                      <a:extLst>
                        <a:ext uri="{28A0092B-C50C-407E-A947-70E740481C1C}"/>
                      </a:extLst>
                    </a:blip>
                    <a:srcRect/>
                    <a:stretch>
                      <a:fillRect/>
                    </a:stretch>
                  </pic:blipFill>
                  <pic:spPr bwMode="auto">
                    <a:xfrm>
                      <a:off x="0" y="0"/>
                      <a:ext cx="1276350" cy="8255"/>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2"/>
          <w:szCs w:val="22"/>
          <w:color w:val="auto"/>
        </w:rPr>
        <w:t>Name: Bret D. Yunker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HORSESHOE ENTERTAINMENT,</w:t>
      </w:r>
    </w:p>
    <w:p>
      <w:pPr>
        <w:spacing w:after="0"/>
        <w:rPr>
          <w:sz w:val="20"/>
          <w:szCs w:val="20"/>
          <w:color w:val="auto"/>
        </w:rPr>
      </w:pPr>
      <w:r>
        <w:rPr>
          <w:rFonts w:ascii="Arial" w:cs="Arial" w:eastAsia="Arial" w:hAnsi="Arial"/>
          <w:sz w:val="22"/>
          <w:szCs w:val="22"/>
          <w:color w:val="auto"/>
        </w:rPr>
        <w:t>a Louisiana limited partnership</w:t>
      </w:r>
    </w:p>
    <w:p>
      <w:pPr>
        <w:spacing w:after="0" w:line="16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New Gaming Capital Partnership,</w:t>
      </w:r>
    </w:p>
    <w:p>
      <w:pPr>
        <w:ind w:left="220"/>
        <w:spacing w:after="0" w:line="204" w:lineRule="auto"/>
        <w:rPr>
          <w:sz w:val="20"/>
          <w:szCs w:val="20"/>
          <w:color w:val="auto"/>
        </w:rPr>
      </w:pPr>
      <w:r>
        <w:rPr>
          <w:rFonts w:ascii="Arial" w:cs="Arial" w:eastAsia="Arial" w:hAnsi="Arial"/>
          <w:sz w:val="22"/>
          <w:szCs w:val="22"/>
          <w:color w:val="auto"/>
        </w:rPr>
        <w:t>a Nevada limited partnership,</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its general partner</w:t>
      </w:r>
    </w:p>
    <w:p>
      <w:pPr>
        <w:spacing w:after="0" w:line="169" w:lineRule="exact"/>
        <w:rPr>
          <w:sz w:val="20"/>
          <w:szCs w:val="20"/>
          <w:color w:val="auto"/>
        </w:rPr>
      </w:pPr>
    </w:p>
    <w:p>
      <w:pPr>
        <w:ind w:left="220"/>
        <w:spacing w:after="0"/>
        <w:tabs>
          <w:tab w:leader="none" w:pos="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Horseshoe GP, LLC,</w:t>
      </w:r>
    </w:p>
    <w:p>
      <w:pPr>
        <w:ind w:left="440"/>
        <w:spacing w:after="0" w:line="204" w:lineRule="auto"/>
        <w:rPr>
          <w:sz w:val="20"/>
          <w:szCs w:val="20"/>
          <w:color w:val="auto"/>
        </w:rPr>
      </w:pPr>
      <w:r>
        <w:rPr>
          <w:rFonts w:ascii="Arial" w:cs="Arial" w:eastAsia="Arial" w:hAnsi="Arial"/>
          <w:sz w:val="22"/>
          <w:szCs w:val="22"/>
          <w:color w:val="auto"/>
        </w:rPr>
        <w:t>a Nevada limited liability company,</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its general partner</w:t>
      </w:r>
    </w:p>
    <w:p>
      <w:pPr>
        <w:spacing w:after="0" w:line="200" w:lineRule="exact"/>
        <w:rPr>
          <w:sz w:val="20"/>
          <w:szCs w:val="20"/>
          <w:color w:val="auto"/>
        </w:rPr>
      </w:pPr>
    </w:p>
    <w:p>
      <w:pPr>
        <w:spacing w:after="0" w:line="21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By: /s/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-5715</wp:posOffset>
            </wp:positionV>
            <wp:extent cx="127635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5">
                      <a:extLst>
                        <a:ext uri="{28A0092B-C50C-407E-A947-70E740481C1C}"/>
                      </a:extLst>
                    </a:blip>
                    <a:srcRect/>
                    <a:stretch>
                      <a:fillRect/>
                    </a:stretch>
                  </pic:blipFill>
                  <pic:spPr bwMode="auto">
                    <a:xfrm>
                      <a:off x="0" y="0"/>
                      <a:ext cx="1276350" cy="8890"/>
                    </a:xfrm>
                    <a:prstGeom prst="rect">
                      <a:avLst/>
                    </a:prstGeom>
                    <a:noFill/>
                  </pic:spPr>
                </pic:pic>
              </a:graphicData>
            </a:graphic>
          </wp:anchor>
        </w:drawing>
      </w:r>
    </w:p>
    <w:p>
      <w:pPr>
        <w:ind w:left="440"/>
        <w:spacing w:after="0" w:line="204" w:lineRule="auto"/>
        <w:rPr>
          <w:sz w:val="20"/>
          <w:szCs w:val="20"/>
          <w:color w:val="auto"/>
        </w:rPr>
      </w:pPr>
      <w:r>
        <w:rPr>
          <w:rFonts w:ascii="Arial" w:cs="Arial" w:eastAsia="Arial" w:hAnsi="Arial"/>
          <w:sz w:val="22"/>
          <w:szCs w:val="22"/>
          <w:color w:val="auto"/>
        </w:rPr>
        <w:t>Name: Bret D. Yunker</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140"/>
        <w:spacing w:after="0"/>
        <w:rPr>
          <w:sz w:val="20"/>
          <w:szCs w:val="20"/>
          <w:color w:val="auto"/>
        </w:rPr>
      </w:pPr>
      <w:r>
        <w:rPr>
          <w:rFonts w:ascii="Arial" w:cs="Arial" w:eastAsia="Arial" w:hAnsi="Arial"/>
          <w:sz w:val="22"/>
          <w:szCs w:val="22"/>
          <w:color w:val="auto"/>
        </w:rPr>
        <w:t>[Signature Page to Ninth Amendment to Regional Lease]</w:t>
      </w:r>
    </w:p>
    <w:p>
      <w:pPr>
        <w:sectPr>
          <w:pgSz w:w="11900" w:h="16838" w:orient="portrait"/>
          <w:cols w:equalWidth="0" w:num="1">
            <w:col w:w="10139"/>
          </w:cols>
          <w:pgMar w:left="320" w:top="1440" w:right="1440" w:bottom="1440" w:gutter="0" w:footer="0" w:header="0"/>
        </w:sectPr>
      </w:pPr>
    </w:p>
    <w:bookmarkStart w:id="176" w:name="page177"/>
    <w:bookmarkEnd w:id="176"/>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BOARDWALK REGENCY LLC,</w:t>
      </w:r>
    </w:p>
    <w:p>
      <w:pPr>
        <w:spacing w:after="0"/>
        <w:rPr>
          <w:sz w:val="20"/>
          <w:szCs w:val="20"/>
          <w:color w:val="auto"/>
        </w:rPr>
      </w:pPr>
      <w:r>
        <w:rPr>
          <w:rFonts w:ascii="Arial" w:cs="Arial" w:eastAsia="Arial" w:hAnsi="Arial"/>
          <w:sz w:val="22"/>
          <w:szCs w:val="22"/>
          <w:color w:val="auto"/>
        </w:rPr>
        <w:t>a New Jersey limited liability company</w:t>
      </w:r>
    </w:p>
    <w:p>
      <w:pPr>
        <w:spacing w:after="0" w:line="16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Caesars New Jersey LLC,</w:t>
      </w:r>
    </w:p>
    <w:p>
      <w:pPr>
        <w:ind w:left="220"/>
        <w:spacing w:after="0" w:line="204" w:lineRule="auto"/>
        <w:rPr>
          <w:sz w:val="20"/>
          <w:szCs w:val="20"/>
          <w:color w:val="auto"/>
        </w:rPr>
      </w:pPr>
      <w:r>
        <w:rPr>
          <w:rFonts w:ascii="Arial" w:cs="Arial" w:eastAsia="Arial" w:hAnsi="Arial"/>
          <w:sz w:val="22"/>
          <w:szCs w:val="22"/>
          <w:color w:val="auto"/>
        </w:rPr>
        <w:t>a New Jersey limited liability company,</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By: /s/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-5715</wp:posOffset>
            </wp:positionV>
            <wp:extent cx="127635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6">
                      <a:extLst>
                        <a:ext uri="{28A0092B-C50C-407E-A947-70E740481C1C}"/>
                      </a:extLst>
                    </a:blip>
                    <a:srcRect/>
                    <a:stretch>
                      <a:fillRect/>
                    </a:stretch>
                  </pic:blipFill>
                  <pic:spPr bwMode="auto">
                    <a:xfrm>
                      <a:off x="0" y="0"/>
                      <a:ext cx="1276350" cy="8255"/>
                    </a:xfrm>
                    <a:prstGeom prst="rect">
                      <a:avLst/>
                    </a:prstGeom>
                    <a:noFill/>
                  </pic:spPr>
                </pic:pic>
              </a:graphicData>
            </a:graphic>
          </wp:anchor>
        </w:drawing>
      </w:r>
    </w:p>
    <w:p>
      <w:pPr>
        <w:ind w:left="220"/>
        <w:spacing w:after="0" w:line="204" w:lineRule="auto"/>
        <w:rPr>
          <w:sz w:val="20"/>
          <w:szCs w:val="20"/>
          <w:color w:val="auto"/>
        </w:rPr>
      </w:pPr>
      <w:r>
        <w:rPr>
          <w:rFonts w:ascii="Arial" w:cs="Arial" w:eastAsia="Arial" w:hAnsi="Arial"/>
          <w:sz w:val="22"/>
          <w:szCs w:val="22"/>
          <w:color w:val="auto"/>
        </w:rPr>
        <w:t>Name: Bret D. Yunker</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Title: Chief Financial Officer</w:t>
      </w: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HOLE IN THE WALL, LLC,</w:t>
      </w:r>
    </w:p>
    <w:p>
      <w:pPr>
        <w:spacing w:after="0"/>
        <w:rPr>
          <w:sz w:val="20"/>
          <w:szCs w:val="20"/>
          <w:color w:val="auto"/>
        </w:rPr>
      </w:pPr>
      <w:r>
        <w:rPr>
          <w:rFonts w:ascii="Arial" w:cs="Arial" w:eastAsia="Arial" w:hAnsi="Arial"/>
          <w:sz w:val="22"/>
          <w:szCs w:val="22"/>
          <w:color w:val="auto"/>
        </w:rPr>
        <w:t>a Nevada limited liability company</w:t>
      </w:r>
    </w:p>
    <w:p>
      <w:pPr>
        <w:spacing w:after="0" w:line="16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CEOC, LLC,</w:t>
      </w:r>
    </w:p>
    <w:p>
      <w:pPr>
        <w:ind w:left="220"/>
        <w:spacing w:after="0" w:line="204" w:lineRule="auto"/>
        <w:rPr>
          <w:sz w:val="20"/>
          <w:szCs w:val="20"/>
          <w:color w:val="auto"/>
        </w:rPr>
      </w:pPr>
      <w:r>
        <w:rPr>
          <w:rFonts w:ascii="Arial" w:cs="Arial" w:eastAsia="Arial" w:hAnsi="Arial"/>
          <w:sz w:val="22"/>
          <w:szCs w:val="22"/>
          <w:color w:val="auto"/>
        </w:rPr>
        <w:t>a Delaware limited liability company,</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By: /s/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-5715</wp:posOffset>
            </wp:positionV>
            <wp:extent cx="127635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7">
                      <a:extLst>
                        <a:ext uri="{28A0092B-C50C-407E-A947-70E740481C1C}"/>
                      </a:extLst>
                    </a:blip>
                    <a:srcRect/>
                    <a:stretch>
                      <a:fillRect/>
                    </a:stretch>
                  </pic:blipFill>
                  <pic:spPr bwMode="auto">
                    <a:xfrm>
                      <a:off x="0" y="0"/>
                      <a:ext cx="1276350" cy="8890"/>
                    </a:xfrm>
                    <a:prstGeom prst="rect">
                      <a:avLst/>
                    </a:prstGeom>
                    <a:noFill/>
                  </pic:spPr>
                </pic:pic>
              </a:graphicData>
            </a:graphic>
          </wp:anchor>
        </w:drawing>
      </w:r>
    </w:p>
    <w:p>
      <w:pPr>
        <w:ind w:left="220"/>
        <w:spacing w:after="0" w:line="204" w:lineRule="auto"/>
        <w:rPr>
          <w:sz w:val="20"/>
          <w:szCs w:val="20"/>
          <w:color w:val="auto"/>
        </w:rPr>
      </w:pPr>
      <w:r>
        <w:rPr>
          <w:rFonts w:ascii="Arial" w:cs="Arial" w:eastAsia="Arial" w:hAnsi="Arial"/>
          <w:sz w:val="22"/>
          <w:szCs w:val="22"/>
          <w:color w:val="auto"/>
        </w:rPr>
        <w:t>Name: Bret D. Yunker</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CHESTER DOWNS AND MARINA, LLC,</w:t>
      </w:r>
    </w:p>
    <w:p>
      <w:pPr>
        <w:spacing w:after="0"/>
        <w:rPr>
          <w:sz w:val="20"/>
          <w:szCs w:val="20"/>
          <w:color w:val="auto"/>
        </w:rPr>
      </w:pPr>
      <w:r>
        <w:rPr>
          <w:rFonts w:ascii="Arial" w:cs="Arial" w:eastAsia="Arial" w:hAnsi="Arial"/>
          <w:sz w:val="22"/>
          <w:szCs w:val="22"/>
          <w:color w:val="auto"/>
        </w:rPr>
        <w:t>a Pennsylvania limited liability company</w:t>
      </w:r>
    </w:p>
    <w:p>
      <w:pPr>
        <w:spacing w:after="0" w:line="188" w:lineRule="exact"/>
        <w:rPr>
          <w:sz w:val="20"/>
          <w:szCs w:val="20"/>
          <w:color w:val="auto"/>
        </w:rPr>
      </w:pPr>
    </w:p>
    <w:p>
      <w:pPr>
        <w:ind w:left="220" w:right="5019" w:hanging="215"/>
        <w:spacing w:after="0" w:line="232" w:lineRule="auto"/>
        <w:rPr>
          <w:sz w:val="20"/>
          <w:szCs w:val="20"/>
          <w:color w:val="auto"/>
        </w:rPr>
      </w:pPr>
      <w:r>
        <w:rPr>
          <w:rFonts w:ascii="Arial" w:cs="Arial" w:eastAsia="Arial" w:hAnsi="Arial"/>
          <w:sz w:val="22"/>
          <w:szCs w:val="22"/>
          <w:color w:val="auto"/>
        </w:rPr>
        <w:t>By:</w:t>
      </w:r>
      <w:r>
        <w:rPr>
          <w:sz w:val="20"/>
          <w:szCs w:val="20"/>
          <w:color w:val="auto"/>
        </w:rPr>
        <w:t xml:space="preserve"> </w:t>
      </w:r>
      <w:r>
        <w:rPr>
          <w:rFonts w:ascii="Arial" w:cs="Arial" w:eastAsia="Arial" w:hAnsi="Arial"/>
          <w:sz w:val="22"/>
          <w:szCs w:val="22"/>
          <w:color w:val="auto"/>
        </w:rPr>
        <w:t>Harrah’s Chester Downs Investment Company, LLC, its sole member</w:t>
      </w:r>
    </w:p>
    <w:p>
      <w:pPr>
        <w:spacing w:after="0" w:line="200" w:lineRule="exact"/>
        <w:rPr>
          <w:sz w:val="20"/>
          <w:szCs w:val="20"/>
          <w:color w:val="auto"/>
        </w:rPr>
      </w:pPr>
    </w:p>
    <w:p>
      <w:pPr>
        <w:spacing w:after="0" w:line="21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By: /s/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-5715</wp:posOffset>
            </wp:positionV>
            <wp:extent cx="127635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8">
                      <a:extLst>
                        <a:ext uri="{28A0092B-C50C-407E-A947-70E740481C1C}"/>
                      </a:extLst>
                    </a:blip>
                    <a:srcRect/>
                    <a:stretch>
                      <a:fillRect/>
                    </a:stretch>
                  </pic:blipFill>
                  <pic:spPr bwMode="auto">
                    <a:xfrm>
                      <a:off x="0" y="0"/>
                      <a:ext cx="1276350" cy="8255"/>
                    </a:xfrm>
                    <a:prstGeom prst="rect">
                      <a:avLst/>
                    </a:prstGeom>
                    <a:noFill/>
                  </pic:spPr>
                </pic:pic>
              </a:graphicData>
            </a:graphic>
          </wp:anchor>
        </w:drawing>
      </w:r>
    </w:p>
    <w:p>
      <w:pPr>
        <w:ind w:left="220"/>
        <w:spacing w:after="0" w:line="204" w:lineRule="auto"/>
        <w:rPr>
          <w:sz w:val="20"/>
          <w:szCs w:val="20"/>
          <w:color w:val="auto"/>
        </w:rPr>
      </w:pPr>
      <w:r>
        <w:rPr>
          <w:rFonts w:ascii="Arial" w:cs="Arial" w:eastAsia="Arial" w:hAnsi="Arial"/>
          <w:sz w:val="22"/>
          <w:szCs w:val="22"/>
          <w:color w:val="auto"/>
        </w:rPr>
        <w:t>Name: Bret D. Yunker</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Title: Chief Financial Officer</w:t>
      </w:r>
    </w:p>
    <w:p>
      <w:pPr>
        <w:spacing w:after="0" w:line="371" w:lineRule="exact"/>
        <w:rPr>
          <w:sz w:val="20"/>
          <w:szCs w:val="20"/>
          <w:color w:val="auto"/>
        </w:rPr>
      </w:pPr>
    </w:p>
    <w:p>
      <w:pPr>
        <w:ind w:right="4099"/>
        <w:spacing w:after="0" w:line="235" w:lineRule="auto"/>
        <w:rPr>
          <w:sz w:val="20"/>
          <w:szCs w:val="20"/>
          <w:color w:val="auto"/>
        </w:rPr>
      </w:pPr>
      <w:r>
        <w:rPr>
          <w:rFonts w:ascii="Arial" w:cs="Arial" w:eastAsia="Arial" w:hAnsi="Arial"/>
          <w:sz w:val="22"/>
          <w:szCs w:val="22"/>
          <w:b w:val="1"/>
          <w:bCs w:val="1"/>
          <w:color w:val="auto"/>
        </w:rPr>
        <w:t xml:space="preserve">HARRAH’S ATLANTIC CITY OPERATING COMPANY, LLC, </w:t>
      </w:r>
      <w:r>
        <w:rPr>
          <w:rFonts w:ascii="Arial" w:cs="Arial" w:eastAsia="Arial" w:hAnsi="Arial"/>
          <w:sz w:val="22"/>
          <w:szCs w:val="22"/>
          <w:color w:val="auto"/>
        </w:rPr>
        <w:t>a New Jersey limited liability company</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Caesars Resort Collection, LLC,</w:t>
      </w:r>
    </w:p>
    <w:p>
      <w:pPr>
        <w:ind w:left="220"/>
        <w:spacing w:after="0" w:line="204" w:lineRule="auto"/>
        <w:rPr>
          <w:sz w:val="20"/>
          <w:szCs w:val="20"/>
          <w:color w:val="auto"/>
        </w:rPr>
      </w:pPr>
      <w:r>
        <w:rPr>
          <w:rFonts w:ascii="Arial" w:cs="Arial" w:eastAsia="Arial" w:hAnsi="Arial"/>
          <w:sz w:val="22"/>
          <w:szCs w:val="22"/>
          <w:color w:val="auto"/>
        </w:rPr>
        <w:t>a Delaware limited liability company,</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By: /s/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-5715</wp:posOffset>
            </wp:positionV>
            <wp:extent cx="127635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9">
                      <a:extLst>
                        <a:ext uri="{28A0092B-C50C-407E-A947-70E740481C1C}"/>
                      </a:extLst>
                    </a:blip>
                    <a:srcRect/>
                    <a:stretch>
                      <a:fillRect/>
                    </a:stretch>
                  </pic:blipFill>
                  <pic:spPr bwMode="auto">
                    <a:xfrm>
                      <a:off x="0" y="0"/>
                      <a:ext cx="1276350" cy="8890"/>
                    </a:xfrm>
                    <a:prstGeom prst="rect">
                      <a:avLst/>
                    </a:prstGeom>
                    <a:noFill/>
                  </pic:spPr>
                </pic:pic>
              </a:graphicData>
            </a:graphic>
          </wp:anchor>
        </w:drawing>
      </w:r>
    </w:p>
    <w:p>
      <w:pPr>
        <w:ind w:left="220"/>
        <w:spacing w:after="0" w:line="204" w:lineRule="auto"/>
        <w:rPr>
          <w:sz w:val="20"/>
          <w:szCs w:val="20"/>
          <w:color w:val="auto"/>
        </w:rPr>
      </w:pPr>
      <w:r>
        <w:rPr>
          <w:rFonts w:ascii="Arial" w:cs="Arial" w:eastAsia="Arial" w:hAnsi="Arial"/>
          <w:sz w:val="22"/>
          <w:szCs w:val="22"/>
          <w:color w:val="auto"/>
        </w:rPr>
        <w:t>Name: Bret D. Yunker</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Title: Chief Financial Officer</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140"/>
        <w:spacing w:after="0"/>
        <w:rPr>
          <w:sz w:val="20"/>
          <w:szCs w:val="20"/>
          <w:color w:val="auto"/>
        </w:rPr>
      </w:pPr>
      <w:r>
        <w:rPr>
          <w:rFonts w:ascii="Arial" w:cs="Arial" w:eastAsia="Arial" w:hAnsi="Arial"/>
          <w:sz w:val="19"/>
          <w:szCs w:val="19"/>
          <w:color w:val="auto"/>
        </w:rPr>
        <w:t>[Signature Page to Ninth Amendment to Regional Lease]</w:t>
      </w:r>
    </w:p>
    <w:p>
      <w:pPr>
        <w:sectPr>
          <w:pgSz w:w="11900" w:h="16838" w:orient="portrait"/>
          <w:cols w:equalWidth="0" w:num="1">
            <w:col w:w="10139"/>
          </w:cols>
          <w:pgMar w:left="320" w:top="1440" w:right="1440" w:bottom="1440" w:gutter="0" w:footer="0" w:header="0"/>
          <w:type w:val="continuous"/>
        </w:sectPr>
      </w:pPr>
    </w:p>
    <w:bookmarkStart w:id="177" w:name="page178"/>
    <w:bookmarkEnd w:id="177"/>
    <w:p>
      <w:pPr>
        <w:spacing w:after="0"/>
        <w:rPr>
          <w:sz w:val="20"/>
          <w:szCs w:val="20"/>
          <w:color w:val="auto"/>
        </w:rPr>
      </w:pPr>
      <w:r>
        <w:rPr>
          <w:rFonts w:ascii="Arial" w:cs="Arial" w:eastAsia="Arial" w:hAnsi="Arial"/>
          <w:sz w:val="19"/>
          <w:szCs w:val="19"/>
          <w:color w:val="auto"/>
        </w:rPr>
        <w:t xml:space="preserve">Acknowledged and agreed, solely for the purposes of the penultimate paragraph of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of the Lease:</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PROPCO TRS LLC,</w:t>
      </w:r>
    </w:p>
    <w:p>
      <w:pPr>
        <w:spacing w:after="0"/>
        <w:rPr>
          <w:sz w:val="20"/>
          <w:szCs w:val="20"/>
          <w:color w:val="auto"/>
        </w:rPr>
      </w:pPr>
      <w:r>
        <w:rPr>
          <w:rFonts w:ascii="Arial" w:cs="Arial" w:eastAsia="Arial" w:hAnsi="Arial"/>
          <w:sz w:val="22"/>
          <w:szCs w:val="22"/>
          <w:color w:val="auto"/>
        </w:rPr>
        <w:t>a Delaware limited liability company</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By: /s/ David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-5715</wp:posOffset>
            </wp:positionV>
            <wp:extent cx="136017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0">
                      <a:extLst>
                        <a:ext uri="{28A0092B-C50C-407E-A947-70E740481C1C}"/>
                      </a:extLst>
                    </a:blip>
                    <a:srcRect/>
                    <a:stretch>
                      <a:fillRect/>
                    </a:stretch>
                  </pic:blipFill>
                  <pic:spPr bwMode="auto">
                    <a:xfrm>
                      <a:off x="0" y="0"/>
                      <a:ext cx="1360170" cy="8890"/>
                    </a:xfrm>
                    <a:prstGeom prst="rect">
                      <a:avLst/>
                    </a:prstGeom>
                    <a:noFill/>
                  </pic:spPr>
                </pic:pic>
              </a:graphicData>
            </a:graphic>
          </wp:anchor>
        </w:drawing>
      </w:r>
    </w:p>
    <w:p>
      <w:pPr>
        <w:ind w:left="340"/>
        <w:spacing w:after="0" w:line="204" w:lineRule="auto"/>
        <w:rPr>
          <w:sz w:val="20"/>
          <w:szCs w:val="20"/>
          <w:color w:val="auto"/>
        </w:rPr>
      </w:pPr>
      <w:r>
        <w:rPr>
          <w:rFonts w:ascii="Arial" w:cs="Arial" w:eastAsia="Arial" w:hAnsi="Arial"/>
          <w:sz w:val="22"/>
          <w:szCs w:val="22"/>
          <w:color w:val="auto"/>
        </w:rPr>
        <w:t>Name: David Kieske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140"/>
        <w:spacing w:after="0"/>
        <w:rPr>
          <w:sz w:val="20"/>
          <w:szCs w:val="20"/>
          <w:color w:val="auto"/>
        </w:rPr>
      </w:pPr>
      <w:r>
        <w:rPr>
          <w:rFonts w:ascii="Arial" w:cs="Arial" w:eastAsia="Arial" w:hAnsi="Arial"/>
          <w:sz w:val="22"/>
          <w:szCs w:val="22"/>
          <w:color w:val="auto"/>
        </w:rPr>
        <w:t>[Signature Page to Ninth Amendment to Regional Lease]</w:t>
      </w:r>
    </w:p>
    <w:p>
      <w:pPr>
        <w:sectPr>
          <w:pgSz w:w="11900" w:h="16838" w:orient="portrait"/>
          <w:cols w:equalWidth="0" w:num="1">
            <w:col w:w="10139"/>
          </w:cols>
          <w:pgMar w:left="320" w:top="1401" w:right="1440" w:bottom="1440" w:gutter="0" w:footer="0" w:header="0"/>
        </w:sectPr>
      </w:pPr>
    </w:p>
    <w:bookmarkStart w:id="178" w:name="page179"/>
    <w:bookmarkEnd w:id="178"/>
    <w:p>
      <w:pPr>
        <w:jc w:val="center"/>
        <w:spacing w:after="0"/>
        <w:rPr>
          <w:sz w:val="20"/>
          <w:szCs w:val="20"/>
          <w:color w:val="auto"/>
        </w:rPr>
      </w:pPr>
      <w:r>
        <w:rPr>
          <w:rFonts w:ascii="Arial" w:cs="Arial" w:eastAsia="Arial" w:hAnsi="Arial"/>
          <w:sz w:val="22"/>
          <w:szCs w:val="22"/>
          <w:b w:val="1"/>
          <w:bCs w:val="1"/>
          <w:color w:val="auto"/>
        </w:rPr>
        <w:t>ACKNOWLEDGMENT AND AGREEMENT OF GUARANTOR</w:t>
      </w:r>
    </w:p>
    <w:p>
      <w:pPr>
        <w:spacing w:after="0" w:line="185"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The undersigned (“</w:t>
      </w:r>
      <w:r>
        <w:rPr>
          <w:rFonts w:ascii="Arial" w:cs="Arial" w:eastAsia="Arial" w:hAnsi="Arial"/>
          <w:sz w:val="21"/>
          <w:szCs w:val="21"/>
          <w:u w:val="single" w:color="auto"/>
          <w:color w:val="auto"/>
        </w:rPr>
        <w:t>Guarantor</w:t>
      </w:r>
      <w:r>
        <w:rPr>
          <w:rFonts w:ascii="Arial" w:cs="Arial" w:eastAsia="Arial" w:hAnsi="Arial"/>
          <w:sz w:val="21"/>
          <w:szCs w:val="21"/>
          <w:color w:val="auto"/>
        </w:rPr>
        <w:t>”) hereby: (a) acknowledges receipt of the Ninth Amendment to Lease (the “</w:t>
      </w:r>
      <w:r>
        <w:rPr>
          <w:rFonts w:ascii="Arial" w:cs="Arial" w:eastAsia="Arial" w:hAnsi="Arial"/>
          <w:sz w:val="21"/>
          <w:szCs w:val="21"/>
          <w:u w:val="single" w:color="auto"/>
          <w:color w:val="auto"/>
        </w:rPr>
        <w:t>Amendment</w:t>
      </w:r>
      <w:r>
        <w:rPr>
          <w:rFonts w:ascii="Arial" w:cs="Arial" w:eastAsia="Arial" w:hAnsi="Arial"/>
          <w:sz w:val="21"/>
          <w:szCs w:val="21"/>
          <w:color w:val="auto"/>
        </w:rPr>
        <w:t xml:space="preserve">”; capitalized terms used herein without definition having the meanings set forth in the Amendment), dated as of November 1, 2021, by and among the entities listed on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attached thereto, as Landlord, and the entities listed on </w:t>
      </w:r>
      <w:r>
        <w:rPr>
          <w:rFonts w:ascii="Arial" w:cs="Arial" w:eastAsia="Arial" w:hAnsi="Arial"/>
          <w:sz w:val="21"/>
          <w:szCs w:val="21"/>
          <w:u w:val="single" w:color="auto"/>
          <w:color w:val="auto"/>
        </w:rPr>
        <w:t>Schedule B</w:t>
      </w:r>
      <w:r>
        <w:rPr>
          <w:rFonts w:ascii="Arial" w:cs="Arial" w:eastAsia="Arial" w:hAnsi="Arial"/>
          <w:sz w:val="21"/>
          <w:szCs w:val="21"/>
          <w:color w:val="auto"/>
        </w:rPr>
        <w:t xml:space="preserve"> attached thereto, as Tenant, and the other parties party thereto; (b) consents to the terms and execution thereof; (c) ratifies and reaffirms Guarantor’s obligations to Landlord pursuant to the terms of that certain Guaranty of Lease, dated as of July 20, 2020 (the “</w:t>
      </w:r>
      <w:r>
        <w:rPr>
          <w:rFonts w:ascii="Arial" w:cs="Arial" w:eastAsia="Arial" w:hAnsi="Arial"/>
          <w:sz w:val="21"/>
          <w:szCs w:val="21"/>
          <w:u w:val="single" w:color="auto"/>
          <w:color w:val="auto"/>
        </w:rPr>
        <w:t>Guaranty</w:t>
      </w:r>
      <w:r>
        <w:rPr>
          <w:rFonts w:ascii="Arial" w:cs="Arial" w:eastAsia="Arial" w:hAnsi="Arial"/>
          <w:sz w:val="21"/>
          <w:szCs w:val="21"/>
          <w:color w:val="auto"/>
        </w:rPr>
        <w:t xml:space="preserve">”), by and between Guarantor and Landlord, and agrees that, except as expressly set forth in </w:t>
      </w:r>
      <w:r>
        <w:rPr>
          <w:rFonts w:ascii="Arial" w:cs="Arial" w:eastAsia="Arial" w:hAnsi="Arial"/>
          <w:sz w:val="21"/>
          <w:szCs w:val="21"/>
          <w:u w:val="single" w:color="auto"/>
          <w:color w:val="auto"/>
        </w:rPr>
        <w:t>Section 2.A.ii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3.A.ii</w:t>
      </w:r>
      <w:r>
        <w:rPr>
          <w:rFonts w:ascii="Arial" w:cs="Arial" w:eastAsia="Arial" w:hAnsi="Arial"/>
          <w:sz w:val="21"/>
          <w:szCs w:val="21"/>
          <w:color w:val="auto"/>
        </w:rPr>
        <w:t xml:space="preserve"> of the Amendment, nothing in the Amendment (including, without limitation, the assignment, assumption and release described in </w:t>
      </w:r>
      <w:r>
        <w:rPr>
          <w:rFonts w:ascii="Arial" w:cs="Arial" w:eastAsia="Arial" w:hAnsi="Arial"/>
          <w:sz w:val="21"/>
          <w:szCs w:val="21"/>
          <w:u w:val="single" w:color="auto"/>
          <w:color w:val="auto"/>
        </w:rPr>
        <w:t>Sections 3.A.iii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3.A.iv</w:t>
      </w:r>
      <w:r>
        <w:rPr>
          <w:rFonts w:ascii="Arial" w:cs="Arial" w:eastAsia="Arial" w:hAnsi="Arial"/>
          <w:sz w:val="21"/>
          <w:szCs w:val="21"/>
          <w:color w:val="auto"/>
        </w:rPr>
        <w:t xml:space="preserve"> of the Amendment) in any way impairs or lessens the Guarantor’s obligations under the Guaranty; and (d) acknowledges and agrees that the Guaranty is in full force and effect and is valid, binding and enforceable in accordance with its terms.</w:t>
      </w:r>
    </w:p>
    <w:p>
      <w:pPr>
        <w:spacing w:after="0" w:line="162"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IN WITNESS WHEREOF, the undersigned has caused this Acknowledgment and Agreement of Guarantor to be duly executed as of November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[Acknowledgment and Agreement of Guarantor]</w:t>
      </w:r>
    </w:p>
    <w:p>
      <w:pPr>
        <w:sectPr>
          <w:pgSz w:w="11900" w:h="16838" w:orient="portrait"/>
          <w:cols w:equalWidth="0" w:num="1">
            <w:col w:w="11240"/>
          </w:cols>
          <w:pgMar w:left="320" w:top="1395" w:right="339" w:bottom="1440" w:gutter="0" w:footer="0" w:header="0"/>
        </w:sectPr>
      </w:pPr>
    </w:p>
    <w:bookmarkStart w:id="179" w:name="page180"/>
    <w:bookmarkEnd w:id="179"/>
    <w:p>
      <w:pPr>
        <w:spacing w:after="0"/>
        <w:rPr>
          <w:sz w:val="20"/>
          <w:szCs w:val="20"/>
          <w:color w:val="auto"/>
        </w:rPr>
      </w:pPr>
      <w:r>
        <w:rPr>
          <w:rFonts w:ascii="Arial" w:cs="Arial" w:eastAsia="Arial" w:hAnsi="Arial"/>
          <w:sz w:val="22"/>
          <w:szCs w:val="22"/>
          <w:b w:val="1"/>
          <w:bCs w:val="1"/>
          <w:color w:val="auto"/>
        </w:rPr>
        <w:t>CAESARS ENTERTAINMENT, INC.</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By: /s/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-5715</wp:posOffset>
            </wp:positionV>
            <wp:extent cx="127635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1">
                      <a:extLst>
                        <a:ext uri="{28A0092B-C50C-407E-A947-70E740481C1C}"/>
                      </a:extLst>
                    </a:blip>
                    <a:srcRect/>
                    <a:stretch>
                      <a:fillRect/>
                    </a:stretch>
                  </pic:blipFill>
                  <pic:spPr bwMode="auto">
                    <a:xfrm>
                      <a:off x="0" y="0"/>
                      <a:ext cx="1276350" cy="8255"/>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2"/>
          <w:szCs w:val="22"/>
          <w:color w:val="auto"/>
        </w:rPr>
        <w:t>Name: Bret D. Yunker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2399"/>
        <w:spacing w:after="0"/>
        <w:rPr>
          <w:sz w:val="20"/>
          <w:szCs w:val="20"/>
          <w:color w:val="auto"/>
        </w:rPr>
      </w:pPr>
      <w:r>
        <w:rPr>
          <w:rFonts w:ascii="Arial" w:cs="Arial" w:eastAsia="Arial" w:hAnsi="Arial"/>
          <w:sz w:val="22"/>
          <w:szCs w:val="22"/>
          <w:color w:val="auto"/>
        </w:rPr>
        <w:t>[Acknowledgment and Agreement of Guarantor]</w:t>
      </w:r>
    </w:p>
    <w:p>
      <w:pPr>
        <w:sectPr>
          <w:pgSz w:w="11900" w:h="16838" w:orient="portrait"/>
          <w:cols w:equalWidth="0" w:num="1">
            <w:col w:w="10139"/>
          </w:cols>
          <w:pgMar w:left="320" w:top="1395" w:right="1440" w:bottom="1440" w:gutter="0" w:footer="0" w:header="0"/>
        </w:sectPr>
      </w:pPr>
    </w:p>
    <w:bookmarkStart w:id="180" w:name="page181"/>
    <w:bookmarkEnd w:id="180"/>
    <w:p>
      <w:pPr>
        <w:jc w:val="center"/>
        <w:ind w:right="-1100"/>
        <w:spacing w:after="0"/>
        <w:rPr>
          <w:sz w:val="20"/>
          <w:szCs w:val="20"/>
          <w:color w:val="auto"/>
        </w:rPr>
      </w:pPr>
      <w:r>
        <w:rPr>
          <w:rFonts w:ascii="Arial" w:cs="Arial" w:eastAsia="Arial" w:hAnsi="Arial"/>
          <w:sz w:val="22"/>
          <w:szCs w:val="22"/>
          <w:u w:val="single" w:color="auto"/>
          <w:color w:val="auto"/>
        </w:rPr>
        <w:t>Schedule A</w:t>
      </w:r>
    </w:p>
    <w:p>
      <w:pPr>
        <w:spacing w:after="0" w:line="179"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LANDLORD ENTITIES</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auto"/>
        </w:rPr>
        <w:t>Horseshoe Council Bluffs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Harrah’s Council Bluffs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Harrah’s Metropolis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New Horseshoe Hammond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Horseshoe Bossier City Prop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Harrah’s Bossier City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New Harrah’s North Kansas City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Grand Biloxi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Horseshoe Tunica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New Tunica Roadhouse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Caesars Atlantic City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Bally’s Atlantic City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Harrah’s Lake Tahoe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Harvey’s Lake Tahoe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Harrah’s Reno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Vegas Development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Vegas Operating Property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Miscellaneous Land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Propco Gulfport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Philadelphia Propco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Harrah’s Atlantic City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New Laughlin Owner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Harrah’s New Orleans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Schedule A</w:t>
      </w:r>
    </w:p>
    <w:p>
      <w:pPr>
        <w:sectPr>
          <w:pgSz w:w="11900" w:h="16838" w:orient="portrait"/>
          <w:cols w:equalWidth="0" w:num="1">
            <w:col w:w="10139"/>
          </w:cols>
          <w:pgMar w:left="320" w:top="1401" w:right="1440" w:bottom="1440" w:gutter="0" w:footer="0" w:header="0"/>
        </w:sectPr>
      </w:pPr>
    </w:p>
    <w:bookmarkStart w:id="181" w:name="page182"/>
    <w:bookmarkEnd w:id="181"/>
    <w:p>
      <w:pPr>
        <w:jc w:val="center"/>
        <w:ind w:right="-1100"/>
        <w:spacing w:after="0"/>
        <w:rPr>
          <w:sz w:val="20"/>
          <w:szCs w:val="20"/>
          <w:color w:val="auto"/>
        </w:rPr>
      </w:pPr>
      <w:r>
        <w:rPr>
          <w:rFonts w:ascii="Arial" w:cs="Arial" w:eastAsia="Arial" w:hAnsi="Arial"/>
          <w:sz w:val="22"/>
          <w:szCs w:val="22"/>
          <w:u w:val="single" w:color="auto"/>
          <w:color w:val="auto"/>
        </w:rPr>
        <w:t>Schedule B</w:t>
      </w:r>
    </w:p>
    <w:p>
      <w:pPr>
        <w:spacing w:after="0" w:line="179"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TENANT ENTITIES</w:t>
      </w:r>
    </w:p>
    <w:p>
      <w:pPr>
        <w:spacing w:after="0" w:line="179" w:lineRule="exact"/>
        <w:rPr>
          <w:sz w:val="20"/>
          <w:szCs w:val="20"/>
          <w:color w:val="auto"/>
        </w:rPr>
      </w:pPr>
    </w:p>
    <w:p>
      <w:pPr>
        <w:ind w:right="1799"/>
        <w:spacing w:after="0" w:line="307" w:lineRule="auto"/>
        <w:rPr>
          <w:sz w:val="20"/>
          <w:szCs w:val="20"/>
          <w:color w:val="auto"/>
        </w:rPr>
      </w:pPr>
      <w:r>
        <w:rPr>
          <w:rFonts w:ascii="Arial" w:cs="Arial" w:eastAsia="Arial" w:hAnsi="Arial"/>
          <w:sz w:val="22"/>
          <w:szCs w:val="22"/>
          <w:color w:val="auto"/>
        </w:rPr>
        <w:t>CEOC, LLC, successor in interest by merger to Caesars Entertainment Operating Company, Inc. HBR Realty Company LLC</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Harveys Iowa Management Company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Southern Illinois Riverboat/Casino Cruises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Horseshoe Hammond,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Horseshoe Entertainment</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Harrah’s Bossier City Investment Company,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Harrah’s North Kansas City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Grand Casinos of Biloxi,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Robinson Property Group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Tunica Roadhouse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Boardwalk Regency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Caesars New Jersey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Harveys Tahoe Management Company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Casino Computer Programming, Inc.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Harveys BR Management Company, Inc.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Hole in the Wall,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Chester Downs and Marina,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Harrah’s Atlantic City Operating Company,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Harrah’s Laughlin,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Jazz Casino Company,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Schedule B</w:t>
      </w:r>
    </w:p>
    <w:p>
      <w:pPr>
        <w:sectPr>
          <w:pgSz w:w="11900" w:h="16838" w:orient="portrait"/>
          <w:cols w:equalWidth="0" w:num="1">
            <w:col w:w="10139"/>
          </w:cols>
          <w:pgMar w:left="320" w:top="1401" w:right="1440" w:bottom="1440" w:gutter="0" w:footer="0" w:header="0"/>
        </w:sectPr>
      </w:pPr>
    </w:p>
    <w:bookmarkStart w:id="182" w:name="page183"/>
    <w:bookmarkEnd w:id="182"/>
    <w:p>
      <w:pPr>
        <w:jc w:val="center"/>
        <w:ind w:right="19"/>
        <w:spacing w:after="0"/>
        <w:rPr>
          <w:sz w:val="20"/>
          <w:szCs w:val="20"/>
          <w:color w:val="auto"/>
        </w:rPr>
      </w:pPr>
      <w:r>
        <w:rPr>
          <w:rFonts w:ascii="Arial" w:cs="Arial" w:eastAsia="Arial" w:hAnsi="Arial"/>
          <w:sz w:val="22"/>
          <w:szCs w:val="22"/>
          <w:u w:val="single" w:color="auto"/>
          <w:color w:val="auto"/>
        </w:rPr>
        <w:t>Schedule C</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2018 FACILITY EBITDAR</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Schedule C</w:t>
      </w:r>
    </w:p>
    <w:p>
      <w:pPr>
        <w:sectPr>
          <w:pgSz w:w="11900" w:h="16838" w:orient="portrait"/>
          <w:cols w:equalWidth="0" w:num="1">
            <w:col w:w="9019"/>
          </w:cols>
          <w:pgMar w:left="1440" w:top="1401" w:right="1440" w:bottom="1440" w:gutter="0" w:footer="0" w:header="0"/>
        </w:sectPr>
      </w:pPr>
    </w:p>
    <w:bookmarkStart w:id="183" w:name="page184"/>
    <w:bookmarkEnd w:id="183"/>
    <w:p>
      <w:pPr>
        <w:jc w:val="center"/>
        <w:spacing w:after="0"/>
        <w:rPr>
          <w:sz w:val="20"/>
          <w:szCs w:val="20"/>
          <w:color w:val="auto"/>
        </w:rPr>
      </w:pPr>
      <w:r>
        <w:rPr>
          <w:rFonts w:ascii="Arial" w:cs="Arial" w:eastAsia="Arial" w:hAnsi="Arial"/>
          <w:sz w:val="22"/>
          <w:szCs w:val="22"/>
          <w:u w:val="single" w:color="auto"/>
          <w:color w:val="auto"/>
        </w:rPr>
        <w:t>Schedule 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NEW EXHIBIT A</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Schedule D</w:t>
      </w:r>
    </w:p>
    <w:p>
      <w:pPr>
        <w:sectPr>
          <w:pgSz w:w="11900" w:h="16838" w:orient="portrait"/>
          <w:cols w:equalWidth="0" w:num="1">
            <w:col w:w="9019"/>
          </w:cols>
          <w:pgMar w:left="1440" w:top="1401" w:right="1440" w:bottom="1440" w:gutter="0" w:footer="0" w:header="0"/>
        </w:sectPr>
      </w:pPr>
    </w:p>
    <w:bookmarkStart w:id="184" w:name="page185"/>
    <w:bookmarkEnd w:id="184"/>
    <w:p>
      <w:pPr>
        <w:ind w:left="5080"/>
        <w:spacing w:after="0"/>
        <w:rPr>
          <w:sz w:val="20"/>
          <w:szCs w:val="20"/>
          <w:color w:val="auto"/>
        </w:rPr>
      </w:pPr>
      <w:r>
        <w:rPr>
          <w:rFonts w:ascii="Arial" w:cs="Arial" w:eastAsia="Arial" w:hAnsi="Arial"/>
          <w:sz w:val="22"/>
          <w:szCs w:val="22"/>
          <w:color w:val="auto"/>
        </w:rPr>
        <w:t>EXHIBIT A</w:t>
      </w:r>
    </w:p>
    <w:p>
      <w:pPr>
        <w:spacing w:after="0" w:line="179"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FACILITIES</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860" w:type="dxa"/>
            <w:vAlign w:val="bottom"/>
            <w:tcBorders>
              <w:top w:val="single" w:sz="8" w:color="auto"/>
              <w:left w:val="single" w:sz="8" w:color="auto"/>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No.</w:t>
            </w:r>
          </w:p>
        </w:tc>
        <w:tc>
          <w:tcPr>
            <w:tcW w:w="2600" w:type="dxa"/>
            <w:vAlign w:val="bottom"/>
            <w:tcBorders>
              <w:top w:val="single" w:sz="8" w:color="auto"/>
              <w:bottom w:val="single" w:sz="8" w:color="auto"/>
              <w:right w:val="single" w:sz="8" w:color="auto"/>
            </w:tcBorders>
          </w:tcPr>
          <w:p>
            <w:pPr>
              <w:ind w:left="940"/>
              <w:spacing w:after="0"/>
              <w:rPr>
                <w:sz w:val="20"/>
                <w:szCs w:val="20"/>
                <w:color w:val="auto"/>
              </w:rPr>
            </w:pPr>
            <w:r>
              <w:rPr>
                <w:rFonts w:ascii="Arial" w:cs="Arial" w:eastAsia="Arial" w:hAnsi="Arial"/>
                <w:sz w:val="18"/>
                <w:szCs w:val="18"/>
                <w:b w:val="1"/>
                <w:bCs w:val="1"/>
                <w:color w:val="auto"/>
              </w:rPr>
              <w:t>Property</w:t>
            </w:r>
          </w:p>
        </w:tc>
        <w:tc>
          <w:tcPr>
            <w:tcW w:w="2580" w:type="dxa"/>
            <w:vAlign w:val="bottom"/>
            <w:tcBorders>
              <w:top w:val="single" w:sz="8" w:color="auto"/>
              <w:bottom w:val="single" w:sz="8" w:color="auto"/>
              <w:right w:val="single" w:sz="8" w:color="auto"/>
            </w:tcBorders>
          </w:tcPr>
          <w:p>
            <w:pPr>
              <w:ind w:left="1080"/>
              <w:spacing w:after="0"/>
              <w:rPr>
                <w:sz w:val="20"/>
                <w:szCs w:val="20"/>
                <w:color w:val="auto"/>
              </w:rPr>
            </w:pPr>
            <w:r>
              <w:rPr>
                <w:rFonts w:ascii="Arial" w:cs="Arial" w:eastAsia="Arial" w:hAnsi="Arial"/>
                <w:sz w:val="18"/>
                <w:szCs w:val="18"/>
                <w:b w:val="1"/>
                <w:bCs w:val="1"/>
                <w:color w:val="auto"/>
              </w:rPr>
              <w:t>State</w:t>
            </w:r>
          </w:p>
        </w:tc>
        <w:tc>
          <w:tcPr>
            <w:tcW w:w="2620" w:type="dxa"/>
            <w:vAlign w:val="bottom"/>
            <w:tcBorders>
              <w:top w:val="single" w:sz="8" w:color="auto"/>
              <w:bottom w:val="single" w:sz="8" w:color="auto"/>
              <w:right w:val="single" w:sz="8" w:color="auto"/>
            </w:tcBorders>
          </w:tcPr>
          <w:p>
            <w:pPr>
              <w:ind w:left="880"/>
              <w:spacing w:after="0"/>
              <w:rPr>
                <w:sz w:val="20"/>
                <w:szCs w:val="20"/>
                <w:color w:val="auto"/>
              </w:rPr>
            </w:pPr>
            <w:r>
              <w:rPr>
                <w:rFonts w:ascii="Arial" w:cs="Arial" w:eastAsia="Arial" w:hAnsi="Arial"/>
                <w:sz w:val="18"/>
                <w:szCs w:val="18"/>
                <w:b w:val="1"/>
                <w:bCs w:val="1"/>
                <w:color w:val="auto"/>
              </w:rPr>
              <w:t>Fee Owner</w:t>
            </w:r>
          </w:p>
        </w:tc>
        <w:tc>
          <w:tcPr>
            <w:tcW w:w="2600" w:type="dxa"/>
            <w:vAlign w:val="bottom"/>
            <w:tcBorders>
              <w:top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b w:val="1"/>
                <w:bCs w:val="1"/>
                <w:color w:val="auto"/>
              </w:rPr>
              <w:t>Operating Entity</w:t>
            </w:r>
          </w:p>
        </w:tc>
        <w:tc>
          <w:tcPr>
            <w:tcW w:w="0" w:type="dxa"/>
            <w:vAlign w:val="bottom"/>
          </w:tcPr>
          <w:p>
            <w:pPr>
              <w:spacing w:after="0"/>
              <w:rPr>
                <w:sz w:val="1"/>
                <w:szCs w:val="1"/>
                <w:color w:val="auto"/>
              </w:rPr>
            </w:pPr>
          </w:p>
        </w:tc>
      </w:tr>
      <w:tr>
        <w:trPr>
          <w:trHeight w:val="224"/>
        </w:trPr>
        <w:tc>
          <w:tcPr>
            <w:tcW w:w="860" w:type="dxa"/>
            <w:vAlign w:val="bottom"/>
            <w:tcBorders>
              <w:left w:val="single" w:sz="8" w:color="auto"/>
              <w:right w:val="single" w:sz="8" w:color="auto"/>
            </w:tcBorders>
            <w:vMerge w:val="restart"/>
          </w:tcPr>
          <w:p>
            <w:pPr>
              <w:jc w:val="right"/>
              <w:ind w:right="430"/>
              <w:spacing w:after="0"/>
              <w:rPr>
                <w:sz w:val="20"/>
                <w:szCs w:val="20"/>
                <w:color w:val="auto"/>
              </w:rPr>
            </w:pPr>
            <w:r>
              <w:rPr>
                <w:rFonts w:ascii="Arial" w:cs="Arial" w:eastAsia="Arial" w:hAnsi="Arial"/>
                <w:sz w:val="18"/>
                <w:szCs w:val="18"/>
                <w:color w:val="auto"/>
              </w:rPr>
              <w:t>1.</w:t>
            </w: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Horseshoe Council Bluffs</w:t>
            </w:r>
          </w:p>
        </w:tc>
        <w:tc>
          <w:tcPr>
            <w:tcW w:w="2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Iowa</w:t>
            </w:r>
          </w:p>
        </w:tc>
        <w:tc>
          <w:tcPr>
            <w:tcW w:w="26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Horseshoe Council Bluffs LLC</w:t>
            </w:r>
          </w:p>
        </w:tc>
        <w:tc>
          <w:tcPr>
            <w:tcW w:w="26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HBR Realty Company LLC</w:t>
            </w:r>
          </w:p>
        </w:tc>
        <w:tc>
          <w:tcPr>
            <w:tcW w:w="0" w:type="dxa"/>
            <w:vAlign w:val="bottom"/>
          </w:tcPr>
          <w:p>
            <w:pPr>
              <w:spacing w:after="0"/>
              <w:rPr>
                <w:sz w:val="1"/>
                <w:szCs w:val="1"/>
                <w:color w:val="auto"/>
              </w:rPr>
            </w:pPr>
          </w:p>
        </w:tc>
      </w:tr>
      <w:tr>
        <w:trPr>
          <w:trHeight w:val="107"/>
        </w:trPr>
        <w:tc>
          <w:tcPr>
            <w:tcW w:w="860" w:type="dxa"/>
            <w:vAlign w:val="bottom"/>
            <w:tcBorders>
              <w:left w:val="single" w:sz="8" w:color="auto"/>
              <w:right w:val="single" w:sz="8" w:color="auto"/>
            </w:tcBorders>
            <w:vMerge w:val="continue"/>
          </w:tcPr>
          <w:p>
            <w:pPr>
              <w:spacing w:after="0"/>
              <w:rPr>
                <w:sz w:val="9"/>
                <w:szCs w:val="9"/>
                <w:color w:val="auto"/>
              </w:rPr>
            </w:pPr>
          </w:p>
        </w:tc>
        <w:tc>
          <w:tcPr>
            <w:tcW w:w="2600" w:type="dxa"/>
            <w:vAlign w:val="bottom"/>
            <w:tcBorders>
              <w:right w:val="single" w:sz="8" w:color="auto"/>
            </w:tcBorders>
          </w:tcPr>
          <w:p>
            <w:pPr>
              <w:spacing w:after="0"/>
              <w:rPr>
                <w:sz w:val="9"/>
                <w:szCs w:val="9"/>
                <w:color w:val="auto"/>
              </w:rPr>
            </w:pPr>
          </w:p>
        </w:tc>
        <w:tc>
          <w:tcPr>
            <w:tcW w:w="2580" w:type="dxa"/>
            <w:vAlign w:val="bottom"/>
            <w:tcBorders>
              <w:right w:val="single" w:sz="8" w:color="auto"/>
            </w:tcBorders>
          </w:tcPr>
          <w:p>
            <w:pPr>
              <w:spacing w:after="0"/>
              <w:rPr>
                <w:sz w:val="9"/>
                <w:szCs w:val="9"/>
                <w:color w:val="auto"/>
              </w:rPr>
            </w:pPr>
          </w:p>
        </w:tc>
        <w:tc>
          <w:tcPr>
            <w:tcW w:w="2620" w:type="dxa"/>
            <w:vAlign w:val="bottom"/>
            <w:tcBorders>
              <w:right w:val="single" w:sz="8" w:color="auto"/>
            </w:tcBorders>
          </w:tcPr>
          <w:p>
            <w:pPr>
              <w:spacing w:after="0"/>
              <w:rPr>
                <w:sz w:val="9"/>
                <w:szCs w:val="9"/>
                <w:color w:val="auto"/>
              </w:rPr>
            </w:pPr>
          </w:p>
        </w:tc>
        <w:tc>
          <w:tcPr>
            <w:tcW w:w="26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860" w:type="dxa"/>
            <w:vAlign w:val="bottom"/>
            <w:tcBorders>
              <w:left w:val="single" w:sz="8" w:color="auto"/>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258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Harveys BR Management</w:t>
            </w:r>
          </w:p>
        </w:tc>
        <w:tc>
          <w:tcPr>
            <w:tcW w:w="0" w:type="dxa"/>
            <w:vAlign w:val="bottom"/>
          </w:tcPr>
          <w:p>
            <w:pPr>
              <w:spacing w:after="0"/>
              <w:rPr>
                <w:sz w:val="1"/>
                <w:szCs w:val="1"/>
                <w:color w:val="auto"/>
              </w:rPr>
            </w:pPr>
          </w:p>
        </w:tc>
      </w:tr>
      <w:tr>
        <w:trPr>
          <w:trHeight w:val="230"/>
        </w:trPr>
        <w:tc>
          <w:tcPr>
            <w:tcW w:w="860" w:type="dxa"/>
            <w:vAlign w:val="bottom"/>
            <w:tcBorders>
              <w:left w:val="single" w:sz="8" w:color="auto"/>
              <w:right w:val="single" w:sz="8" w:color="auto"/>
            </w:tcBorders>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Company, Inc.</w:t>
            </w:r>
          </w:p>
        </w:tc>
        <w:tc>
          <w:tcPr>
            <w:tcW w:w="0" w:type="dxa"/>
            <w:vAlign w:val="bottom"/>
          </w:tcPr>
          <w:p>
            <w:pPr>
              <w:spacing w:after="0"/>
              <w:rPr>
                <w:sz w:val="1"/>
                <w:szCs w:val="1"/>
                <w:color w:val="auto"/>
              </w:rPr>
            </w:pPr>
          </w:p>
        </w:tc>
      </w:tr>
      <w:tr>
        <w:trPr>
          <w:trHeight w:val="107"/>
        </w:trPr>
        <w:tc>
          <w:tcPr>
            <w:tcW w:w="860" w:type="dxa"/>
            <w:vAlign w:val="bottom"/>
            <w:tcBorders>
              <w:left w:val="single" w:sz="8" w:color="auto"/>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2620" w:type="dxa"/>
            <w:vAlign w:val="bottom"/>
            <w:tcBorders>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860" w:type="dxa"/>
            <w:vAlign w:val="bottom"/>
            <w:tcBorders>
              <w:left w:val="single" w:sz="8" w:color="auto"/>
              <w:right w:val="single" w:sz="8" w:color="auto"/>
            </w:tcBorders>
            <w:vMerge w:val="restart"/>
          </w:tcPr>
          <w:p>
            <w:pPr>
              <w:jc w:val="right"/>
              <w:ind w:right="430"/>
              <w:spacing w:after="0"/>
              <w:rPr>
                <w:sz w:val="20"/>
                <w:szCs w:val="20"/>
                <w:color w:val="auto"/>
              </w:rPr>
            </w:pPr>
            <w:r>
              <w:rPr>
                <w:rFonts w:ascii="Arial" w:cs="Arial" w:eastAsia="Arial" w:hAnsi="Arial"/>
                <w:sz w:val="18"/>
                <w:szCs w:val="18"/>
                <w:color w:val="auto"/>
              </w:rPr>
              <w:t>2.</w:t>
            </w: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Harrah’s Council Bluffs</w:t>
            </w:r>
          </w:p>
        </w:tc>
        <w:tc>
          <w:tcPr>
            <w:tcW w:w="2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Iowa</w:t>
            </w:r>
          </w:p>
        </w:tc>
        <w:tc>
          <w:tcPr>
            <w:tcW w:w="26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Harrah's Council Bluffs LLC</w:t>
            </w:r>
          </w:p>
        </w:tc>
        <w:tc>
          <w:tcPr>
            <w:tcW w:w="26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Harveys Iowa Management</w:t>
            </w:r>
          </w:p>
        </w:tc>
        <w:tc>
          <w:tcPr>
            <w:tcW w:w="0" w:type="dxa"/>
            <w:vAlign w:val="bottom"/>
          </w:tcPr>
          <w:p>
            <w:pPr>
              <w:spacing w:after="0"/>
              <w:rPr>
                <w:sz w:val="1"/>
                <w:szCs w:val="1"/>
                <w:color w:val="auto"/>
              </w:rPr>
            </w:pPr>
          </w:p>
        </w:tc>
      </w:tr>
      <w:tr>
        <w:trPr>
          <w:trHeight w:val="53"/>
        </w:trPr>
        <w:tc>
          <w:tcPr>
            <w:tcW w:w="860" w:type="dxa"/>
            <w:vAlign w:val="bottom"/>
            <w:tcBorders>
              <w:left w:val="single" w:sz="8" w:color="auto"/>
              <w:right w:val="single" w:sz="8" w:color="auto"/>
            </w:tcBorders>
            <w:vMerge w:val="continue"/>
          </w:tcPr>
          <w:p>
            <w:pPr>
              <w:spacing w:after="0"/>
              <w:rPr>
                <w:sz w:val="4"/>
                <w:szCs w:val="4"/>
                <w:color w:val="auto"/>
              </w:rPr>
            </w:pPr>
          </w:p>
        </w:tc>
        <w:tc>
          <w:tcPr>
            <w:tcW w:w="2600" w:type="dxa"/>
            <w:vAlign w:val="bottom"/>
            <w:tcBorders>
              <w:right w:val="single" w:sz="8" w:color="auto"/>
            </w:tcBorders>
          </w:tcPr>
          <w:p>
            <w:pPr>
              <w:spacing w:after="0"/>
              <w:rPr>
                <w:sz w:val="4"/>
                <w:szCs w:val="4"/>
                <w:color w:val="auto"/>
              </w:rPr>
            </w:pPr>
          </w:p>
        </w:tc>
        <w:tc>
          <w:tcPr>
            <w:tcW w:w="2580" w:type="dxa"/>
            <w:vAlign w:val="bottom"/>
            <w:tcBorders>
              <w:right w:val="single" w:sz="8" w:color="auto"/>
            </w:tcBorders>
          </w:tcPr>
          <w:p>
            <w:pPr>
              <w:spacing w:after="0"/>
              <w:rPr>
                <w:sz w:val="4"/>
                <w:szCs w:val="4"/>
                <w:color w:val="auto"/>
              </w:rPr>
            </w:pPr>
          </w:p>
        </w:tc>
        <w:tc>
          <w:tcPr>
            <w:tcW w:w="2620" w:type="dxa"/>
            <w:vAlign w:val="bottom"/>
            <w:tcBorders>
              <w:right w:val="single" w:sz="8" w:color="auto"/>
            </w:tcBorders>
          </w:tcPr>
          <w:p>
            <w:pPr>
              <w:spacing w:after="0"/>
              <w:rPr>
                <w:sz w:val="4"/>
                <w:szCs w:val="4"/>
                <w:color w:val="auto"/>
              </w:rPr>
            </w:pPr>
          </w:p>
        </w:tc>
        <w:tc>
          <w:tcPr>
            <w:tcW w:w="26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860" w:type="dxa"/>
            <w:vAlign w:val="bottom"/>
            <w:tcBorders>
              <w:left w:val="single" w:sz="8" w:color="auto"/>
              <w:right w:val="single" w:sz="8" w:color="auto"/>
            </w:tcBorders>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Company LLC</w:t>
            </w:r>
          </w:p>
        </w:tc>
        <w:tc>
          <w:tcPr>
            <w:tcW w:w="0" w:type="dxa"/>
            <w:vAlign w:val="bottom"/>
          </w:tcPr>
          <w:p>
            <w:pPr>
              <w:spacing w:after="0"/>
              <w:rPr>
                <w:sz w:val="1"/>
                <w:szCs w:val="1"/>
                <w:color w:val="auto"/>
              </w:rPr>
            </w:pPr>
          </w:p>
        </w:tc>
      </w:tr>
      <w:tr>
        <w:trPr>
          <w:trHeight w:val="229"/>
        </w:trPr>
        <w:tc>
          <w:tcPr>
            <w:tcW w:w="860" w:type="dxa"/>
            <w:vAlign w:val="bottom"/>
            <w:tcBorders>
              <w:left w:val="single" w:sz="8" w:color="auto"/>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258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2"/>
              </w:rPr>
              <w:t>CEOC, LLC, successor in interest</w:t>
            </w:r>
          </w:p>
        </w:tc>
        <w:tc>
          <w:tcPr>
            <w:tcW w:w="0" w:type="dxa"/>
            <w:vAlign w:val="bottom"/>
          </w:tcPr>
          <w:p>
            <w:pPr>
              <w:spacing w:after="0"/>
              <w:rPr>
                <w:sz w:val="1"/>
                <w:szCs w:val="1"/>
                <w:color w:val="auto"/>
              </w:rPr>
            </w:pPr>
          </w:p>
        </w:tc>
      </w:tr>
      <w:tr>
        <w:trPr>
          <w:trHeight w:val="176"/>
        </w:trPr>
        <w:tc>
          <w:tcPr>
            <w:tcW w:w="860" w:type="dxa"/>
            <w:vAlign w:val="bottom"/>
            <w:tcBorders>
              <w:left w:val="single" w:sz="8" w:color="auto"/>
              <w:right w:val="single" w:sz="8" w:color="auto"/>
            </w:tcBorders>
          </w:tcPr>
          <w:p>
            <w:pPr>
              <w:spacing w:after="0"/>
              <w:rPr>
                <w:sz w:val="15"/>
                <w:szCs w:val="15"/>
                <w:color w:val="auto"/>
              </w:rPr>
            </w:pPr>
          </w:p>
        </w:tc>
        <w:tc>
          <w:tcPr>
            <w:tcW w:w="2600" w:type="dxa"/>
            <w:vAlign w:val="bottom"/>
            <w:tcBorders>
              <w:right w:val="single" w:sz="8" w:color="auto"/>
            </w:tcBorders>
          </w:tcPr>
          <w:p>
            <w:pPr>
              <w:spacing w:after="0"/>
              <w:rPr>
                <w:sz w:val="15"/>
                <w:szCs w:val="15"/>
                <w:color w:val="auto"/>
              </w:rPr>
            </w:pPr>
          </w:p>
        </w:tc>
        <w:tc>
          <w:tcPr>
            <w:tcW w:w="258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tcPr>
          <w:p>
            <w:pPr>
              <w:spacing w:after="0"/>
              <w:rPr>
                <w:sz w:val="15"/>
                <w:szCs w:val="15"/>
                <w:color w:val="auto"/>
              </w:rPr>
            </w:pPr>
          </w:p>
        </w:tc>
        <w:tc>
          <w:tcPr>
            <w:tcW w:w="26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by merger to Caesars</w:t>
            </w:r>
          </w:p>
        </w:tc>
        <w:tc>
          <w:tcPr>
            <w:tcW w:w="0" w:type="dxa"/>
            <w:vAlign w:val="bottom"/>
          </w:tcPr>
          <w:p>
            <w:pPr>
              <w:spacing w:after="0"/>
              <w:rPr>
                <w:sz w:val="1"/>
                <w:szCs w:val="1"/>
                <w:color w:val="auto"/>
              </w:rPr>
            </w:pPr>
          </w:p>
        </w:tc>
      </w:tr>
      <w:tr>
        <w:trPr>
          <w:trHeight w:val="176"/>
        </w:trPr>
        <w:tc>
          <w:tcPr>
            <w:tcW w:w="860" w:type="dxa"/>
            <w:vAlign w:val="bottom"/>
            <w:tcBorders>
              <w:left w:val="single" w:sz="8" w:color="auto"/>
              <w:right w:val="single" w:sz="8" w:color="auto"/>
            </w:tcBorders>
          </w:tcPr>
          <w:p>
            <w:pPr>
              <w:spacing w:after="0"/>
              <w:rPr>
                <w:sz w:val="15"/>
                <w:szCs w:val="15"/>
                <w:color w:val="auto"/>
              </w:rPr>
            </w:pPr>
          </w:p>
        </w:tc>
        <w:tc>
          <w:tcPr>
            <w:tcW w:w="2600" w:type="dxa"/>
            <w:vAlign w:val="bottom"/>
            <w:tcBorders>
              <w:right w:val="single" w:sz="8" w:color="auto"/>
            </w:tcBorders>
          </w:tcPr>
          <w:p>
            <w:pPr>
              <w:spacing w:after="0"/>
              <w:rPr>
                <w:sz w:val="15"/>
                <w:szCs w:val="15"/>
                <w:color w:val="auto"/>
              </w:rPr>
            </w:pPr>
          </w:p>
        </w:tc>
        <w:tc>
          <w:tcPr>
            <w:tcW w:w="258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tcPr>
          <w:p>
            <w:pPr>
              <w:spacing w:after="0"/>
              <w:rPr>
                <w:sz w:val="15"/>
                <w:szCs w:val="15"/>
                <w:color w:val="auto"/>
              </w:rPr>
            </w:pPr>
          </w:p>
        </w:tc>
        <w:tc>
          <w:tcPr>
            <w:tcW w:w="26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Entertainment Operating</w:t>
            </w:r>
          </w:p>
        </w:tc>
        <w:tc>
          <w:tcPr>
            <w:tcW w:w="0" w:type="dxa"/>
            <w:vAlign w:val="bottom"/>
          </w:tcPr>
          <w:p>
            <w:pPr>
              <w:spacing w:after="0"/>
              <w:rPr>
                <w:sz w:val="1"/>
                <w:szCs w:val="1"/>
                <w:color w:val="auto"/>
              </w:rPr>
            </w:pPr>
          </w:p>
        </w:tc>
      </w:tr>
      <w:tr>
        <w:trPr>
          <w:trHeight w:val="230"/>
        </w:trPr>
        <w:tc>
          <w:tcPr>
            <w:tcW w:w="860" w:type="dxa"/>
            <w:vAlign w:val="bottom"/>
            <w:tcBorders>
              <w:left w:val="single" w:sz="8" w:color="auto"/>
              <w:right w:val="single" w:sz="8" w:color="auto"/>
            </w:tcBorders>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Company, Inc.</w:t>
            </w:r>
          </w:p>
        </w:tc>
        <w:tc>
          <w:tcPr>
            <w:tcW w:w="0" w:type="dxa"/>
            <w:vAlign w:val="bottom"/>
          </w:tcPr>
          <w:p>
            <w:pPr>
              <w:spacing w:after="0"/>
              <w:rPr>
                <w:sz w:val="1"/>
                <w:szCs w:val="1"/>
                <w:color w:val="auto"/>
              </w:rPr>
            </w:pPr>
          </w:p>
        </w:tc>
      </w:tr>
      <w:tr>
        <w:trPr>
          <w:trHeight w:val="107"/>
        </w:trPr>
        <w:tc>
          <w:tcPr>
            <w:tcW w:w="860" w:type="dxa"/>
            <w:vAlign w:val="bottom"/>
            <w:tcBorders>
              <w:left w:val="single" w:sz="8" w:color="auto"/>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2620" w:type="dxa"/>
            <w:vAlign w:val="bottom"/>
            <w:tcBorders>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860" w:type="dxa"/>
            <w:vAlign w:val="bottom"/>
            <w:tcBorders>
              <w:left w:val="single" w:sz="8" w:color="auto"/>
              <w:right w:val="single" w:sz="8" w:color="auto"/>
            </w:tcBorders>
            <w:vMerge w:val="restart"/>
          </w:tcPr>
          <w:p>
            <w:pPr>
              <w:jc w:val="right"/>
              <w:ind w:right="430"/>
              <w:spacing w:after="0"/>
              <w:rPr>
                <w:sz w:val="20"/>
                <w:szCs w:val="20"/>
                <w:color w:val="auto"/>
              </w:rPr>
            </w:pPr>
            <w:r>
              <w:rPr>
                <w:rFonts w:ascii="Arial" w:cs="Arial" w:eastAsia="Arial" w:hAnsi="Arial"/>
                <w:sz w:val="18"/>
                <w:szCs w:val="18"/>
                <w:color w:val="auto"/>
              </w:rPr>
              <w:t>3.</w:t>
            </w:r>
          </w:p>
        </w:tc>
        <w:tc>
          <w:tcPr>
            <w:tcW w:w="260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Harrah’s Metropolis</w:t>
            </w:r>
          </w:p>
        </w:tc>
        <w:tc>
          <w:tcPr>
            <w:tcW w:w="258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Illinois</w:t>
            </w:r>
          </w:p>
        </w:tc>
        <w:tc>
          <w:tcPr>
            <w:tcW w:w="262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8"/>
                <w:szCs w:val="18"/>
                <w:color w:val="auto"/>
              </w:rPr>
              <w:t>Harrah's Metropolis LLC</w:t>
            </w:r>
          </w:p>
        </w:tc>
        <w:tc>
          <w:tcPr>
            <w:tcW w:w="260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Southern Illinois</w:t>
            </w:r>
          </w:p>
        </w:tc>
        <w:tc>
          <w:tcPr>
            <w:tcW w:w="0" w:type="dxa"/>
            <w:vAlign w:val="bottom"/>
          </w:tcPr>
          <w:p>
            <w:pPr>
              <w:spacing w:after="0"/>
              <w:rPr>
                <w:sz w:val="1"/>
                <w:szCs w:val="1"/>
                <w:color w:val="auto"/>
              </w:rPr>
            </w:pPr>
          </w:p>
        </w:tc>
      </w:tr>
      <w:tr>
        <w:trPr>
          <w:trHeight w:val="162"/>
        </w:trPr>
        <w:tc>
          <w:tcPr>
            <w:tcW w:w="860" w:type="dxa"/>
            <w:vAlign w:val="bottom"/>
            <w:tcBorders>
              <w:left w:val="single" w:sz="8" w:color="auto"/>
              <w:right w:val="single" w:sz="8" w:color="auto"/>
            </w:tcBorders>
            <w:vMerge w:val="continue"/>
          </w:tcPr>
          <w:p>
            <w:pPr>
              <w:spacing w:after="0"/>
              <w:rPr>
                <w:sz w:val="14"/>
                <w:szCs w:val="14"/>
                <w:color w:val="auto"/>
              </w:rPr>
            </w:pPr>
          </w:p>
        </w:tc>
        <w:tc>
          <w:tcPr>
            <w:tcW w:w="2600" w:type="dxa"/>
            <w:vAlign w:val="bottom"/>
            <w:tcBorders>
              <w:right w:val="single" w:sz="8" w:color="auto"/>
            </w:tcBorders>
          </w:tcPr>
          <w:p>
            <w:pPr>
              <w:spacing w:after="0"/>
              <w:rPr>
                <w:sz w:val="14"/>
                <w:szCs w:val="14"/>
                <w:color w:val="auto"/>
              </w:rPr>
            </w:pPr>
          </w:p>
        </w:tc>
        <w:tc>
          <w:tcPr>
            <w:tcW w:w="2580" w:type="dxa"/>
            <w:vAlign w:val="bottom"/>
            <w:tcBorders>
              <w:right w:val="single" w:sz="8" w:color="auto"/>
            </w:tcBorders>
          </w:tcPr>
          <w:p>
            <w:pPr>
              <w:spacing w:after="0"/>
              <w:rPr>
                <w:sz w:val="14"/>
                <w:szCs w:val="14"/>
                <w:color w:val="auto"/>
              </w:rPr>
            </w:pPr>
          </w:p>
        </w:tc>
        <w:tc>
          <w:tcPr>
            <w:tcW w:w="2620" w:type="dxa"/>
            <w:vAlign w:val="bottom"/>
            <w:tcBorders>
              <w:right w:val="single" w:sz="8" w:color="auto"/>
            </w:tcBorders>
          </w:tcPr>
          <w:p>
            <w:pPr>
              <w:spacing w:after="0"/>
              <w:rPr>
                <w:sz w:val="14"/>
                <w:szCs w:val="14"/>
                <w:color w:val="auto"/>
              </w:rPr>
            </w:pPr>
          </w:p>
        </w:tc>
        <w:tc>
          <w:tcPr>
            <w:tcW w:w="26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Riverboat/Casino Cruises LLC</w:t>
            </w:r>
          </w:p>
        </w:tc>
        <w:tc>
          <w:tcPr>
            <w:tcW w:w="0" w:type="dxa"/>
            <w:vAlign w:val="bottom"/>
          </w:tcPr>
          <w:p>
            <w:pPr>
              <w:spacing w:after="0"/>
              <w:rPr>
                <w:sz w:val="1"/>
                <w:szCs w:val="1"/>
                <w:color w:val="auto"/>
              </w:rPr>
            </w:pPr>
          </w:p>
        </w:tc>
      </w:tr>
      <w:tr>
        <w:trPr>
          <w:trHeight w:val="68"/>
        </w:trPr>
        <w:tc>
          <w:tcPr>
            <w:tcW w:w="860" w:type="dxa"/>
            <w:vAlign w:val="bottom"/>
            <w:tcBorders>
              <w:left w:val="single" w:sz="8" w:color="auto"/>
              <w:right w:val="single" w:sz="8" w:color="auto"/>
            </w:tcBorders>
          </w:tcPr>
          <w:p>
            <w:pPr>
              <w:spacing w:after="0"/>
              <w:rPr>
                <w:sz w:val="5"/>
                <w:szCs w:val="5"/>
                <w:color w:val="auto"/>
              </w:rPr>
            </w:pPr>
          </w:p>
        </w:tc>
        <w:tc>
          <w:tcPr>
            <w:tcW w:w="2600" w:type="dxa"/>
            <w:vAlign w:val="bottom"/>
            <w:tcBorders>
              <w:right w:val="single" w:sz="8" w:color="auto"/>
            </w:tcBorders>
          </w:tcPr>
          <w:p>
            <w:pPr>
              <w:spacing w:after="0"/>
              <w:rPr>
                <w:sz w:val="5"/>
                <w:szCs w:val="5"/>
                <w:color w:val="auto"/>
              </w:rPr>
            </w:pPr>
          </w:p>
        </w:tc>
        <w:tc>
          <w:tcPr>
            <w:tcW w:w="2580" w:type="dxa"/>
            <w:vAlign w:val="bottom"/>
            <w:tcBorders>
              <w:right w:val="single" w:sz="8" w:color="auto"/>
            </w:tcBorders>
          </w:tcPr>
          <w:p>
            <w:pPr>
              <w:spacing w:after="0"/>
              <w:rPr>
                <w:sz w:val="5"/>
                <w:szCs w:val="5"/>
                <w:color w:val="auto"/>
              </w:rPr>
            </w:pPr>
          </w:p>
        </w:tc>
        <w:tc>
          <w:tcPr>
            <w:tcW w:w="2620" w:type="dxa"/>
            <w:vAlign w:val="bottom"/>
            <w:tcBorders>
              <w:right w:val="single" w:sz="8" w:color="auto"/>
            </w:tcBorders>
          </w:tcPr>
          <w:p>
            <w:pPr>
              <w:spacing w:after="0"/>
              <w:rPr>
                <w:sz w:val="5"/>
                <w:szCs w:val="5"/>
                <w:color w:val="auto"/>
              </w:rPr>
            </w:pPr>
          </w:p>
        </w:tc>
        <w:tc>
          <w:tcPr>
            <w:tcW w:w="26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860" w:type="dxa"/>
            <w:vAlign w:val="bottom"/>
            <w:tcBorders>
              <w:left w:val="single" w:sz="8" w:color="auto"/>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2620" w:type="dxa"/>
            <w:vAlign w:val="bottom"/>
            <w:tcBorders>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860" w:type="dxa"/>
            <w:vAlign w:val="bottom"/>
            <w:tcBorders>
              <w:left w:val="single" w:sz="8" w:color="auto"/>
              <w:right w:val="single" w:sz="8" w:color="auto"/>
            </w:tcBorders>
            <w:vMerge w:val="restart"/>
          </w:tcPr>
          <w:p>
            <w:pPr>
              <w:jc w:val="right"/>
              <w:ind w:right="430"/>
              <w:spacing w:after="0"/>
              <w:rPr>
                <w:sz w:val="20"/>
                <w:szCs w:val="20"/>
                <w:color w:val="auto"/>
              </w:rPr>
            </w:pPr>
            <w:r>
              <w:rPr>
                <w:rFonts w:ascii="Arial" w:cs="Arial" w:eastAsia="Arial" w:hAnsi="Arial"/>
                <w:sz w:val="18"/>
                <w:szCs w:val="18"/>
                <w:color w:val="auto"/>
              </w:rPr>
              <w:t>4.</w:t>
            </w: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Horseshoe Hammond</w:t>
            </w:r>
          </w:p>
        </w:tc>
        <w:tc>
          <w:tcPr>
            <w:tcW w:w="2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Indiana</w:t>
            </w:r>
          </w:p>
        </w:tc>
        <w:tc>
          <w:tcPr>
            <w:tcW w:w="26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8"/>
              </w:rPr>
              <w:t>New Horseshoe Hammond LLC</w:t>
            </w: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Horseshoe Hammond, LLC</w:t>
            </w:r>
          </w:p>
        </w:tc>
        <w:tc>
          <w:tcPr>
            <w:tcW w:w="0" w:type="dxa"/>
            <w:vAlign w:val="bottom"/>
          </w:tcPr>
          <w:p>
            <w:pPr>
              <w:spacing w:after="0"/>
              <w:rPr>
                <w:sz w:val="1"/>
                <w:szCs w:val="1"/>
                <w:color w:val="auto"/>
              </w:rPr>
            </w:pPr>
          </w:p>
        </w:tc>
      </w:tr>
      <w:tr>
        <w:trPr>
          <w:trHeight w:val="107"/>
        </w:trPr>
        <w:tc>
          <w:tcPr>
            <w:tcW w:w="860" w:type="dxa"/>
            <w:vAlign w:val="bottom"/>
            <w:tcBorders>
              <w:left w:val="single" w:sz="8" w:color="auto"/>
              <w:right w:val="single" w:sz="8" w:color="auto"/>
            </w:tcBorders>
            <w:vMerge w:val="continue"/>
          </w:tcPr>
          <w:p>
            <w:pPr>
              <w:spacing w:after="0"/>
              <w:rPr>
                <w:sz w:val="9"/>
                <w:szCs w:val="9"/>
                <w:color w:val="auto"/>
              </w:rPr>
            </w:pPr>
          </w:p>
        </w:tc>
        <w:tc>
          <w:tcPr>
            <w:tcW w:w="2600" w:type="dxa"/>
            <w:vAlign w:val="bottom"/>
            <w:tcBorders>
              <w:right w:val="single" w:sz="8" w:color="auto"/>
            </w:tcBorders>
          </w:tcPr>
          <w:p>
            <w:pPr>
              <w:spacing w:after="0"/>
              <w:rPr>
                <w:sz w:val="9"/>
                <w:szCs w:val="9"/>
                <w:color w:val="auto"/>
              </w:rPr>
            </w:pPr>
          </w:p>
        </w:tc>
        <w:tc>
          <w:tcPr>
            <w:tcW w:w="2580" w:type="dxa"/>
            <w:vAlign w:val="bottom"/>
            <w:tcBorders>
              <w:right w:val="single" w:sz="8" w:color="auto"/>
            </w:tcBorders>
          </w:tcPr>
          <w:p>
            <w:pPr>
              <w:spacing w:after="0"/>
              <w:rPr>
                <w:sz w:val="9"/>
                <w:szCs w:val="9"/>
                <w:color w:val="auto"/>
              </w:rPr>
            </w:pPr>
          </w:p>
        </w:tc>
        <w:tc>
          <w:tcPr>
            <w:tcW w:w="2620" w:type="dxa"/>
            <w:vAlign w:val="bottom"/>
            <w:tcBorders>
              <w:right w:val="single" w:sz="8" w:color="auto"/>
            </w:tcBorders>
          </w:tcPr>
          <w:p>
            <w:pPr>
              <w:spacing w:after="0"/>
              <w:rPr>
                <w:sz w:val="9"/>
                <w:szCs w:val="9"/>
                <w:color w:val="auto"/>
              </w:rPr>
            </w:pPr>
          </w:p>
        </w:tc>
        <w:tc>
          <w:tcPr>
            <w:tcW w:w="26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60" w:type="dxa"/>
            <w:vAlign w:val="bottom"/>
            <w:tcBorders>
              <w:left w:val="single" w:sz="8" w:color="auto"/>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2620" w:type="dxa"/>
            <w:vAlign w:val="bottom"/>
            <w:tcBorders>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860" w:type="dxa"/>
            <w:vAlign w:val="bottom"/>
            <w:tcBorders>
              <w:left w:val="single" w:sz="8" w:color="auto"/>
              <w:right w:val="single" w:sz="8" w:color="auto"/>
            </w:tcBorders>
            <w:vMerge w:val="restart"/>
          </w:tcPr>
          <w:p>
            <w:pPr>
              <w:jc w:val="right"/>
              <w:ind w:right="430"/>
              <w:spacing w:after="0"/>
              <w:rPr>
                <w:sz w:val="20"/>
                <w:szCs w:val="20"/>
                <w:color w:val="auto"/>
              </w:rPr>
            </w:pPr>
            <w:r>
              <w:rPr>
                <w:rFonts w:ascii="Arial" w:cs="Arial" w:eastAsia="Arial" w:hAnsi="Arial"/>
                <w:sz w:val="18"/>
                <w:szCs w:val="18"/>
                <w:color w:val="auto"/>
              </w:rPr>
              <w:t>5.</w:t>
            </w: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Horseshoe Bossier City</w:t>
            </w:r>
          </w:p>
        </w:tc>
        <w:tc>
          <w:tcPr>
            <w:tcW w:w="2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Louisiana</w:t>
            </w:r>
          </w:p>
        </w:tc>
        <w:tc>
          <w:tcPr>
            <w:tcW w:w="26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2"/>
              </w:rPr>
              <w:t>Horseshoe Bossier City Prop LLC</w:t>
            </w: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Horseshoe Entertainment</w:t>
            </w:r>
          </w:p>
        </w:tc>
        <w:tc>
          <w:tcPr>
            <w:tcW w:w="0" w:type="dxa"/>
            <w:vAlign w:val="bottom"/>
          </w:tcPr>
          <w:p>
            <w:pPr>
              <w:spacing w:after="0"/>
              <w:rPr>
                <w:sz w:val="1"/>
                <w:szCs w:val="1"/>
                <w:color w:val="auto"/>
              </w:rPr>
            </w:pPr>
          </w:p>
        </w:tc>
      </w:tr>
      <w:tr>
        <w:trPr>
          <w:trHeight w:val="107"/>
        </w:trPr>
        <w:tc>
          <w:tcPr>
            <w:tcW w:w="860" w:type="dxa"/>
            <w:vAlign w:val="bottom"/>
            <w:tcBorders>
              <w:left w:val="single" w:sz="8" w:color="auto"/>
              <w:right w:val="single" w:sz="8" w:color="auto"/>
            </w:tcBorders>
            <w:vMerge w:val="continue"/>
          </w:tcPr>
          <w:p>
            <w:pPr>
              <w:spacing w:after="0"/>
              <w:rPr>
                <w:sz w:val="9"/>
                <w:szCs w:val="9"/>
                <w:color w:val="auto"/>
              </w:rPr>
            </w:pPr>
          </w:p>
        </w:tc>
        <w:tc>
          <w:tcPr>
            <w:tcW w:w="2600" w:type="dxa"/>
            <w:vAlign w:val="bottom"/>
            <w:tcBorders>
              <w:right w:val="single" w:sz="8" w:color="auto"/>
            </w:tcBorders>
          </w:tcPr>
          <w:p>
            <w:pPr>
              <w:spacing w:after="0"/>
              <w:rPr>
                <w:sz w:val="9"/>
                <w:szCs w:val="9"/>
                <w:color w:val="auto"/>
              </w:rPr>
            </w:pPr>
          </w:p>
        </w:tc>
        <w:tc>
          <w:tcPr>
            <w:tcW w:w="2580" w:type="dxa"/>
            <w:vAlign w:val="bottom"/>
            <w:tcBorders>
              <w:right w:val="single" w:sz="8" w:color="auto"/>
            </w:tcBorders>
          </w:tcPr>
          <w:p>
            <w:pPr>
              <w:spacing w:after="0"/>
              <w:rPr>
                <w:sz w:val="9"/>
                <w:szCs w:val="9"/>
                <w:color w:val="auto"/>
              </w:rPr>
            </w:pPr>
          </w:p>
        </w:tc>
        <w:tc>
          <w:tcPr>
            <w:tcW w:w="2620" w:type="dxa"/>
            <w:vAlign w:val="bottom"/>
            <w:tcBorders>
              <w:right w:val="single" w:sz="8" w:color="auto"/>
            </w:tcBorders>
          </w:tcPr>
          <w:p>
            <w:pPr>
              <w:spacing w:after="0"/>
              <w:rPr>
                <w:sz w:val="9"/>
                <w:szCs w:val="9"/>
                <w:color w:val="auto"/>
              </w:rPr>
            </w:pPr>
          </w:p>
        </w:tc>
        <w:tc>
          <w:tcPr>
            <w:tcW w:w="26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60" w:type="dxa"/>
            <w:vAlign w:val="bottom"/>
            <w:tcBorders>
              <w:left w:val="single" w:sz="8" w:color="auto"/>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2620" w:type="dxa"/>
            <w:vAlign w:val="bottom"/>
            <w:tcBorders>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860" w:type="dxa"/>
            <w:vAlign w:val="bottom"/>
            <w:tcBorders>
              <w:left w:val="single" w:sz="8" w:color="auto"/>
              <w:right w:val="single" w:sz="8" w:color="auto"/>
            </w:tcBorders>
            <w:vMerge w:val="restart"/>
          </w:tcPr>
          <w:p>
            <w:pPr>
              <w:jc w:val="right"/>
              <w:ind w:right="430"/>
              <w:spacing w:after="0"/>
              <w:rPr>
                <w:sz w:val="20"/>
                <w:szCs w:val="20"/>
                <w:color w:val="auto"/>
              </w:rPr>
            </w:pPr>
            <w:r>
              <w:rPr>
                <w:rFonts w:ascii="Arial" w:cs="Arial" w:eastAsia="Arial" w:hAnsi="Arial"/>
                <w:sz w:val="18"/>
                <w:szCs w:val="18"/>
                <w:color w:val="auto"/>
              </w:rPr>
              <w:t>6.</w:t>
            </w:r>
          </w:p>
        </w:tc>
        <w:tc>
          <w:tcPr>
            <w:tcW w:w="260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Harrah’s North Kansas City</w:t>
            </w:r>
          </w:p>
        </w:tc>
        <w:tc>
          <w:tcPr>
            <w:tcW w:w="258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Missouri</w:t>
            </w:r>
          </w:p>
        </w:tc>
        <w:tc>
          <w:tcPr>
            <w:tcW w:w="262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8"/>
                <w:szCs w:val="18"/>
                <w:color w:val="auto"/>
                <w:w w:val="96"/>
              </w:rPr>
              <w:t>New Harrah's North Kansas City</w:t>
            </w:r>
          </w:p>
        </w:tc>
        <w:tc>
          <w:tcPr>
            <w:tcW w:w="260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w w:val="97"/>
              </w:rPr>
              <w:t>Harrah’s North Kansas City LLC</w:t>
            </w:r>
          </w:p>
        </w:tc>
        <w:tc>
          <w:tcPr>
            <w:tcW w:w="0" w:type="dxa"/>
            <w:vAlign w:val="bottom"/>
          </w:tcPr>
          <w:p>
            <w:pPr>
              <w:spacing w:after="0"/>
              <w:rPr>
                <w:sz w:val="1"/>
                <w:szCs w:val="1"/>
                <w:color w:val="auto"/>
              </w:rPr>
            </w:pPr>
          </w:p>
        </w:tc>
      </w:tr>
      <w:tr>
        <w:trPr>
          <w:trHeight w:val="162"/>
        </w:trPr>
        <w:tc>
          <w:tcPr>
            <w:tcW w:w="860" w:type="dxa"/>
            <w:vAlign w:val="bottom"/>
            <w:tcBorders>
              <w:left w:val="single" w:sz="8" w:color="auto"/>
              <w:right w:val="single" w:sz="8" w:color="auto"/>
            </w:tcBorders>
            <w:vMerge w:val="continue"/>
          </w:tcPr>
          <w:p>
            <w:pPr>
              <w:spacing w:after="0"/>
              <w:rPr>
                <w:sz w:val="14"/>
                <w:szCs w:val="14"/>
                <w:color w:val="auto"/>
              </w:rPr>
            </w:pPr>
          </w:p>
        </w:tc>
        <w:tc>
          <w:tcPr>
            <w:tcW w:w="2600" w:type="dxa"/>
            <w:vAlign w:val="bottom"/>
            <w:tcBorders>
              <w:right w:val="single" w:sz="8" w:color="auto"/>
            </w:tcBorders>
          </w:tcPr>
          <w:p>
            <w:pPr>
              <w:spacing w:after="0"/>
              <w:rPr>
                <w:sz w:val="14"/>
                <w:szCs w:val="14"/>
                <w:color w:val="auto"/>
              </w:rPr>
            </w:pPr>
          </w:p>
        </w:tc>
        <w:tc>
          <w:tcPr>
            <w:tcW w:w="2580" w:type="dxa"/>
            <w:vAlign w:val="bottom"/>
            <w:tcBorders>
              <w:right w:val="single" w:sz="8" w:color="auto"/>
            </w:tcBorders>
          </w:tcPr>
          <w:p>
            <w:pPr>
              <w:spacing w:after="0"/>
              <w:rPr>
                <w:sz w:val="14"/>
                <w:szCs w:val="14"/>
                <w:color w:val="auto"/>
              </w:rPr>
            </w:pPr>
          </w:p>
        </w:tc>
        <w:tc>
          <w:tcPr>
            <w:tcW w:w="262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LLC</w:t>
            </w:r>
          </w:p>
        </w:tc>
        <w:tc>
          <w:tcPr>
            <w:tcW w:w="26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860" w:type="dxa"/>
            <w:vAlign w:val="bottom"/>
            <w:tcBorders>
              <w:left w:val="single" w:sz="8" w:color="auto"/>
              <w:right w:val="single" w:sz="8" w:color="auto"/>
            </w:tcBorders>
          </w:tcPr>
          <w:p>
            <w:pPr>
              <w:spacing w:after="0"/>
              <w:rPr>
                <w:sz w:val="5"/>
                <w:szCs w:val="5"/>
                <w:color w:val="auto"/>
              </w:rPr>
            </w:pPr>
          </w:p>
        </w:tc>
        <w:tc>
          <w:tcPr>
            <w:tcW w:w="2600" w:type="dxa"/>
            <w:vAlign w:val="bottom"/>
            <w:tcBorders>
              <w:right w:val="single" w:sz="8" w:color="auto"/>
            </w:tcBorders>
          </w:tcPr>
          <w:p>
            <w:pPr>
              <w:spacing w:after="0"/>
              <w:rPr>
                <w:sz w:val="5"/>
                <w:szCs w:val="5"/>
                <w:color w:val="auto"/>
              </w:rPr>
            </w:pPr>
          </w:p>
        </w:tc>
        <w:tc>
          <w:tcPr>
            <w:tcW w:w="2580" w:type="dxa"/>
            <w:vAlign w:val="bottom"/>
            <w:tcBorders>
              <w:right w:val="single" w:sz="8" w:color="auto"/>
            </w:tcBorders>
          </w:tcPr>
          <w:p>
            <w:pPr>
              <w:spacing w:after="0"/>
              <w:rPr>
                <w:sz w:val="5"/>
                <w:szCs w:val="5"/>
                <w:color w:val="auto"/>
              </w:rPr>
            </w:pPr>
          </w:p>
        </w:tc>
        <w:tc>
          <w:tcPr>
            <w:tcW w:w="2620" w:type="dxa"/>
            <w:vAlign w:val="bottom"/>
            <w:tcBorders>
              <w:right w:val="single" w:sz="8" w:color="auto"/>
            </w:tcBorders>
            <w:vMerge w:val="continue"/>
          </w:tcPr>
          <w:p>
            <w:pPr>
              <w:spacing w:after="0"/>
              <w:rPr>
                <w:sz w:val="5"/>
                <w:szCs w:val="5"/>
                <w:color w:val="auto"/>
              </w:rPr>
            </w:pPr>
          </w:p>
        </w:tc>
        <w:tc>
          <w:tcPr>
            <w:tcW w:w="26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860" w:type="dxa"/>
            <w:vAlign w:val="bottom"/>
            <w:tcBorders>
              <w:left w:val="single" w:sz="8" w:color="auto"/>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2620" w:type="dxa"/>
            <w:vAlign w:val="bottom"/>
            <w:tcBorders>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860" w:type="dxa"/>
            <w:vAlign w:val="bottom"/>
            <w:tcBorders>
              <w:left w:val="single" w:sz="8" w:color="auto"/>
              <w:right w:val="single" w:sz="8" w:color="auto"/>
            </w:tcBorders>
            <w:vMerge w:val="restart"/>
          </w:tcPr>
          <w:p>
            <w:pPr>
              <w:jc w:val="right"/>
              <w:ind w:right="430"/>
              <w:spacing w:after="0"/>
              <w:rPr>
                <w:sz w:val="20"/>
                <w:szCs w:val="20"/>
                <w:color w:val="auto"/>
              </w:rPr>
            </w:pPr>
            <w:r>
              <w:rPr>
                <w:rFonts w:ascii="Arial" w:cs="Arial" w:eastAsia="Arial" w:hAnsi="Arial"/>
                <w:sz w:val="18"/>
                <w:szCs w:val="18"/>
                <w:color w:val="auto"/>
              </w:rPr>
              <w:t>7.</w:t>
            </w:r>
          </w:p>
        </w:tc>
        <w:tc>
          <w:tcPr>
            <w:tcW w:w="260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Harrah’s Gulf Coast (formerly</w:t>
            </w:r>
          </w:p>
        </w:tc>
        <w:tc>
          <w:tcPr>
            <w:tcW w:w="258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Mississippi</w:t>
            </w:r>
          </w:p>
        </w:tc>
        <w:tc>
          <w:tcPr>
            <w:tcW w:w="262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8"/>
                <w:szCs w:val="18"/>
                <w:color w:val="auto"/>
              </w:rPr>
              <w:t>Grand Biloxi LLC</w:t>
            </w:r>
          </w:p>
        </w:tc>
        <w:tc>
          <w:tcPr>
            <w:tcW w:w="26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Grand Casinos of Biloxi, LLC</w:t>
            </w:r>
          </w:p>
        </w:tc>
        <w:tc>
          <w:tcPr>
            <w:tcW w:w="0" w:type="dxa"/>
            <w:vAlign w:val="bottom"/>
          </w:tcPr>
          <w:p>
            <w:pPr>
              <w:spacing w:after="0"/>
              <w:rPr>
                <w:sz w:val="1"/>
                <w:szCs w:val="1"/>
                <w:color w:val="auto"/>
              </w:rPr>
            </w:pPr>
          </w:p>
        </w:tc>
      </w:tr>
      <w:tr>
        <w:trPr>
          <w:trHeight w:val="175"/>
        </w:trPr>
        <w:tc>
          <w:tcPr>
            <w:tcW w:w="860" w:type="dxa"/>
            <w:vAlign w:val="bottom"/>
            <w:tcBorders>
              <w:left w:val="single" w:sz="8" w:color="auto"/>
              <w:right w:val="single" w:sz="8" w:color="auto"/>
            </w:tcBorders>
            <w:vMerge w:val="continue"/>
          </w:tcPr>
          <w:p>
            <w:pPr>
              <w:spacing w:after="0"/>
              <w:rPr>
                <w:sz w:val="15"/>
                <w:szCs w:val="15"/>
                <w:color w:val="auto"/>
              </w:rPr>
            </w:pPr>
          </w:p>
        </w:tc>
        <w:tc>
          <w:tcPr>
            <w:tcW w:w="26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known as Grand Biloxi Casino</w:t>
            </w:r>
          </w:p>
        </w:tc>
        <w:tc>
          <w:tcPr>
            <w:tcW w:w="258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tcPr>
          <w:p>
            <w:pPr>
              <w:spacing w:after="0"/>
              <w:rPr>
                <w:sz w:val="15"/>
                <w:szCs w:val="15"/>
                <w:color w:val="auto"/>
              </w:rPr>
            </w:pPr>
          </w:p>
        </w:tc>
        <w:tc>
          <w:tcPr>
            <w:tcW w:w="26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60" w:type="dxa"/>
            <w:vAlign w:val="bottom"/>
            <w:tcBorders>
              <w:left w:val="single" w:sz="8" w:color="auto"/>
              <w:right w:val="single" w:sz="8" w:color="auto"/>
            </w:tcBorders>
          </w:tcPr>
          <w:p>
            <w:pPr>
              <w:spacing w:after="0"/>
              <w:rPr>
                <w:sz w:val="18"/>
                <w:szCs w:val="18"/>
                <w:color w:val="auto"/>
              </w:rPr>
            </w:pP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Hotel) and Biloxi Land</w:t>
            </w:r>
          </w:p>
        </w:tc>
        <w:tc>
          <w:tcPr>
            <w:tcW w:w="258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6"/>
              </w:rPr>
              <w:t>Casino Computer Programming,</w:t>
            </w:r>
          </w:p>
        </w:tc>
        <w:tc>
          <w:tcPr>
            <w:tcW w:w="0" w:type="dxa"/>
            <w:vAlign w:val="bottom"/>
          </w:tcPr>
          <w:p>
            <w:pPr>
              <w:spacing w:after="0"/>
              <w:rPr>
                <w:sz w:val="1"/>
                <w:szCs w:val="1"/>
                <w:color w:val="auto"/>
              </w:rPr>
            </w:pPr>
          </w:p>
        </w:tc>
      </w:tr>
      <w:tr>
        <w:trPr>
          <w:trHeight w:val="230"/>
        </w:trPr>
        <w:tc>
          <w:tcPr>
            <w:tcW w:w="860" w:type="dxa"/>
            <w:vAlign w:val="bottom"/>
            <w:tcBorders>
              <w:left w:val="single" w:sz="8" w:color="auto"/>
              <w:right w:val="single" w:sz="8" w:color="auto"/>
            </w:tcBorders>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Inc.</w:t>
            </w:r>
          </w:p>
        </w:tc>
        <w:tc>
          <w:tcPr>
            <w:tcW w:w="0" w:type="dxa"/>
            <w:vAlign w:val="bottom"/>
          </w:tcPr>
          <w:p>
            <w:pPr>
              <w:spacing w:after="0"/>
              <w:rPr>
                <w:sz w:val="1"/>
                <w:szCs w:val="1"/>
                <w:color w:val="auto"/>
              </w:rPr>
            </w:pPr>
          </w:p>
        </w:tc>
      </w:tr>
      <w:tr>
        <w:trPr>
          <w:trHeight w:val="107"/>
        </w:trPr>
        <w:tc>
          <w:tcPr>
            <w:tcW w:w="860" w:type="dxa"/>
            <w:vAlign w:val="bottom"/>
            <w:tcBorders>
              <w:left w:val="single" w:sz="8" w:color="auto"/>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2620" w:type="dxa"/>
            <w:vAlign w:val="bottom"/>
            <w:tcBorders>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860" w:type="dxa"/>
            <w:vAlign w:val="bottom"/>
            <w:tcBorders>
              <w:left w:val="single" w:sz="8" w:color="auto"/>
              <w:right w:val="single" w:sz="8" w:color="auto"/>
            </w:tcBorders>
            <w:vMerge w:val="restart"/>
          </w:tcPr>
          <w:p>
            <w:pPr>
              <w:jc w:val="right"/>
              <w:ind w:right="430"/>
              <w:spacing w:after="0"/>
              <w:rPr>
                <w:sz w:val="20"/>
                <w:szCs w:val="20"/>
                <w:color w:val="auto"/>
              </w:rPr>
            </w:pPr>
            <w:r>
              <w:rPr>
                <w:rFonts w:ascii="Arial" w:cs="Arial" w:eastAsia="Arial" w:hAnsi="Arial"/>
                <w:sz w:val="18"/>
                <w:szCs w:val="18"/>
                <w:color w:val="auto"/>
              </w:rPr>
              <w:t>8.</w:t>
            </w: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Horseshoe Tunica</w:t>
            </w:r>
          </w:p>
        </w:tc>
        <w:tc>
          <w:tcPr>
            <w:tcW w:w="2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Mississippi and Arkansas</w:t>
            </w:r>
          </w:p>
        </w:tc>
        <w:tc>
          <w:tcPr>
            <w:tcW w:w="26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Horseshoe Tunica LLC</w:t>
            </w: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Robinson Property Group LLC</w:t>
            </w:r>
          </w:p>
        </w:tc>
        <w:tc>
          <w:tcPr>
            <w:tcW w:w="0" w:type="dxa"/>
            <w:vAlign w:val="bottom"/>
          </w:tcPr>
          <w:p>
            <w:pPr>
              <w:spacing w:after="0"/>
              <w:rPr>
                <w:sz w:val="1"/>
                <w:szCs w:val="1"/>
                <w:color w:val="auto"/>
              </w:rPr>
            </w:pPr>
          </w:p>
        </w:tc>
      </w:tr>
      <w:tr>
        <w:trPr>
          <w:trHeight w:val="107"/>
        </w:trPr>
        <w:tc>
          <w:tcPr>
            <w:tcW w:w="860" w:type="dxa"/>
            <w:vAlign w:val="bottom"/>
            <w:tcBorders>
              <w:left w:val="single" w:sz="8" w:color="auto"/>
              <w:right w:val="single" w:sz="8" w:color="auto"/>
            </w:tcBorders>
            <w:vMerge w:val="continue"/>
          </w:tcPr>
          <w:p>
            <w:pPr>
              <w:spacing w:after="0"/>
              <w:rPr>
                <w:sz w:val="9"/>
                <w:szCs w:val="9"/>
                <w:color w:val="auto"/>
              </w:rPr>
            </w:pPr>
          </w:p>
        </w:tc>
        <w:tc>
          <w:tcPr>
            <w:tcW w:w="2600" w:type="dxa"/>
            <w:vAlign w:val="bottom"/>
            <w:tcBorders>
              <w:right w:val="single" w:sz="8" w:color="auto"/>
            </w:tcBorders>
          </w:tcPr>
          <w:p>
            <w:pPr>
              <w:spacing w:after="0"/>
              <w:rPr>
                <w:sz w:val="9"/>
                <w:szCs w:val="9"/>
                <w:color w:val="auto"/>
              </w:rPr>
            </w:pPr>
          </w:p>
        </w:tc>
        <w:tc>
          <w:tcPr>
            <w:tcW w:w="2580" w:type="dxa"/>
            <w:vAlign w:val="bottom"/>
            <w:tcBorders>
              <w:right w:val="single" w:sz="8" w:color="auto"/>
            </w:tcBorders>
          </w:tcPr>
          <w:p>
            <w:pPr>
              <w:spacing w:after="0"/>
              <w:rPr>
                <w:sz w:val="9"/>
                <w:szCs w:val="9"/>
                <w:color w:val="auto"/>
              </w:rPr>
            </w:pPr>
          </w:p>
        </w:tc>
        <w:tc>
          <w:tcPr>
            <w:tcW w:w="2620" w:type="dxa"/>
            <w:vAlign w:val="bottom"/>
            <w:tcBorders>
              <w:right w:val="single" w:sz="8" w:color="auto"/>
            </w:tcBorders>
          </w:tcPr>
          <w:p>
            <w:pPr>
              <w:spacing w:after="0"/>
              <w:rPr>
                <w:sz w:val="9"/>
                <w:szCs w:val="9"/>
                <w:color w:val="auto"/>
              </w:rPr>
            </w:pPr>
          </w:p>
        </w:tc>
        <w:tc>
          <w:tcPr>
            <w:tcW w:w="26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60" w:type="dxa"/>
            <w:vAlign w:val="bottom"/>
            <w:tcBorders>
              <w:left w:val="single" w:sz="8" w:color="auto"/>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2620" w:type="dxa"/>
            <w:vAlign w:val="bottom"/>
            <w:tcBorders>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860" w:type="dxa"/>
            <w:vAlign w:val="bottom"/>
            <w:tcBorders>
              <w:left w:val="single" w:sz="8" w:color="auto"/>
              <w:right w:val="single" w:sz="8" w:color="auto"/>
            </w:tcBorders>
            <w:vMerge w:val="restart"/>
          </w:tcPr>
          <w:p>
            <w:pPr>
              <w:jc w:val="right"/>
              <w:ind w:right="430"/>
              <w:spacing w:after="0"/>
              <w:rPr>
                <w:sz w:val="20"/>
                <w:szCs w:val="20"/>
                <w:color w:val="auto"/>
              </w:rPr>
            </w:pPr>
            <w:r>
              <w:rPr>
                <w:rFonts w:ascii="Arial" w:cs="Arial" w:eastAsia="Arial" w:hAnsi="Arial"/>
                <w:sz w:val="18"/>
                <w:szCs w:val="18"/>
                <w:color w:val="auto"/>
              </w:rPr>
              <w:t>9.</w:t>
            </w: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Tunica Roadhouse</w:t>
            </w:r>
          </w:p>
        </w:tc>
        <w:tc>
          <w:tcPr>
            <w:tcW w:w="2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Mississippi</w:t>
            </w:r>
          </w:p>
        </w:tc>
        <w:tc>
          <w:tcPr>
            <w:tcW w:w="26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New Tunica Roadhouse LLC</w:t>
            </w: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Tunica Roadhouse LLC</w:t>
            </w:r>
          </w:p>
        </w:tc>
        <w:tc>
          <w:tcPr>
            <w:tcW w:w="0" w:type="dxa"/>
            <w:vAlign w:val="bottom"/>
          </w:tcPr>
          <w:p>
            <w:pPr>
              <w:spacing w:after="0"/>
              <w:rPr>
                <w:sz w:val="1"/>
                <w:szCs w:val="1"/>
                <w:color w:val="auto"/>
              </w:rPr>
            </w:pPr>
          </w:p>
        </w:tc>
      </w:tr>
      <w:tr>
        <w:trPr>
          <w:trHeight w:val="107"/>
        </w:trPr>
        <w:tc>
          <w:tcPr>
            <w:tcW w:w="860" w:type="dxa"/>
            <w:vAlign w:val="bottom"/>
            <w:tcBorders>
              <w:left w:val="single" w:sz="8" w:color="auto"/>
              <w:right w:val="single" w:sz="8" w:color="auto"/>
            </w:tcBorders>
            <w:vMerge w:val="continue"/>
          </w:tcPr>
          <w:p>
            <w:pPr>
              <w:spacing w:after="0"/>
              <w:rPr>
                <w:sz w:val="9"/>
                <w:szCs w:val="9"/>
                <w:color w:val="auto"/>
              </w:rPr>
            </w:pPr>
          </w:p>
        </w:tc>
        <w:tc>
          <w:tcPr>
            <w:tcW w:w="2600" w:type="dxa"/>
            <w:vAlign w:val="bottom"/>
            <w:tcBorders>
              <w:right w:val="single" w:sz="8" w:color="auto"/>
            </w:tcBorders>
          </w:tcPr>
          <w:p>
            <w:pPr>
              <w:spacing w:after="0"/>
              <w:rPr>
                <w:sz w:val="9"/>
                <w:szCs w:val="9"/>
                <w:color w:val="auto"/>
              </w:rPr>
            </w:pPr>
          </w:p>
        </w:tc>
        <w:tc>
          <w:tcPr>
            <w:tcW w:w="2580" w:type="dxa"/>
            <w:vAlign w:val="bottom"/>
            <w:tcBorders>
              <w:right w:val="single" w:sz="8" w:color="auto"/>
            </w:tcBorders>
          </w:tcPr>
          <w:p>
            <w:pPr>
              <w:spacing w:after="0"/>
              <w:rPr>
                <w:sz w:val="9"/>
                <w:szCs w:val="9"/>
                <w:color w:val="auto"/>
              </w:rPr>
            </w:pPr>
          </w:p>
        </w:tc>
        <w:tc>
          <w:tcPr>
            <w:tcW w:w="2620" w:type="dxa"/>
            <w:vAlign w:val="bottom"/>
            <w:tcBorders>
              <w:right w:val="single" w:sz="8" w:color="auto"/>
            </w:tcBorders>
          </w:tcPr>
          <w:p>
            <w:pPr>
              <w:spacing w:after="0"/>
              <w:rPr>
                <w:sz w:val="9"/>
                <w:szCs w:val="9"/>
                <w:color w:val="auto"/>
              </w:rPr>
            </w:pPr>
          </w:p>
        </w:tc>
        <w:tc>
          <w:tcPr>
            <w:tcW w:w="26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60" w:type="dxa"/>
            <w:vAlign w:val="bottom"/>
            <w:tcBorders>
              <w:left w:val="single" w:sz="8" w:color="auto"/>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2620" w:type="dxa"/>
            <w:vAlign w:val="bottom"/>
            <w:tcBorders>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01" w:right="319" w:bottom="1440" w:gutter="0" w:footer="0" w:header="0"/>
        </w:sectPr>
      </w:pPr>
    </w:p>
    <w:bookmarkStart w:id="185" w:name="page186"/>
    <w:bookmarkEnd w:id="185"/>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860" w:type="dxa"/>
            <w:vAlign w:val="bottom"/>
            <w:tcBorders>
              <w:top w:val="single" w:sz="8" w:color="auto"/>
              <w:left w:val="single" w:sz="8" w:color="auto"/>
              <w:right w:val="single" w:sz="8" w:color="auto"/>
            </w:tcBorders>
            <w:vMerge w:val="restart"/>
          </w:tcPr>
          <w:p>
            <w:pPr>
              <w:jc w:val="right"/>
              <w:ind w:right="390"/>
              <w:spacing w:after="0"/>
              <w:rPr>
                <w:sz w:val="20"/>
                <w:szCs w:val="20"/>
                <w:color w:val="auto"/>
              </w:rPr>
            </w:pPr>
            <w:r>
              <w:rPr>
                <w:rFonts w:ascii="Arial" w:cs="Arial" w:eastAsia="Arial" w:hAnsi="Arial"/>
                <w:sz w:val="18"/>
                <w:szCs w:val="18"/>
                <w:color w:val="auto"/>
              </w:rPr>
              <w:t>10.</w:t>
            </w:r>
          </w:p>
        </w:tc>
        <w:tc>
          <w:tcPr>
            <w:tcW w:w="2600" w:type="dxa"/>
            <w:vAlign w:val="bottom"/>
            <w:tcBorders>
              <w:top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Caesars Atlantic City (includes</w:t>
            </w:r>
          </w:p>
        </w:tc>
        <w:tc>
          <w:tcPr>
            <w:tcW w:w="2580" w:type="dxa"/>
            <w:vAlign w:val="bottom"/>
            <w:tcBorders>
              <w:top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New Jersey</w:t>
            </w:r>
          </w:p>
        </w:tc>
        <w:tc>
          <w:tcPr>
            <w:tcW w:w="2620" w:type="dxa"/>
            <w:vAlign w:val="bottom"/>
            <w:tcBorders>
              <w:top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color w:val="auto"/>
              </w:rPr>
              <w:t>Caesars Atlantic City LLC</w:t>
            </w:r>
          </w:p>
        </w:tc>
        <w:tc>
          <w:tcPr>
            <w:tcW w:w="2600" w:type="dxa"/>
            <w:vAlign w:val="bottom"/>
            <w:tcBorders>
              <w:top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color w:val="auto"/>
              </w:rPr>
              <w:t>Boardwalk Regency LLC</w:t>
            </w:r>
          </w:p>
        </w:tc>
        <w:tc>
          <w:tcPr>
            <w:tcW w:w="0" w:type="dxa"/>
            <w:vAlign w:val="bottom"/>
          </w:tcPr>
          <w:p>
            <w:pPr>
              <w:spacing w:after="0"/>
              <w:rPr>
                <w:sz w:val="1"/>
                <w:szCs w:val="1"/>
                <w:color w:val="auto"/>
              </w:rPr>
            </w:pPr>
          </w:p>
        </w:tc>
      </w:tr>
      <w:tr>
        <w:trPr>
          <w:trHeight w:val="176"/>
        </w:trPr>
        <w:tc>
          <w:tcPr>
            <w:tcW w:w="860" w:type="dxa"/>
            <w:vAlign w:val="bottom"/>
            <w:tcBorders>
              <w:left w:val="single" w:sz="8" w:color="auto"/>
              <w:right w:val="single" w:sz="8" w:color="auto"/>
            </w:tcBorders>
            <w:vMerge w:val="continue"/>
          </w:tcPr>
          <w:p>
            <w:pPr>
              <w:spacing w:after="0"/>
              <w:rPr>
                <w:sz w:val="15"/>
                <w:szCs w:val="15"/>
                <w:color w:val="auto"/>
              </w:rPr>
            </w:pPr>
          </w:p>
        </w:tc>
        <w:tc>
          <w:tcPr>
            <w:tcW w:w="26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Wild Wild West and Block 488</w:t>
            </w:r>
          </w:p>
        </w:tc>
        <w:tc>
          <w:tcPr>
            <w:tcW w:w="258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vMerge w:val="continue"/>
          </w:tcPr>
          <w:p>
            <w:pPr>
              <w:spacing w:after="0"/>
              <w:rPr>
                <w:sz w:val="15"/>
                <w:szCs w:val="15"/>
                <w:color w:val="auto"/>
              </w:rPr>
            </w:pPr>
          </w:p>
        </w:tc>
        <w:tc>
          <w:tcPr>
            <w:tcW w:w="26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860" w:type="dxa"/>
            <w:vAlign w:val="bottom"/>
            <w:tcBorders>
              <w:left w:val="single" w:sz="8" w:color="auto"/>
              <w:right w:val="single" w:sz="8" w:color="auto"/>
            </w:tcBorders>
          </w:tcPr>
          <w:p>
            <w:pPr>
              <w:spacing w:after="0"/>
              <w:rPr>
                <w:sz w:val="23"/>
                <w:szCs w:val="23"/>
                <w:color w:val="auto"/>
              </w:rPr>
            </w:pP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Parcel)</w:t>
            </w:r>
          </w:p>
        </w:tc>
        <w:tc>
          <w:tcPr>
            <w:tcW w:w="2580" w:type="dxa"/>
            <w:vAlign w:val="bottom"/>
            <w:tcBorders>
              <w:right w:val="single" w:sz="8" w:color="auto"/>
            </w:tcBorders>
          </w:tcPr>
          <w:p>
            <w:pPr>
              <w:spacing w:after="0"/>
              <w:rPr>
                <w:sz w:val="23"/>
                <w:szCs w:val="23"/>
                <w:color w:val="auto"/>
              </w:rPr>
            </w:pPr>
          </w:p>
        </w:tc>
        <w:tc>
          <w:tcPr>
            <w:tcW w:w="262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Bally's Atlantic City LLC</w:t>
            </w: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Caesars New Jersey LLC</w:t>
            </w:r>
          </w:p>
        </w:tc>
        <w:tc>
          <w:tcPr>
            <w:tcW w:w="0" w:type="dxa"/>
            <w:vAlign w:val="bottom"/>
          </w:tcPr>
          <w:p>
            <w:pPr>
              <w:spacing w:after="0"/>
              <w:rPr>
                <w:sz w:val="1"/>
                <w:szCs w:val="1"/>
                <w:color w:val="auto"/>
              </w:rPr>
            </w:pPr>
          </w:p>
        </w:tc>
      </w:tr>
      <w:tr>
        <w:trPr>
          <w:trHeight w:val="108"/>
        </w:trPr>
        <w:tc>
          <w:tcPr>
            <w:tcW w:w="860" w:type="dxa"/>
            <w:vAlign w:val="bottom"/>
            <w:tcBorders>
              <w:left w:val="single" w:sz="8" w:color="auto"/>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2620" w:type="dxa"/>
            <w:vAlign w:val="bottom"/>
            <w:tcBorders>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860" w:type="dxa"/>
            <w:vAlign w:val="bottom"/>
            <w:tcBorders>
              <w:left w:val="single" w:sz="8" w:color="auto"/>
              <w:right w:val="single" w:sz="8" w:color="auto"/>
            </w:tcBorders>
            <w:vMerge w:val="restart"/>
          </w:tcPr>
          <w:p>
            <w:pPr>
              <w:jc w:val="right"/>
              <w:ind w:right="390"/>
              <w:spacing w:after="0"/>
              <w:rPr>
                <w:sz w:val="20"/>
                <w:szCs w:val="20"/>
                <w:color w:val="auto"/>
              </w:rPr>
            </w:pPr>
            <w:r>
              <w:rPr>
                <w:rFonts w:ascii="Arial" w:cs="Arial" w:eastAsia="Arial" w:hAnsi="Arial"/>
                <w:sz w:val="18"/>
                <w:szCs w:val="18"/>
                <w:color w:val="auto"/>
              </w:rPr>
              <w:t>11.</w:t>
            </w: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Harrah’s Lake Tahoe</w:t>
            </w:r>
          </w:p>
        </w:tc>
        <w:tc>
          <w:tcPr>
            <w:tcW w:w="2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Nevada</w:t>
            </w:r>
          </w:p>
        </w:tc>
        <w:tc>
          <w:tcPr>
            <w:tcW w:w="26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Harrah's Lake Tahoe LLC</w:t>
            </w:r>
          </w:p>
        </w:tc>
        <w:tc>
          <w:tcPr>
            <w:tcW w:w="26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Harveys Tahoe Management</w:t>
            </w:r>
          </w:p>
        </w:tc>
        <w:tc>
          <w:tcPr>
            <w:tcW w:w="0" w:type="dxa"/>
            <w:vAlign w:val="bottom"/>
          </w:tcPr>
          <w:p>
            <w:pPr>
              <w:spacing w:after="0"/>
              <w:rPr>
                <w:sz w:val="1"/>
                <w:szCs w:val="1"/>
                <w:color w:val="auto"/>
              </w:rPr>
            </w:pPr>
          </w:p>
        </w:tc>
      </w:tr>
      <w:tr>
        <w:trPr>
          <w:trHeight w:val="53"/>
        </w:trPr>
        <w:tc>
          <w:tcPr>
            <w:tcW w:w="860" w:type="dxa"/>
            <w:vAlign w:val="bottom"/>
            <w:tcBorders>
              <w:left w:val="single" w:sz="8" w:color="auto"/>
              <w:right w:val="single" w:sz="8" w:color="auto"/>
            </w:tcBorders>
            <w:vMerge w:val="continue"/>
          </w:tcPr>
          <w:p>
            <w:pPr>
              <w:spacing w:after="0"/>
              <w:rPr>
                <w:sz w:val="4"/>
                <w:szCs w:val="4"/>
                <w:color w:val="auto"/>
              </w:rPr>
            </w:pPr>
          </w:p>
        </w:tc>
        <w:tc>
          <w:tcPr>
            <w:tcW w:w="2600" w:type="dxa"/>
            <w:vAlign w:val="bottom"/>
            <w:tcBorders>
              <w:right w:val="single" w:sz="8" w:color="auto"/>
            </w:tcBorders>
          </w:tcPr>
          <w:p>
            <w:pPr>
              <w:spacing w:after="0"/>
              <w:rPr>
                <w:sz w:val="4"/>
                <w:szCs w:val="4"/>
                <w:color w:val="auto"/>
              </w:rPr>
            </w:pPr>
          </w:p>
        </w:tc>
        <w:tc>
          <w:tcPr>
            <w:tcW w:w="2580" w:type="dxa"/>
            <w:vAlign w:val="bottom"/>
            <w:tcBorders>
              <w:right w:val="single" w:sz="8" w:color="auto"/>
            </w:tcBorders>
          </w:tcPr>
          <w:p>
            <w:pPr>
              <w:spacing w:after="0"/>
              <w:rPr>
                <w:sz w:val="4"/>
                <w:szCs w:val="4"/>
                <w:color w:val="auto"/>
              </w:rPr>
            </w:pPr>
          </w:p>
        </w:tc>
        <w:tc>
          <w:tcPr>
            <w:tcW w:w="2620" w:type="dxa"/>
            <w:vAlign w:val="bottom"/>
            <w:tcBorders>
              <w:right w:val="single" w:sz="8" w:color="auto"/>
            </w:tcBorders>
          </w:tcPr>
          <w:p>
            <w:pPr>
              <w:spacing w:after="0"/>
              <w:rPr>
                <w:sz w:val="4"/>
                <w:szCs w:val="4"/>
                <w:color w:val="auto"/>
              </w:rPr>
            </w:pPr>
          </w:p>
        </w:tc>
        <w:tc>
          <w:tcPr>
            <w:tcW w:w="26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860" w:type="dxa"/>
            <w:vAlign w:val="bottom"/>
            <w:tcBorders>
              <w:left w:val="single" w:sz="8" w:color="auto"/>
              <w:right w:val="single" w:sz="8" w:color="auto"/>
            </w:tcBorders>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Company LLC</w:t>
            </w:r>
          </w:p>
        </w:tc>
        <w:tc>
          <w:tcPr>
            <w:tcW w:w="0" w:type="dxa"/>
            <w:vAlign w:val="bottom"/>
          </w:tcPr>
          <w:p>
            <w:pPr>
              <w:spacing w:after="0"/>
              <w:rPr>
                <w:sz w:val="1"/>
                <w:szCs w:val="1"/>
                <w:color w:val="auto"/>
              </w:rPr>
            </w:pPr>
          </w:p>
        </w:tc>
      </w:tr>
      <w:tr>
        <w:trPr>
          <w:trHeight w:val="229"/>
        </w:trPr>
        <w:tc>
          <w:tcPr>
            <w:tcW w:w="860" w:type="dxa"/>
            <w:vAlign w:val="bottom"/>
            <w:tcBorders>
              <w:left w:val="single" w:sz="8" w:color="auto"/>
              <w:right w:val="single" w:sz="8" w:color="auto"/>
            </w:tcBorders>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c>
          <w:tcPr>
            <w:tcW w:w="258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2"/>
              </w:rPr>
              <w:t>CEOC, LLC, successor in interest</w:t>
            </w:r>
          </w:p>
        </w:tc>
        <w:tc>
          <w:tcPr>
            <w:tcW w:w="0" w:type="dxa"/>
            <w:vAlign w:val="bottom"/>
          </w:tcPr>
          <w:p>
            <w:pPr>
              <w:spacing w:after="0"/>
              <w:rPr>
                <w:sz w:val="1"/>
                <w:szCs w:val="1"/>
                <w:color w:val="auto"/>
              </w:rPr>
            </w:pPr>
          </w:p>
        </w:tc>
      </w:tr>
      <w:tr>
        <w:trPr>
          <w:trHeight w:val="175"/>
        </w:trPr>
        <w:tc>
          <w:tcPr>
            <w:tcW w:w="860" w:type="dxa"/>
            <w:vAlign w:val="bottom"/>
            <w:tcBorders>
              <w:left w:val="single" w:sz="8" w:color="auto"/>
              <w:right w:val="single" w:sz="8" w:color="auto"/>
            </w:tcBorders>
          </w:tcPr>
          <w:p>
            <w:pPr>
              <w:spacing w:after="0"/>
              <w:rPr>
                <w:sz w:val="15"/>
                <w:szCs w:val="15"/>
                <w:color w:val="auto"/>
              </w:rPr>
            </w:pPr>
          </w:p>
        </w:tc>
        <w:tc>
          <w:tcPr>
            <w:tcW w:w="2600" w:type="dxa"/>
            <w:vAlign w:val="bottom"/>
            <w:tcBorders>
              <w:right w:val="single" w:sz="8" w:color="auto"/>
            </w:tcBorders>
          </w:tcPr>
          <w:p>
            <w:pPr>
              <w:spacing w:after="0"/>
              <w:rPr>
                <w:sz w:val="15"/>
                <w:szCs w:val="15"/>
                <w:color w:val="auto"/>
              </w:rPr>
            </w:pPr>
          </w:p>
        </w:tc>
        <w:tc>
          <w:tcPr>
            <w:tcW w:w="258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tcPr>
          <w:p>
            <w:pPr>
              <w:spacing w:after="0"/>
              <w:rPr>
                <w:sz w:val="15"/>
                <w:szCs w:val="15"/>
                <w:color w:val="auto"/>
              </w:rPr>
            </w:pPr>
          </w:p>
        </w:tc>
        <w:tc>
          <w:tcPr>
            <w:tcW w:w="26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by merger to Caesars</w:t>
            </w:r>
          </w:p>
        </w:tc>
        <w:tc>
          <w:tcPr>
            <w:tcW w:w="0" w:type="dxa"/>
            <w:vAlign w:val="bottom"/>
          </w:tcPr>
          <w:p>
            <w:pPr>
              <w:spacing w:after="0"/>
              <w:rPr>
                <w:sz w:val="1"/>
                <w:szCs w:val="1"/>
                <w:color w:val="auto"/>
              </w:rPr>
            </w:pPr>
          </w:p>
        </w:tc>
      </w:tr>
      <w:tr>
        <w:trPr>
          <w:trHeight w:val="176"/>
        </w:trPr>
        <w:tc>
          <w:tcPr>
            <w:tcW w:w="860" w:type="dxa"/>
            <w:vAlign w:val="bottom"/>
            <w:tcBorders>
              <w:left w:val="single" w:sz="8" w:color="auto"/>
              <w:right w:val="single" w:sz="8" w:color="auto"/>
            </w:tcBorders>
          </w:tcPr>
          <w:p>
            <w:pPr>
              <w:spacing w:after="0"/>
              <w:rPr>
                <w:sz w:val="15"/>
                <w:szCs w:val="15"/>
                <w:color w:val="auto"/>
              </w:rPr>
            </w:pPr>
          </w:p>
        </w:tc>
        <w:tc>
          <w:tcPr>
            <w:tcW w:w="2600" w:type="dxa"/>
            <w:vAlign w:val="bottom"/>
            <w:tcBorders>
              <w:right w:val="single" w:sz="8" w:color="auto"/>
            </w:tcBorders>
          </w:tcPr>
          <w:p>
            <w:pPr>
              <w:spacing w:after="0"/>
              <w:rPr>
                <w:sz w:val="15"/>
                <w:szCs w:val="15"/>
                <w:color w:val="auto"/>
              </w:rPr>
            </w:pPr>
          </w:p>
        </w:tc>
        <w:tc>
          <w:tcPr>
            <w:tcW w:w="258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tcPr>
          <w:p>
            <w:pPr>
              <w:spacing w:after="0"/>
              <w:rPr>
                <w:sz w:val="15"/>
                <w:szCs w:val="15"/>
                <w:color w:val="auto"/>
              </w:rPr>
            </w:pPr>
          </w:p>
        </w:tc>
        <w:tc>
          <w:tcPr>
            <w:tcW w:w="26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Entertainment Operating</w:t>
            </w:r>
          </w:p>
        </w:tc>
        <w:tc>
          <w:tcPr>
            <w:tcW w:w="0" w:type="dxa"/>
            <w:vAlign w:val="bottom"/>
          </w:tcPr>
          <w:p>
            <w:pPr>
              <w:spacing w:after="0"/>
              <w:rPr>
                <w:sz w:val="1"/>
                <w:szCs w:val="1"/>
                <w:color w:val="auto"/>
              </w:rPr>
            </w:pPr>
          </w:p>
        </w:tc>
      </w:tr>
      <w:tr>
        <w:trPr>
          <w:trHeight w:val="230"/>
        </w:trPr>
        <w:tc>
          <w:tcPr>
            <w:tcW w:w="860" w:type="dxa"/>
            <w:vAlign w:val="bottom"/>
            <w:tcBorders>
              <w:left w:val="single" w:sz="8" w:color="auto"/>
              <w:right w:val="single" w:sz="8" w:color="auto"/>
            </w:tcBorders>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Company, Inc.</w:t>
            </w:r>
          </w:p>
        </w:tc>
        <w:tc>
          <w:tcPr>
            <w:tcW w:w="0" w:type="dxa"/>
            <w:vAlign w:val="bottom"/>
          </w:tcPr>
          <w:p>
            <w:pPr>
              <w:spacing w:after="0"/>
              <w:rPr>
                <w:sz w:val="1"/>
                <w:szCs w:val="1"/>
                <w:color w:val="auto"/>
              </w:rPr>
            </w:pPr>
          </w:p>
        </w:tc>
      </w:tr>
      <w:tr>
        <w:trPr>
          <w:trHeight w:val="107"/>
        </w:trPr>
        <w:tc>
          <w:tcPr>
            <w:tcW w:w="860" w:type="dxa"/>
            <w:vAlign w:val="bottom"/>
            <w:tcBorders>
              <w:left w:val="single" w:sz="8" w:color="auto"/>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2620" w:type="dxa"/>
            <w:vAlign w:val="bottom"/>
            <w:tcBorders>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860" w:type="dxa"/>
            <w:vAlign w:val="bottom"/>
            <w:tcBorders>
              <w:left w:val="single" w:sz="8" w:color="auto"/>
              <w:right w:val="single" w:sz="8" w:color="auto"/>
            </w:tcBorders>
            <w:vMerge w:val="restart"/>
          </w:tcPr>
          <w:p>
            <w:pPr>
              <w:jc w:val="right"/>
              <w:ind w:right="390"/>
              <w:spacing w:after="0"/>
              <w:rPr>
                <w:sz w:val="20"/>
                <w:szCs w:val="20"/>
                <w:color w:val="auto"/>
              </w:rPr>
            </w:pPr>
            <w:r>
              <w:rPr>
                <w:rFonts w:ascii="Arial" w:cs="Arial" w:eastAsia="Arial" w:hAnsi="Arial"/>
                <w:sz w:val="18"/>
                <w:szCs w:val="18"/>
                <w:color w:val="auto"/>
              </w:rPr>
              <w:t>12.</w:t>
            </w:r>
          </w:p>
        </w:tc>
        <w:tc>
          <w:tcPr>
            <w:tcW w:w="260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Harvey’s Lake Tahoe</w:t>
            </w:r>
          </w:p>
        </w:tc>
        <w:tc>
          <w:tcPr>
            <w:tcW w:w="258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Nevada and California</w:t>
            </w:r>
          </w:p>
        </w:tc>
        <w:tc>
          <w:tcPr>
            <w:tcW w:w="262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8"/>
                <w:szCs w:val="18"/>
                <w:color w:val="auto"/>
              </w:rPr>
              <w:t>Harvey's Lake Tahoe LLC</w:t>
            </w:r>
          </w:p>
        </w:tc>
        <w:tc>
          <w:tcPr>
            <w:tcW w:w="260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Harveys Tahoe Management</w:t>
            </w:r>
          </w:p>
        </w:tc>
        <w:tc>
          <w:tcPr>
            <w:tcW w:w="0" w:type="dxa"/>
            <w:vAlign w:val="bottom"/>
          </w:tcPr>
          <w:p>
            <w:pPr>
              <w:spacing w:after="0"/>
              <w:rPr>
                <w:sz w:val="1"/>
                <w:szCs w:val="1"/>
                <w:color w:val="auto"/>
              </w:rPr>
            </w:pPr>
          </w:p>
        </w:tc>
      </w:tr>
      <w:tr>
        <w:trPr>
          <w:trHeight w:val="162"/>
        </w:trPr>
        <w:tc>
          <w:tcPr>
            <w:tcW w:w="860" w:type="dxa"/>
            <w:vAlign w:val="bottom"/>
            <w:tcBorders>
              <w:left w:val="single" w:sz="8" w:color="auto"/>
              <w:right w:val="single" w:sz="8" w:color="auto"/>
            </w:tcBorders>
            <w:vMerge w:val="continue"/>
          </w:tcPr>
          <w:p>
            <w:pPr>
              <w:spacing w:after="0"/>
              <w:rPr>
                <w:sz w:val="14"/>
                <w:szCs w:val="14"/>
                <w:color w:val="auto"/>
              </w:rPr>
            </w:pPr>
          </w:p>
        </w:tc>
        <w:tc>
          <w:tcPr>
            <w:tcW w:w="2600" w:type="dxa"/>
            <w:vAlign w:val="bottom"/>
            <w:tcBorders>
              <w:right w:val="single" w:sz="8" w:color="auto"/>
            </w:tcBorders>
          </w:tcPr>
          <w:p>
            <w:pPr>
              <w:spacing w:after="0"/>
              <w:rPr>
                <w:sz w:val="14"/>
                <w:szCs w:val="14"/>
                <w:color w:val="auto"/>
              </w:rPr>
            </w:pPr>
          </w:p>
        </w:tc>
        <w:tc>
          <w:tcPr>
            <w:tcW w:w="2580" w:type="dxa"/>
            <w:vAlign w:val="bottom"/>
            <w:tcBorders>
              <w:right w:val="single" w:sz="8" w:color="auto"/>
            </w:tcBorders>
          </w:tcPr>
          <w:p>
            <w:pPr>
              <w:spacing w:after="0"/>
              <w:rPr>
                <w:sz w:val="14"/>
                <w:szCs w:val="14"/>
                <w:color w:val="auto"/>
              </w:rPr>
            </w:pPr>
          </w:p>
        </w:tc>
        <w:tc>
          <w:tcPr>
            <w:tcW w:w="2620" w:type="dxa"/>
            <w:vAlign w:val="bottom"/>
            <w:tcBorders>
              <w:right w:val="single" w:sz="8" w:color="auto"/>
            </w:tcBorders>
          </w:tcPr>
          <w:p>
            <w:pPr>
              <w:spacing w:after="0"/>
              <w:rPr>
                <w:sz w:val="14"/>
                <w:szCs w:val="14"/>
                <w:color w:val="auto"/>
              </w:rPr>
            </w:pPr>
          </w:p>
        </w:tc>
        <w:tc>
          <w:tcPr>
            <w:tcW w:w="26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Company LLC</w:t>
            </w:r>
          </w:p>
        </w:tc>
        <w:tc>
          <w:tcPr>
            <w:tcW w:w="0" w:type="dxa"/>
            <w:vAlign w:val="bottom"/>
          </w:tcPr>
          <w:p>
            <w:pPr>
              <w:spacing w:after="0"/>
              <w:rPr>
                <w:sz w:val="1"/>
                <w:szCs w:val="1"/>
                <w:color w:val="auto"/>
              </w:rPr>
            </w:pPr>
          </w:p>
        </w:tc>
      </w:tr>
      <w:tr>
        <w:trPr>
          <w:trHeight w:val="68"/>
        </w:trPr>
        <w:tc>
          <w:tcPr>
            <w:tcW w:w="860" w:type="dxa"/>
            <w:vAlign w:val="bottom"/>
            <w:tcBorders>
              <w:left w:val="single" w:sz="8" w:color="auto"/>
              <w:right w:val="single" w:sz="8" w:color="auto"/>
            </w:tcBorders>
          </w:tcPr>
          <w:p>
            <w:pPr>
              <w:spacing w:after="0"/>
              <w:rPr>
                <w:sz w:val="5"/>
                <w:szCs w:val="5"/>
                <w:color w:val="auto"/>
              </w:rPr>
            </w:pPr>
          </w:p>
        </w:tc>
        <w:tc>
          <w:tcPr>
            <w:tcW w:w="2600" w:type="dxa"/>
            <w:vAlign w:val="bottom"/>
            <w:tcBorders>
              <w:right w:val="single" w:sz="8" w:color="auto"/>
            </w:tcBorders>
          </w:tcPr>
          <w:p>
            <w:pPr>
              <w:spacing w:after="0"/>
              <w:rPr>
                <w:sz w:val="5"/>
                <w:szCs w:val="5"/>
                <w:color w:val="auto"/>
              </w:rPr>
            </w:pPr>
          </w:p>
        </w:tc>
        <w:tc>
          <w:tcPr>
            <w:tcW w:w="2580" w:type="dxa"/>
            <w:vAlign w:val="bottom"/>
            <w:tcBorders>
              <w:right w:val="single" w:sz="8" w:color="auto"/>
            </w:tcBorders>
          </w:tcPr>
          <w:p>
            <w:pPr>
              <w:spacing w:after="0"/>
              <w:rPr>
                <w:sz w:val="5"/>
                <w:szCs w:val="5"/>
                <w:color w:val="auto"/>
              </w:rPr>
            </w:pPr>
          </w:p>
        </w:tc>
        <w:tc>
          <w:tcPr>
            <w:tcW w:w="2620" w:type="dxa"/>
            <w:vAlign w:val="bottom"/>
            <w:tcBorders>
              <w:right w:val="single" w:sz="8" w:color="auto"/>
            </w:tcBorders>
          </w:tcPr>
          <w:p>
            <w:pPr>
              <w:spacing w:after="0"/>
              <w:rPr>
                <w:sz w:val="5"/>
                <w:szCs w:val="5"/>
                <w:color w:val="auto"/>
              </w:rPr>
            </w:pPr>
          </w:p>
        </w:tc>
        <w:tc>
          <w:tcPr>
            <w:tcW w:w="26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860" w:type="dxa"/>
            <w:vAlign w:val="bottom"/>
            <w:tcBorders>
              <w:left w:val="single" w:sz="8" w:color="auto"/>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2620" w:type="dxa"/>
            <w:vAlign w:val="bottom"/>
            <w:tcBorders>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860" w:type="dxa"/>
            <w:vAlign w:val="bottom"/>
            <w:tcBorders>
              <w:left w:val="single" w:sz="8" w:color="auto"/>
              <w:right w:val="single" w:sz="8" w:color="auto"/>
            </w:tcBorders>
            <w:vMerge w:val="restart"/>
          </w:tcPr>
          <w:p>
            <w:pPr>
              <w:jc w:val="right"/>
              <w:ind w:right="390"/>
              <w:spacing w:after="0"/>
              <w:rPr>
                <w:sz w:val="20"/>
                <w:szCs w:val="20"/>
                <w:color w:val="auto"/>
              </w:rPr>
            </w:pPr>
            <w:r>
              <w:rPr>
                <w:rFonts w:ascii="Arial" w:cs="Arial" w:eastAsia="Arial" w:hAnsi="Arial"/>
                <w:sz w:val="18"/>
                <w:szCs w:val="18"/>
                <w:color w:val="auto"/>
              </w:rPr>
              <w:t>13.</w:t>
            </w:r>
          </w:p>
        </w:tc>
        <w:tc>
          <w:tcPr>
            <w:tcW w:w="260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Reno Billboard Parcel</w:t>
            </w:r>
          </w:p>
        </w:tc>
        <w:tc>
          <w:tcPr>
            <w:tcW w:w="258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Nevada</w:t>
            </w:r>
          </w:p>
        </w:tc>
        <w:tc>
          <w:tcPr>
            <w:tcW w:w="262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8"/>
                <w:szCs w:val="18"/>
                <w:color w:val="auto"/>
              </w:rPr>
              <w:t>Harrah's Reno LLC</w:t>
            </w:r>
          </w:p>
        </w:tc>
        <w:tc>
          <w:tcPr>
            <w:tcW w:w="260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w w:val="92"/>
              </w:rPr>
              <w:t>CEOC, LLC, successor in interest</w:t>
            </w:r>
          </w:p>
        </w:tc>
        <w:tc>
          <w:tcPr>
            <w:tcW w:w="0" w:type="dxa"/>
            <w:vAlign w:val="bottom"/>
          </w:tcPr>
          <w:p>
            <w:pPr>
              <w:spacing w:after="0"/>
              <w:rPr>
                <w:sz w:val="1"/>
                <w:szCs w:val="1"/>
                <w:color w:val="auto"/>
              </w:rPr>
            </w:pPr>
          </w:p>
        </w:tc>
      </w:tr>
      <w:tr>
        <w:trPr>
          <w:trHeight w:val="176"/>
        </w:trPr>
        <w:tc>
          <w:tcPr>
            <w:tcW w:w="860" w:type="dxa"/>
            <w:vAlign w:val="bottom"/>
            <w:tcBorders>
              <w:left w:val="single" w:sz="8" w:color="auto"/>
              <w:right w:val="single" w:sz="8" w:color="auto"/>
            </w:tcBorders>
            <w:vMerge w:val="continue"/>
          </w:tcPr>
          <w:p>
            <w:pPr>
              <w:spacing w:after="0"/>
              <w:rPr>
                <w:sz w:val="15"/>
                <w:szCs w:val="15"/>
                <w:color w:val="auto"/>
              </w:rPr>
            </w:pPr>
          </w:p>
        </w:tc>
        <w:tc>
          <w:tcPr>
            <w:tcW w:w="2600" w:type="dxa"/>
            <w:vAlign w:val="bottom"/>
            <w:tcBorders>
              <w:right w:val="single" w:sz="8" w:color="auto"/>
            </w:tcBorders>
          </w:tcPr>
          <w:p>
            <w:pPr>
              <w:spacing w:after="0"/>
              <w:rPr>
                <w:sz w:val="15"/>
                <w:szCs w:val="15"/>
                <w:color w:val="auto"/>
              </w:rPr>
            </w:pPr>
          </w:p>
        </w:tc>
        <w:tc>
          <w:tcPr>
            <w:tcW w:w="258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tcPr>
          <w:p>
            <w:pPr>
              <w:spacing w:after="0"/>
              <w:rPr>
                <w:sz w:val="15"/>
                <w:szCs w:val="15"/>
                <w:color w:val="auto"/>
              </w:rPr>
            </w:pPr>
          </w:p>
        </w:tc>
        <w:tc>
          <w:tcPr>
            <w:tcW w:w="26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by merger to Caesars</w:t>
            </w:r>
          </w:p>
        </w:tc>
        <w:tc>
          <w:tcPr>
            <w:tcW w:w="0" w:type="dxa"/>
            <w:vAlign w:val="bottom"/>
          </w:tcPr>
          <w:p>
            <w:pPr>
              <w:spacing w:after="0"/>
              <w:rPr>
                <w:sz w:val="1"/>
                <w:szCs w:val="1"/>
                <w:color w:val="auto"/>
              </w:rPr>
            </w:pPr>
          </w:p>
        </w:tc>
      </w:tr>
      <w:tr>
        <w:trPr>
          <w:trHeight w:val="175"/>
        </w:trPr>
        <w:tc>
          <w:tcPr>
            <w:tcW w:w="860" w:type="dxa"/>
            <w:vAlign w:val="bottom"/>
            <w:tcBorders>
              <w:left w:val="single" w:sz="8" w:color="auto"/>
              <w:right w:val="single" w:sz="8" w:color="auto"/>
            </w:tcBorders>
          </w:tcPr>
          <w:p>
            <w:pPr>
              <w:spacing w:after="0"/>
              <w:rPr>
                <w:sz w:val="15"/>
                <w:szCs w:val="15"/>
                <w:color w:val="auto"/>
              </w:rPr>
            </w:pPr>
          </w:p>
        </w:tc>
        <w:tc>
          <w:tcPr>
            <w:tcW w:w="2600" w:type="dxa"/>
            <w:vAlign w:val="bottom"/>
            <w:tcBorders>
              <w:right w:val="single" w:sz="8" w:color="auto"/>
            </w:tcBorders>
          </w:tcPr>
          <w:p>
            <w:pPr>
              <w:spacing w:after="0"/>
              <w:rPr>
                <w:sz w:val="15"/>
                <w:szCs w:val="15"/>
                <w:color w:val="auto"/>
              </w:rPr>
            </w:pPr>
          </w:p>
        </w:tc>
        <w:tc>
          <w:tcPr>
            <w:tcW w:w="258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tcPr>
          <w:p>
            <w:pPr>
              <w:spacing w:after="0"/>
              <w:rPr>
                <w:sz w:val="15"/>
                <w:szCs w:val="15"/>
                <w:color w:val="auto"/>
              </w:rPr>
            </w:pPr>
          </w:p>
        </w:tc>
        <w:tc>
          <w:tcPr>
            <w:tcW w:w="26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Entertainment Operating</w:t>
            </w:r>
          </w:p>
        </w:tc>
        <w:tc>
          <w:tcPr>
            <w:tcW w:w="0" w:type="dxa"/>
            <w:vAlign w:val="bottom"/>
          </w:tcPr>
          <w:p>
            <w:pPr>
              <w:spacing w:after="0"/>
              <w:rPr>
                <w:sz w:val="1"/>
                <w:szCs w:val="1"/>
                <w:color w:val="auto"/>
              </w:rPr>
            </w:pPr>
          </w:p>
        </w:tc>
      </w:tr>
      <w:tr>
        <w:trPr>
          <w:trHeight w:val="230"/>
        </w:trPr>
        <w:tc>
          <w:tcPr>
            <w:tcW w:w="860" w:type="dxa"/>
            <w:vAlign w:val="bottom"/>
            <w:tcBorders>
              <w:left w:val="single" w:sz="8" w:color="auto"/>
              <w:bottom w:val="single" w:sz="8" w:color="auto"/>
              <w:right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Company, Inc.</w:t>
            </w:r>
          </w:p>
        </w:tc>
        <w:tc>
          <w:tcPr>
            <w:tcW w:w="0" w:type="dxa"/>
            <w:vAlign w:val="bottom"/>
          </w:tcPr>
          <w:p>
            <w:pPr>
              <w:spacing w:after="0"/>
              <w:rPr>
                <w:sz w:val="1"/>
                <w:szCs w:val="1"/>
                <w:color w:val="auto"/>
              </w:rPr>
            </w:pPr>
          </w:p>
        </w:tc>
      </w:tr>
      <w:tr>
        <w:trPr>
          <w:trHeight w:val="169"/>
        </w:trPr>
        <w:tc>
          <w:tcPr>
            <w:tcW w:w="860" w:type="dxa"/>
            <w:vAlign w:val="bottom"/>
            <w:tcBorders>
              <w:left w:val="single" w:sz="8" w:color="auto"/>
              <w:right w:val="single" w:sz="8" w:color="auto"/>
            </w:tcBorders>
            <w:vMerge w:val="restart"/>
          </w:tcPr>
          <w:p>
            <w:pPr>
              <w:jc w:val="right"/>
              <w:ind w:right="390"/>
              <w:spacing w:after="0"/>
              <w:rPr>
                <w:sz w:val="20"/>
                <w:szCs w:val="20"/>
                <w:color w:val="auto"/>
              </w:rPr>
            </w:pPr>
            <w:r>
              <w:rPr>
                <w:rFonts w:ascii="Arial" w:cs="Arial" w:eastAsia="Arial" w:hAnsi="Arial"/>
                <w:sz w:val="18"/>
                <w:szCs w:val="18"/>
                <w:color w:val="auto"/>
              </w:rPr>
              <w:t>14.</w:t>
            </w:r>
          </w:p>
        </w:tc>
        <w:tc>
          <w:tcPr>
            <w:tcW w:w="260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Las Vegas Land Assemblage</w:t>
            </w:r>
          </w:p>
        </w:tc>
        <w:tc>
          <w:tcPr>
            <w:tcW w:w="258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Nevada</w:t>
            </w:r>
          </w:p>
        </w:tc>
        <w:tc>
          <w:tcPr>
            <w:tcW w:w="262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8"/>
                <w:szCs w:val="18"/>
                <w:color w:val="auto"/>
              </w:rPr>
              <w:t>Vegas Development LLC</w:t>
            </w:r>
          </w:p>
        </w:tc>
        <w:tc>
          <w:tcPr>
            <w:tcW w:w="26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Hole in the Wall, LLC</w:t>
            </w:r>
          </w:p>
        </w:tc>
        <w:tc>
          <w:tcPr>
            <w:tcW w:w="0" w:type="dxa"/>
            <w:vAlign w:val="bottom"/>
          </w:tcPr>
          <w:p>
            <w:pPr>
              <w:spacing w:after="0"/>
              <w:rPr>
                <w:sz w:val="1"/>
                <w:szCs w:val="1"/>
                <w:color w:val="auto"/>
              </w:rPr>
            </w:pPr>
          </w:p>
        </w:tc>
      </w:tr>
      <w:tr>
        <w:trPr>
          <w:trHeight w:val="162"/>
        </w:trPr>
        <w:tc>
          <w:tcPr>
            <w:tcW w:w="860" w:type="dxa"/>
            <w:vAlign w:val="bottom"/>
            <w:tcBorders>
              <w:left w:val="single" w:sz="8" w:color="auto"/>
              <w:right w:val="single" w:sz="8" w:color="auto"/>
            </w:tcBorders>
            <w:vMerge w:val="continue"/>
          </w:tcPr>
          <w:p>
            <w:pPr>
              <w:spacing w:after="0"/>
              <w:rPr>
                <w:sz w:val="14"/>
                <w:szCs w:val="14"/>
                <w:color w:val="auto"/>
              </w:rPr>
            </w:pPr>
          </w:p>
        </w:tc>
        <w:tc>
          <w:tcPr>
            <w:tcW w:w="26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Properties</w:t>
            </w:r>
          </w:p>
        </w:tc>
        <w:tc>
          <w:tcPr>
            <w:tcW w:w="2580" w:type="dxa"/>
            <w:vAlign w:val="bottom"/>
            <w:tcBorders>
              <w:right w:val="single" w:sz="8" w:color="auto"/>
            </w:tcBorders>
          </w:tcPr>
          <w:p>
            <w:pPr>
              <w:spacing w:after="0"/>
              <w:rPr>
                <w:sz w:val="14"/>
                <w:szCs w:val="14"/>
                <w:color w:val="auto"/>
              </w:rPr>
            </w:pPr>
          </w:p>
        </w:tc>
        <w:tc>
          <w:tcPr>
            <w:tcW w:w="2620" w:type="dxa"/>
            <w:vAlign w:val="bottom"/>
            <w:tcBorders>
              <w:right w:val="single" w:sz="8" w:color="auto"/>
            </w:tcBorders>
          </w:tcPr>
          <w:p>
            <w:pPr>
              <w:spacing w:after="0"/>
              <w:rPr>
                <w:sz w:val="14"/>
                <w:szCs w:val="14"/>
                <w:color w:val="auto"/>
              </w:rPr>
            </w:pPr>
          </w:p>
        </w:tc>
        <w:tc>
          <w:tcPr>
            <w:tcW w:w="26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860" w:type="dxa"/>
            <w:vAlign w:val="bottom"/>
            <w:tcBorders>
              <w:left w:val="single" w:sz="8" w:color="auto"/>
              <w:right w:val="single" w:sz="8" w:color="auto"/>
            </w:tcBorders>
          </w:tcPr>
          <w:p>
            <w:pPr>
              <w:spacing w:after="0"/>
              <w:rPr>
                <w:sz w:val="5"/>
                <w:szCs w:val="5"/>
                <w:color w:val="auto"/>
              </w:rPr>
            </w:pPr>
          </w:p>
        </w:tc>
        <w:tc>
          <w:tcPr>
            <w:tcW w:w="2600" w:type="dxa"/>
            <w:vAlign w:val="bottom"/>
            <w:tcBorders>
              <w:right w:val="single" w:sz="8" w:color="auto"/>
            </w:tcBorders>
            <w:vMerge w:val="continue"/>
          </w:tcPr>
          <w:p>
            <w:pPr>
              <w:spacing w:after="0"/>
              <w:rPr>
                <w:sz w:val="5"/>
                <w:szCs w:val="5"/>
                <w:color w:val="auto"/>
              </w:rPr>
            </w:pPr>
          </w:p>
        </w:tc>
        <w:tc>
          <w:tcPr>
            <w:tcW w:w="2580" w:type="dxa"/>
            <w:vAlign w:val="bottom"/>
            <w:tcBorders>
              <w:right w:val="single" w:sz="8" w:color="auto"/>
            </w:tcBorders>
          </w:tcPr>
          <w:p>
            <w:pPr>
              <w:spacing w:after="0"/>
              <w:rPr>
                <w:sz w:val="5"/>
                <w:szCs w:val="5"/>
                <w:color w:val="auto"/>
              </w:rPr>
            </w:pPr>
          </w:p>
        </w:tc>
        <w:tc>
          <w:tcPr>
            <w:tcW w:w="2620" w:type="dxa"/>
            <w:vAlign w:val="bottom"/>
            <w:tcBorders>
              <w:right w:val="single" w:sz="8" w:color="auto"/>
            </w:tcBorders>
          </w:tcPr>
          <w:p>
            <w:pPr>
              <w:spacing w:after="0"/>
              <w:rPr>
                <w:sz w:val="5"/>
                <w:szCs w:val="5"/>
                <w:color w:val="auto"/>
              </w:rPr>
            </w:pPr>
          </w:p>
        </w:tc>
        <w:tc>
          <w:tcPr>
            <w:tcW w:w="26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w w:val="92"/>
              </w:rPr>
              <w:t>CEOC, LLC, successor in interest</w:t>
            </w:r>
          </w:p>
        </w:tc>
        <w:tc>
          <w:tcPr>
            <w:tcW w:w="0" w:type="dxa"/>
            <w:vAlign w:val="bottom"/>
          </w:tcPr>
          <w:p>
            <w:pPr>
              <w:spacing w:after="0"/>
              <w:rPr>
                <w:sz w:val="1"/>
                <w:szCs w:val="1"/>
                <w:color w:val="auto"/>
              </w:rPr>
            </w:pPr>
          </w:p>
        </w:tc>
      </w:tr>
      <w:tr>
        <w:trPr>
          <w:trHeight w:val="161"/>
        </w:trPr>
        <w:tc>
          <w:tcPr>
            <w:tcW w:w="860" w:type="dxa"/>
            <w:vAlign w:val="bottom"/>
            <w:tcBorders>
              <w:left w:val="single" w:sz="8" w:color="auto"/>
              <w:right w:val="single" w:sz="8" w:color="auto"/>
            </w:tcBorders>
          </w:tcPr>
          <w:p>
            <w:pPr>
              <w:spacing w:after="0"/>
              <w:rPr>
                <w:sz w:val="14"/>
                <w:szCs w:val="14"/>
                <w:color w:val="auto"/>
              </w:rPr>
            </w:pPr>
          </w:p>
        </w:tc>
        <w:tc>
          <w:tcPr>
            <w:tcW w:w="2600" w:type="dxa"/>
            <w:vAlign w:val="bottom"/>
            <w:tcBorders>
              <w:right w:val="single" w:sz="8" w:color="auto"/>
            </w:tcBorders>
          </w:tcPr>
          <w:p>
            <w:pPr>
              <w:spacing w:after="0"/>
              <w:rPr>
                <w:sz w:val="14"/>
                <w:szCs w:val="14"/>
                <w:color w:val="auto"/>
              </w:rPr>
            </w:pPr>
          </w:p>
        </w:tc>
        <w:tc>
          <w:tcPr>
            <w:tcW w:w="2580" w:type="dxa"/>
            <w:vAlign w:val="bottom"/>
            <w:tcBorders>
              <w:right w:val="single" w:sz="8" w:color="auto"/>
            </w:tcBorders>
          </w:tcPr>
          <w:p>
            <w:pPr>
              <w:spacing w:after="0"/>
              <w:rPr>
                <w:sz w:val="14"/>
                <w:szCs w:val="14"/>
                <w:color w:val="auto"/>
              </w:rPr>
            </w:pPr>
          </w:p>
        </w:tc>
        <w:tc>
          <w:tcPr>
            <w:tcW w:w="2620" w:type="dxa"/>
            <w:vAlign w:val="bottom"/>
            <w:tcBorders>
              <w:right w:val="single" w:sz="8" w:color="auto"/>
            </w:tcBorders>
          </w:tcPr>
          <w:p>
            <w:pPr>
              <w:spacing w:after="0"/>
              <w:rPr>
                <w:sz w:val="14"/>
                <w:szCs w:val="14"/>
                <w:color w:val="auto"/>
              </w:rPr>
            </w:pPr>
          </w:p>
        </w:tc>
        <w:tc>
          <w:tcPr>
            <w:tcW w:w="26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60" w:type="dxa"/>
            <w:vAlign w:val="bottom"/>
            <w:tcBorders>
              <w:left w:val="single" w:sz="8" w:color="auto"/>
              <w:right w:val="single" w:sz="8" w:color="auto"/>
            </w:tcBorders>
          </w:tcPr>
          <w:p>
            <w:pPr>
              <w:spacing w:after="0"/>
              <w:rPr>
                <w:sz w:val="15"/>
                <w:szCs w:val="15"/>
                <w:color w:val="auto"/>
              </w:rPr>
            </w:pPr>
          </w:p>
        </w:tc>
        <w:tc>
          <w:tcPr>
            <w:tcW w:w="2600" w:type="dxa"/>
            <w:vAlign w:val="bottom"/>
            <w:tcBorders>
              <w:right w:val="single" w:sz="8" w:color="auto"/>
            </w:tcBorders>
          </w:tcPr>
          <w:p>
            <w:pPr>
              <w:spacing w:after="0"/>
              <w:rPr>
                <w:sz w:val="15"/>
                <w:szCs w:val="15"/>
                <w:color w:val="auto"/>
              </w:rPr>
            </w:pPr>
          </w:p>
        </w:tc>
        <w:tc>
          <w:tcPr>
            <w:tcW w:w="258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tcPr>
          <w:p>
            <w:pPr>
              <w:spacing w:after="0"/>
              <w:rPr>
                <w:sz w:val="15"/>
                <w:szCs w:val="15"/>
                <w:color w:val="auto"/>
              </w:rPr>
            </w:pPr>
          </w:p>
        </w:tc>
        <w:tc>
          <w:tcPr>
            <w:tcW w:w="26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by merger to Caesars</w:t>
            </w:r>
          </w:p>
        </w:tc>
        <w:tc>
          <w:tcPr>
            <w:tcW w:w="0" w:type="dxa"/>
            <w:vAlign w:val="bottom"/>
          </w:tcPr>
          <w:p>
            <w:pPr>
              <w:spacing w:after="0"/>
              <w:rPr>
                <w:sz w:val="1"/>
                <w:szCs w:val="1"/>
                <w:color w:val="auto"/>
              </w:rPr>
            </w:pPr>
          </w:p>
        </w:tc>
      </w:tr>
      <w:tr>
        <w:trPr>
          <w:trHeight w:val="176"/>
        </w:trPr>
        <w:tc>
          <w:tcPr>
            <w:tcW w:w="860" w:type="dxa"/>
            <w:vAlign w:val="bottom"/>
            <w:tcBorders>
              <w:left w:val="single" w:sz="8" w:color="auto"/>
              <w:right w:val="single" w:sz="8" w:color="auto"/>
            </w:tcBorders>
          </w:tcPr>
          <w:p>
            <w:pPr>
              <w:spacing w:after="0"/>
              <w:rPr>
                <w:sz w:val="15"/>
                <w:szCs w:val="15"/>
                <w:color w:val="auto"/>
              </w:rPr>
            </w:pPr>
          </w:p>
        </w:tc>
        <w:tc>
          <w:tcPr>
            <w:tcW w:w="2600" w:type="dxa"/>
            <w:vAlign w:val="bottom"/>
            <w:tcBorders>
              <w:right w:val="single" w:sz="8" w:color="auto"/>
            </w:tcBorders>
          </w:tcPr>
          <w:p>
            <w:pPr>
              <w:spacing w:after="0"/>
              <w:rPr>
                <w:sz w:val="15"/>
                <w:szCs w:val="15"/>
                <w:color w:val="auto"/>
              </w:rPr>
            </w:pPr>
          </w:p>
        </w:tc>
        <w:tc>
          <w:tcPr>
            <w:tcW w:w="258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tcPr>
          <w:p>
            <w:pPr>
              <w:spacing w:after="0"/>
              <w:rPr>
                <w:sz w:val="15"/>
                <w:szCs w:val="15"/>
                <w:color w:val="auto"/>
              </w:rPr>
            </w:pPr>
          </w:p>
        </w:tc>
        <w:tc>
          <w:tcPr>
            <w:tcW w:w="26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Entertainment Operating</w:t>
            </w:r>
          </w:p>
        </w:tc>
        <w:tc>
          <w:tcPr>
            <w:tcW w:w="0" w:type="dxa"/>
            <w:vAlign w:val="bottom"/>
          </w:tcPr>
          <w:p>
            <w:pPr>
              <w:spacing w:after="0"/>
              <w:rPr>
                <w:sz w:val="1"/>
                <w:szCs w:val="1"/>
                <w:color w:val="auto"/>
              </w:rPr>
            </w:pPr>
          </w:p>
        </w:tc>
      </w:tr>
      <w:tr>
        <w:trPr>
          <w:trHeight w:val="230"/>
        </w:trPr>
        <w:tc>
          <w:tcPr>
            <w:tcW w:w="860" w:type="dxa"/>
            <w:vAlign w:val="bottom"/>
            <w:tcBorders>
              <w:left w:val="single" w:sz="8" w:color="auto"/>
              <w:right w:val="single" w:sz="8" w:color="auto"/>
            </w:tcBorders>
          </w:tcPr>
          <w:p>
            <w:pPr>
              <w:spacing w:after="0"/>
              <w:rPr>
                <w:sz w:val="20"/>
                <w:szCs w:val="20"/>
                <w:color w:val="auto"/>
              </w:rPr>
            </w:pPr>
          </w:p>
        </w:tc>
        <w:tc>
          <w:tcPr>
            <w:tcW w:w="2600" w:type="dxa"/>
            <w:vAlign w:val="bottom"/>
            <w:tcBorders>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2620" w:type="dxa"/>
            <w:vAlign w:val="bottom"/>
            <w:tcBorders>
              <w:right w:val="single" w:sz="8" w:color="auto"/>
            </w:tcBorders>
          </w:tcPr>
          <w:p>
            <w:pPr>
              <w:spacing w:after="0"/>
              <w:rPr>
                <w:sz w:val="20"/>
                <w:szCs w:val="20"/>
                <w:color w:val="auto"/>
              </w:rPr>
            </w:pP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Company, Inc.</w:t>
            </w:r>
          </w:p>
        </w:tc>
        <w:tc>
          <w:tcPr>
            <w:tcW w:w="0" w:type="dxa"/>
            <w:vAlign w:val="bottom"/>
          </w:tcPr>
          <w:p>
            <w:pPr>
              <w:spacing w:after="0"/>
              <w:rPr>
                <w:sz w:val="1"/>
                <w:szCs w:val="1"/>
                <w:color w:val="auto"/>
              </w:rPr>
            </w:pPr>
          </w:p>
        </w:tc>
      </w:tr>
      <w:tr>
        <w:trPr>
          <w:trHeight w:val="107"/>
        </w:trPr>
        <w:tc>
          <w:tcPr>
            <w:tcW w:w="860" w:type="dxa"/>
            <w:vAlign w:val="bottom"/>
            <w:tcBorders>
              <w:left w:val="single" w:sz="8" w:color="auto"/>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2620" w:type="dxa"/>
            <w:vAlign w:val="bottom"/>
            <w:tcBorders>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860" w:type="dxa"/>
            <w:vAlign w:val="bottom"/>
            <w:tcBorders>
              <w:left w:val="single" w:sz="8" w:color="auto"/>
              <w:right w:val="single" w:sz="8" w:color="auto"/>
            </w:tcBorders>
            <w:vMerge w:val="restart"/>
          </w:tcPr>
          <w:p>
            <w:pPr>
              <w:jc w:val="right"/>
              <w:ind w:right="390"/>
              <w:spacing w:after="0"/>
              <w:rPr>
                <w:sz w:val="20"/>
                <w:szCs w:val="20"/>
                <w:color w:val="auto"/>
              </w:rPr>
            </w:pPr>
            <w:r>
              <w:rPr>
                <w:rFonts w:ascii="Arial" w:cs="Arial" w:eastAsia="Arial" w:hAnsi="Arial"/>
                <w:sz w:val="18"/>
                <w:szCs w:val="18"/>
                <w:color w:val="auto"/>
              </w:rPr>
              <w:t>15.</w:t>
            </w:r>
          </w:p>
        </w:tc>
        <w:tc>
          <w:tcPr>
            <w:tcW w:w="260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Harrah’s Airplane Hangar</w:t>
            </w:r>
          </w:p>
        </w:tc>
        <w:tc>
          <w:tcPr>
            <w:tcW w:w="258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Nevada</w:t>
            </w:r>
          </w:p>
        </w:tc>
        <w:tc>
          <w:tcPr>
            <w:tcW w:w="262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8"/>
                <w:szCs w:val="18"/>
                <w:color w:val="auto"/>
              </w:rPr>
              <w:t>Vegas Operating Property LLC</w:t>
            </w:r>
          </w:p>
        </w:tc>
        <w:tc>
          <w:tcPr>
            <w:tcW w:w="260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w w:val="92"/>
              </w:rPr>
              <w:t>CEOC, LLC, successor in interest</w:t>
            </w:r>
          </w:p>
        </w:tc>
        <w:tc>
          <w:tcPr>
            <w:tcW w:w="0" w:type="dxa"/>
            <w:vAlign w:val="bottom"/>
          </w:tcPr>
          <w:p>
            <w:pPr>
              <w:spacing w:after="0"/>
              <w:rPr>
                <w:sz w:val="1"/>
                <w:szCs w:val="1"/>
                <w:color w:val="auto"/>
              </w:rPr>
            </w:pPr>
          </w:p>
        </w:tc>
      </w:tr>
      <w:tr>
        <w:trPr>
          <w:trHeight w:val="176"/>
        </w:trPr>
        <w:tc>
          <w:tcPr>
            <w:tcW w:w="860" w:type="dxa"/>
            <w:vAlign w:val="bottom"/>
            <w:tcBorders>
              <w:left w:val="single" w:sz="8" w:color="auto"/>
              <w:right w:val="single" w:sz="8" w:color="auto"/>
            </w:tcBorders>
            <w:vMerge w:val="continue"/>
          </w:tcPr>
          <w:p>
            <w:pPr>
              <w:spacing w:after="0"/>
              <w:rPr>
                <w:sz w:val="15"/>
                <w:szCs w:val="15"/>
                <w:color w:val="auto"/>
              </w:rPr>
            </w:pPr>
          </w:p>
        </w:tc>
        <w:tc>
          <w:tcPr>
            <w:tcW w:w="2600" w:type="dxa"/>
            <w:vAlign w:val="bottom"/>
            <w:tcBorders>
              <w:right w:val="single" w:sz="8" w:color="auto"/>
            </w:tcBorders>
          </w:tcPr>
          <w:p>
            <w:pPr>
              <w:spacing w:after="0"/>
              <w:rPr>
                <w:sz w:val="15"/>
                <w:szCs w:val="15"/>
                <w:color w:val="auto"/>
              </w:rPr>
            </w:pPr>
          </w:p>
        </w:tc>
        <w:tc>
          <w:tcPr>
            <w:tcW w:w="258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tcPr>
          <w:p>
            <w:pPr>
              <w:spacing w:after="0"/>
              <w:rPr>
                <w:sz w:val="15"/>
                <w:szCs w:val="15"/>
                <w:color w:val="auto"/>
              </w:rPr>
            </w:pPr>
          </w:p>
        </w:tc>
        <w:tc>
          <w:tcPr>
            <w:tcW w:w="26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by merger to Caesars</w:t>
            </w:r>
          </w:p>
        </w:tc>
        <w:tc>
          <w:tcPr>
            <w:tcW w:w="0" w:type="dxa"/>
            <w:vAlign w:val="bottom"/>
          </w:tcPr>
          <w:p>
            <w:pPr>
              <w:spacing w:after="0"/>
              <w:rPr>
                <w:sz w:val="1"/>
                <w:szCs w:val="1"/>
                <w:color w:val="auto"/>
              </w:rPr>
            </w:pPr>
          </w:p>
        </w:tc>
      </w:tr>
      <w:tr>
        <w:trPr>
          <w:trHeight w:val="175"/>
        </w:trPr>
        <w:tc>
          <w:tcPr>
            <w:tcW w:w="860" w:type="dxa"/>
            <w:vAlign w:val="bottom"/>
            <w:tcBorders>
              <w:left w:val="single" w:sz="8" w:color="auto"/>
              <w:right w:val="single" w:sz="8" w:color="auto"/>
            </w:tcBorders>
          </w:tcPr>
          <w:p>
            <w:pPr>
              <w:spacing w:after="0"/>
              <w:rPr>
                <w:sz w:val="15"/>
                <w:szCs w:val="15"/>
                <w:color w:val="auto"/>
              </w:rPr>
            </w:pPr>
          </w:p>
        </w:tc>
        <w:tc>
          <w:tcPr>
            <w:tcW w:w="2600" w:type="dxa"/>
            <w:vAlign w:val="bottom"/>
            <w:tcBorders>
              <w:right w:val="single" w:sz="8" w:color="auto"/>
            </w:tcBorders>
          </w:tcPr>
          <w:p>
            <w:pPr>
              <w:spacing w:after="0"/>
              <w:rPr>
                <w:sz w:val="15"/>
                <w:szCs w:val="15"/>
                <w:color w:val="auto"/>
              </w:rPr>
            </w:pPr>
          </w:p>
        </w:tc>
        <w:tc>
          <w:tcPr>
            <w:tcW w:w="258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tcPr>
          <w:p>
            <w:pPr>
              <w:spacing w:after="0"/>
              <w:rPr>
                <w:sz w:val="15"/>
                <w:szCs w:val="15"/>
                <w:color w:val="auto"/>
              </w:rPr>
            </w:pPr>
          </w:p>
        </w:tc>
        <w:tc>
          <w:tcPr>
            <w:tcW w:w="26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Entertainment Operating</w:t>
            </w:r>
          </w:p>
        </w:tc>
        <w:tc>
          <w:tcPr>
            <w:tcW w:w="0" w:type="dxa"/>
            <w:vAlign w:val="bottom"/>
          </w:tcPr>
          <w:p>
            <w:pPr>
              <w:spacing w:after="0"/>
              <w:rPr>
                <w:sz w:val="1"/>
                <w:szCs w:val="1"/>
                <w:color w:val="auto"/>
              </w:rPr>
            </w:pPr>
          </w:p>
        </w:tc>
      </w:tr>
      <w:tr>
        <w:trPr>
          <w:trHeight w:val="230"/>
        </w:trPr>
        <w:tc>
          <w:tcPr>
            <w:tcW w:w="860" w:type="dxa"/>
            <w:vAlign w:val="bottom"/>
            <w:tcBorders>
              <w:left w:val="single" w:sz="8" w:color="auto"/>
              <w:bottom w:val="single" w:sz="8" w:color="auto"/>
              <w:right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Company, Inc.</w:t>
            </w:r>
          </w:p>
        </w:tc>
        <w:tc>
          <w:tcPr>
            <w:tcW w:w="0" w:type="dxa"/>
            <w:vAlign w:val="bottom"/>
          </w:tcPr>
          <w:p>
            <w:pPr>
              <w:spacing w:after="0"/>
              <w:rPr>
                <w:sz w:val="1"/>
                <w:szCs w:val="1"/>
                <w:color w:val="auto"/>
              </w:rPr>
            </w:pPr>
          </w:p>
        </w:tc>
      </w:tr>
      <w:tr>
        <w:trPr>
          <w:trHeight w:val="169"/>
        </w:trPr>
        <w:tc>
          <w:tcPr>
            <w:tcW w:w="860" w:type="dxa"/>
            <w:vAlign w:val="bottom"/>
            <w:tcBorders>
              <w:left w:val="single" w:sz="8" w:color="auto"/>
              <w:right w:val="single" w:sz="8" w:color="auto"/>
            </w:tcBorders>
            <w:vMerge w:val="restart"/>
          </w:tcPr>
          <w:p>
            <w:pPr>
              <w:jc w:val="right"/>
              <w:ind w:right="390"/>
              <w:spacing w:after="0"/>
              <w:rPr>
                <w:sz w:val="20"/>
                <w:szCs w:val="20"/>
                <w:color w:val="auto"/>
              </w:rPr>
            </w:pPr>
            <w:r>
              <w:rPr>
                <w:rFonts w:ascii="Arial" w:cs="Arial" w:eastAsia="Arial" w:hAnsi="Arial"/>
                <w:sz w:val="18"/>
                <w:szCs w:val="18"/>
                <w:color w:val="auto"/>
              </w:rPr>
              <w:t>16.</w:t>
            </w:r>
          </w:p>
        </w:tc>
        <w:tc>
          <w:tcPr>
            <w:tcW w:w="260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Land Leftover from Harrah’s</w:t>
            </w:r>
          </w:p>
        </w:tc>
        <w:tc>
          <w:tcPr>
            <w:tcW w:w="258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Mississippi</w:t>
            </w:r>
          </w:p>
        </w:tc>
        <w:tc>
          <w:tcPr>
            <w:tcW w:w="262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8"/>
                <w:szCs w:val="18"/>
                <w:color w:val="auto"/>
              </w:rPr>
              <w:t>Propco Gulfport LLC</w:t>
            </w:r>
          </w:p>
        </w:tc>
        <w:tc>
          <w:tcPr>
            <w:tcW w:w="260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w w:val="92"/>
              </w:rPr>
              <w:t>CEOC, LLC, successor in interest</w:t>
            </w:r>
          </w:p>
        </w:tc>
        <w:tc>
          <w:tcPr>
            <w:tcW w:w="0" w:type="dxa"/>
            <w:vAlign w:val="bottom"/>
          </w:tcPr>
          <w:p>
            <w:pPr>
              <w:spacing w:after="0"/>
              <w:rPr>
                <w:sz w:val="1"/>
                <w:szCs w:val="1"/>
                <w:color w:val="auto"/>
              </w:rPr>
            </w:pPr>
          </w:p>
        </w:tc>
      </w:tr>
      <w:tr>
        <w:trPr>
          <w:trHeight w:val="175"/>
        </w:trPr>
        <w:tc>
          <w:tcPr>
            <w:tcW w:w="860" w:type="dxa"/>
            <w:vAlign w:val="bottom"/>
            <w:tcBorders>
              <w:left w:val="single" w:sz="8" w:color="auto"/>
              <w:right w:val="single" w:sz="8" w:color="auto"/>
            </w:tcBorders>
            <w:vMerge w:val="continue"/>
          </w:tcPr>
          <w:p>
            <w:pPr>
              <w:spacing w:after="0"/>
              <w:rPr>
                <w:sz w:val="15"/>
                <w:szCs w:val="15"/>
                <w:color w:val="auto"/>
              </w:rPr>
            </w:pPr>
          </w:p>
        </w:tc>
        <w:tc>
          <w:tcPr>
            <w:tcW w:w="26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Gulfport</w:t>
            </w:r>
          </w:p>
        </w:tc>
        <w:tc>
          <w:tcPr>
            <w:tcW w:w="258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tcPr>
          <w:p>
            <w:pPr>
              <w:spacing w:after="0"/>
              <w:rPr>
                <w:sz w:val="15"/>
                <w:szCs w:val="15"/>
                <w:color w:val="auto"/>
              </w:rPr>
            </w:pPr>
          </w:p>
        </w:tc>
        <w:tc>
          <w:tcPr>
            <w:tcW w:w="26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by merger to Caesars</w:t>
            </w:r>
          </w:p>
        </w:tc>
        <w:tc>
          <w:tcPr>
            <w:tcW w:w="0" w:type="dxa"/>
            <w:vAlign w:val="bottom"/>
          </w:tcPr>
          <w:p>
            <w:pPr>
              <w:spacing w:after="0"/>
              <w:rPr>
                <w:sz w:val="1"/>
                <w:szCs w:val="1"/>
                <w:color w:val="auto"/>
              </w:rPr>
            </w:pPr>
          </w:p>
        </w:tc>
      </w:tr>
      <w:tr>
        <w:trPr>
          <w:trHeight w:val="176"/>
        </w:trPr>
        <w:tc>
          <w:tcPr>
            <w:tcW w:w="860" w:type="dxa"/>
            <w:vAlign w:val="bottom"/>
            <w:tcBorders>
              <w:left w:val="single" w:sz="8" w:color="auto"/>
              <w:right w:val="single" w:sz="8" w:color="auto"/>
            </w:tcBorders>
          </w:tcPr>
          <w:p>
            <w:pPr>
              <w:spacing w:after="0"/>
              <w:rPr>
                <w:sz w:val="15"/>
                <w:szCs w:val="15"/>
                <w:color w:val="auto"/>
              </w:rPr>
            </w:pPr>
          </w:p>
        </w:tc>
        <w:tc>
          <w:tcPr>
            <w:tcW w:w="2600" w:type="dxa"/>
            <w:vAlign w:val="bottom"/>
            <w:tcBorders>
              <w:right w:val="single" w:sz="8" w:color="auto"/>
            </w:tcBorders>
          </w:tcPr>
          <w:p>
            <w:pPr>
              <w:spacing w:after="0"/>
              <w:rPr>
                <w:sz w:val="15"/>
                <w:szCs w:val="15"/>
                <w:color w:val="auto"/>
              </w:rPr>
            </w:pPr>
          </w:p>
        </w:tc>
        <w:tc>
          <w:tcPr>
            <w:tcW w:w="258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tcPr>
          <w:p>
            <w:pPr>
              <w:spacing w:after="0"/>
              <w:rPr>
                <w:sz w:val="15"/>
                <w:szCs w:val="15"/>
                <w:color w:val="auto"/>
              </w:rPr>
            </w:pPr>
          </w:p>
        </w:tc>
        <w:tc>
          <w:tcPr>
            <w:tcW w:w="26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Entertainment Operating</w:t>
            </w:r>
          </w:p>
        </w:tc>
        <w:tc>
          <w:tcPr>
            <w:tcW w:w="0" w:type="dxa"/>
            <w:vAlign w:val="bottom"/>
          </w:tcPr>
          <w:p>
            <w:pPr>
              <w:spacing w:after="0"/>
              <w:rPr>
                <w:sz w:val="1"/>
                <w:szCs w:val="1"/>
                <w:color w:val="auto"/>
              </w:rPr>
            </w:pPr>
          </w:p>
        </w:tc>
      </w:tr>
      <w:tr>
        <w:trPr>
          <w:trHeight w:val="229"/>
        </w:trPr>
        <w:tc>
          <w:tcPr>
            <w:tcW w:w="860" w:type="dxa"/>
            <w:vAlign w:val="bottom"/>
            <w:tcBorders>
              <w:left w:val="single" w:sz="8" w:color="auto"/>
              <w:bottom w:val="single" w:sz="8" w:color="auto"/>
              <w:right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Company, Inc.</w:t>
            </w:r>
          </w:p>
        </w:tc>
        <w:tc>
          <w:tcPr>
            <w:tcW w:w="0" w:type="dxa"/>
            <w:vAlign w:val="bottom"/>
          </w:tcPr>
          <w:p>
            <w:pPr>
              <w:spacing w:after="0"/>
              <w:rPr>
                <w:sz w:val="1"/>
                <w:szCs w:val="1"/>
                <w:color w:val="auto"/>
              </w:rPr>
            </w:pPr>
          </w:p>
        </w:tc>
      </w:tr>
    </w:tbl>
    <w:p>
      <w:pPr>
        <w:sectPr>
          <w:pgSz w:w="11900" w:h="16838" w:orient="portrait"/>
          <w:cols w:equalWidth="0" w:num="1">
            <w:col w:w="11260"/>
          </w:cols>
          <w:pgMar w:left="320" w:top="1440" w:right="319" w:bottom="1440" w:gutter="0" w:footer="0" w:header="0"/>
        </w:sectPr>
      </w:pPr>
    </w:p>
    <w:bookmarkStart w:id="186" w:name="page187"/>
    <w:bookmarkEnd w:id="186"/>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860" w:type="dxa"/>
            <w:vAlign w:val="bottom"/>
            <w:tcBorders>
              <w:top w:val="single" w:sz="8" w:color="auto"/>
              <w:left w:val="single" w:sz="8" w:color="auto"/>
              <w:right w:val="single" w:sz="8" w:color="auto"/>
            </w:tcBorders>
            <w:vMerge w:val="restart"/>
          </w:tcPr>
          <w:p>
            <w:pPr>
              <w:jc w:val="right"/>
              <w:ind w:right="390"/>
              <w:spacing w:after="0"/>
              <w:rPr>
                <w:sz w:val="20"/>
                <w:szCs w:val="20"/>
                <w:color w:val="auto"/>
              </w:rPr>
            </w:pPr>
            <w:r>
              <w:rPr>
                <w:rFonts w:ascii="Arial" w:cs="Arial" w:eastAsia="Arial" w:hAnsi="Arial"/>
                <w:sz w:val="18"/>
                <w:szCs w:val="18"/>
                <w:color w:val="auto"/>
              </w:rPr>
              <w:t>17.</w:t>
            </w:r>
          </w:p>
        </w:tc>
        <w:tc>
          <w:tcPr>
            <w:tcW w:w="2600" w:type="dxa"/>
            <w:vAlign w:val="bottom"/>
            <w:tcBorders>
              <w:top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Vacant Land in Splendora, TX</w:t>
            </w:r>
          </w:p>
        </w:tc>
        <w:tc>
          <w:tcPr>
            <w:tcW w:w="2580" w:type="dxa"/>
            <w:vAlign w:val="bottom"/>
            <w:tcBorders>
              <w:top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rPr>
              <w:t>Texas</w:t>
            </w:r>
          </w:p>
        </w:tc>
        <w:tc>
          <w:tcPr>
            <w:tcW w:w="2620" w:type="dxa"/>
            <w:vAlign w:val="bottom"/>
            <w:tcBorders>
              <w:top w:val="single" w:sz="8" w:color="auto"/>
              <w:right w:val="single" w:sz="8" w:color="auto"/>
            </w:tcBorders>
          </w:tcPr>
          <w:p>
            <w:pPr>
              <w:ind w:left="80"/>
              <w:spacing w:after="0" w:line="189" w:lineRule="exact"/>
              <w:rPr>
                <w:sz w:val="20"/>
                <w:szCs w:val="20"/>
                <w:color w:val="auto"/>
              </w:rPr>
            </w:pPr>
            <w:r>
              <w:rPr>
                <w:rFonts w:ascii="Arial" w:cs="Arial" w:eastAsia="Arial" w:hAnsi="Arial"/>
                <w:sz w:val="18"/>
                <w:szCs w:val="18"/>
                <w:color w:val="auto"/>
              </w:rPr>
              <w:t>Miscellaneous Land LLC</w:t>
            </w:r>
          </w:p>
        </w:tc>
        <w:tc>
          <w:tcPr>
            <w:tcW w:w="2600" w:type="dxa"/>
            <w:vAlign w:val="bottom"/>
            <w:tcBorders>
              <w:top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color w:val="auto"/>
                <w:w w:val="92"/>
              </w:rPr>
              <w:t>CEOC, LLC, successor in interest</w:t>
            </w:r>
          </w:p>
        </w:tc>
        <w:tc>
          <w:tcPr>
            <w:tcW w:w="0" w:type="dxa"/>
            <w:vAlign w:val="bottom"/>
          </w:tcPr>
          <w:p>
            <w:pPr>
              <w:spacing w:after="0"/>
              <w:rPr>
                <w:sz w:val="1"/>
                <w:szCs w:val="1"/>
                <w:color w:val="auto"/>
              </w:rPr>
            </w:pPr>
          </w:p>
        </w:tc>
      </w:tr>
      <w:tr>
        <w:trPr>
          <w:trHeight w:val="176"/>
        </w:trPr>
        <w:tc>
          <w:tcPr>
            <w:tcW w:w="860" w:type="dxa"/>
            <w:vAlign w:val="bottom"/>
            <w:tcBorders>
              <w:left w:val="single" w:sz="8" w:color="auto"/>
              <w:right w:val="single" w:sz="8" w:color="auto"/>
            </w:tcBorders>
            <w:vMerge w:val="continue"/>
          </w:tcPr>
          <w:p>
            <w:pPr>
              <w:spacing w:after="0"/>
              <w:rPr>
                <w:sz w:val="15"/>
                <w:szCs w:val="15"/>
                <w:color w:val="auto"/>
              </w:rPr>
            </w:pPr>
          </w:p>
        </w:tc>
        <w:tc>
          <w:tcPr>
            <w:tcW w:w="2600" w:type="dxa"/>
            <w:vAlign w:val="bottom"/>
            <w:tcBorders>
              <w:right w:val="single" w:sz="8" w:color="auto"/>
            </w:tcBorders>
          </w:tcPr>
          <w:p>
            <w:pPr>
              <w:spacing w:after="0"/>
              <w:rPr>
                <w:sz w:val="15"/>
                <w:szCs w:val="15"/>
                <w:color w:val="auto"/>
              </w:rPr>
            </w:pPr>
          </w:p>
        </w:tc>
        <w:tc>
          <w:tcPr>
            <w:tcW w:w="258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tcPr>
          <w:p>
            <w:pPr>
              <w:spacing w:after="0"/>
              <w:rPr>
                <w:sz w:val="15"/>
                <w:szCs w:val="15"/>
                <w:color w:val="auto"/>
              </w:rPr>
            </w:pPr>
          </w:p>
        </w:tc>
        <w:tc>
          <w:tcPr>
            <w:tcW w:w="26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by merger to Caesars</w:t>
            </w:r>
          </w:p>
        </w:tc>
        <w:tc>
          <w:tcPr>
            <w:tcW w:w="0" w:type="dxa"/>
            <w:vAlign w:val="bottom"/>
          </w:tcPr>
          <w:p>
            <w:pPr>
              <w:spacing w:after="0"/>
              <w:rPr>
                <w:sz w:val="1"/>
                <w:szCs w:val="1"/>
                <w:color w:val="auto"/>
              </w:rPr>
            </w:pPr>
          </w:p>
        </w:tc>
      </w:tr>
      <w:tr>
        <w:trPr>
          <w:trHeight w:val="176"/>
        </w:trPr>
        <w:tc>
          <w:tcPr>
            <w:tcW w:w="860" w:type="dxa"/>
            <w:vAlign w:val="bottom"/>
            <w:tcBorders>
              <w:left w:val="single" w:sz="8" w:color="auto"/>
              <w:right w:val="single" w:sz="8" w:color="auto"/>
            </w:tcBorders>
          </w:tcPr>
          <w:p>
            <w:pPr>
              <w:spacing w:after="0"/>
              <w:rPr>
                <w:sz w:val="15"/>
                <w:szCs w:val="15"/>
                <w:color w:val="auto"/>
              </w:rPr>
            </w:pPr>
          </w:p>
        </w:tc>
        <w:tc>
          <w:tcPr>
            <w:tcW w:w="2600" w:type="dxa"/>
            <w:vAlign w:val="bottom"/>
            <w:tcBorders>
              <w:right w:val="single" w:sz="8" w:color="auto"/>
            </w:tcBorders>
          </w:tcPr>
          <w:p>
            <w:pPr>
              <w:spacing w:after="0"/>
              <w:rPr>
                <w:sz w:val="15"/>
                <w:szCs w:val="15"/>
                <w:color w:val="auto"/>
              </w:rPr>
            </w:pPr>
          </w:p>
        </w:tc>
        <w:tc>
          <w:tcPr>
            <w:tcW w:w="258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tcPr>
          <w:p>
            <w:pPr>
              <w:spacing w:after="0"/>
              <w:rPr>
                <w:sz w:val="15"/>
                <w:szCs w:val="15"/>
                <w:color w:val="auto"/>
              </w:rPr>
            </w:pPr>
          </w:p>
        </w:tc>
        <w:tc>
          <w:tcPr>
            <w:tcW w:w="26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Entertainment Operating</w:t>
            </w:r>
          </w:p>
        </w:tc>
        <w:tc>
          <w:tcPr>
            <w:tcW w:w="0" w:type="dxa"/>
            <w:vAlign w:val="bottom"/>
          </w:tcPr>
          <w:p>
            <w:pPr>
              <w:spacing w:after="0"/>
              <w:rPr>
                <w:sz w:val="1"/>
                <w:szCs w:val="1"/>
                <w:color w:val="auto"/>
              </w:rPr>
            </w:pPr>
          </w:p>
        </w:tc>
      </w:tr>
      <w:tr>
        <w:trPr>
          <w:trHeight w:val="229"/>
        </w:trPr>
        <w:tc>
          <w:tcPr>
            <w:tcW w:w="860" w:type="dxa"/>
            <w:vAlign w:val="bottom"/>
            <w:tcBorders>
              <w:left w:val="single" w:sz="8" w:color="auto"/>
              <w:bottom w:val="single" w:sz="8" w:color="auto"/>
              <w:right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Company, Inc.</w:t>
            </w:r>
          </w:p>
        </w:tc>
        <w:tc>
          <w:tcPr>
            <w:tcW w:w="0" w:type="dxa"/>
            <w:vAlign w:val="bottom"/>
          </w:tcPr>
          <w:p>
            <w:pPr>
              <w:spacing w:after="0"/>
              <w:rPr>
                <w:sz w:val="1"/>
                <w:szCs w:val="1"/>
                <w:color w:val="auto"/>
              </w:rPr>
            </w:pPr>
          </w:p>
        </w:tc>
      </w:tr>
      <w:tr>
        <w:trPr>
          <w:trHeight w:val="169"/>
        </w:trPr>
        <w:tc>
          <w:tcPr>
            <w:tcW w:w="860" w:type="dxa"/>
            <w:vAlign w:val="bottom"/>
            <w:tcBorders>
              <w:left w:val="single" w:sz="8" w:color="auto"/>
              <w:right w:val="single" w:sz="8" w:color="auto"/>
            </w:tcBorders>
            <w:vMerge w:val="restart"/>
          </w:tcPr>
          <w:p>
            <w:pPr>
              <w:jc w:val="right"/>
              <w:ind w:right="390"/>
              <w:spacing w:after="0"/>
              <w:rPr>
                <w:sz w:val="20"/>
                <w:szCs w:val="20"/>
                <w:color w:val="auto"/>
              </w:rPr>
            </w:pPr>
            <w:r>
              <w:rPr>
                <w:rFonts w:ascii="Arial" w:cs="Arial" w:eastAsia="Arial" w:hAnsi="Arial"/>
                <w:sz w:val="18"/>
                <w:szCs w:val="18"/>
                <w:color w:val="auto"/>
              </w:rPr>
              <w:t>18.</w:t>
            </w:r>
          </w:p>
        </w:tc>
        <w:tc>
          <w:tcPr>
            <w:tcW w:w="260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Vacant Land at Turfway Park</w:t>
            </w:r>
          </w:p>
        </w:tc>
        <w:tc>
          <w:tcPr>
            <w:tcW w:w="258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Kentucky</w:t>
            </w:r>
          </w:p>
        </w:tc>
        <w:tc>
          <w:tcPr>
            <w:tcW w:w="262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8"/>
                <w:szCs w:val="18"/>
                <w:color w:val="auto"/>
              </w:rPr>
              <w:t>Miscellaneous Land LLC</w:t>
            </w:r>
          </w:p>
        </w:tc>
        <w:tc>
          <w:tcPr>
            <w:tcW w:w="260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w w:val="92"/>
              </w:rPr>
              <w:t>CEOC, LLC, successor in interest</w:t>
            </w:r>
          </w:p>
        </w:tc>
        <w:tc>
          <w:tcPr>
            <w:tcW w:w="0" w:type="dxa"/>
            <w:vAlign w:val="bottom"/>
          </w:tcPr>
          <w:p>
            <w:pPr>
              <w:spacing w:after="0"/>
              <w:rPr>
                <w:sz w:val="1"/>
                <w:szCs w:val="1"/>
                <w:color w:val="auto"/>
              </w:rPr>
            </w:pPr>
          </w:p>
        </w:tc>
      </w:tr>
      <w:tr>
        <w:trPr>
          <w:trHeight w:val="175"/>
        </w:trPr>
        <w:tc>
          <w:tcPr>
            <w:tcW w:w="860" w:type="dxa"/>
            <w:vAlign w:val="bottom"/>
            <w:tcBorders>
              <w:left w:val="single" w:sz="8" w:color="auto"/>
              <w:right w:val="single" w:sz="8" w:color="auto"/>
            </w:tcBorders>
            <w:vMerge w:val="continue"/>
          </w:tcPr>
          <w:p>
            <w:pPr>
              <w:spacing w:after="0"/>
              <w:rPr>
                <w:sz w:val="15"/>
                <w:szCs w:val="15"/>
                <w:color w:val="auto"/>
              </w:rPr>
            </w:pPr>
          </w:p>
        </w:tc>
        <w:tc>
          <w:tcPr>
            <w:tcW w:w="2600" w:type="dxa"/>
            <w:vAlign w:val="bottom"/>
            <w:tcBorders>
              <w:right w:val="single" w:sz="8" w:color="auto"/>
            </w:tcBorders>
          </w:tcPr>
          <w:p>
            <w:pPr>
              <w:spacing w:after="0"/>
              <w:rPr>
                <w:sz w:val="15"/>
                <w:szCs w:val="15"/>
                <w:color w:val="auto"/>
              </w:rPr>
            </w:pPr>
          </w:p>
        </w:tc>
        <w:tc>
          <w:tcPr>
            <w:tcW w:w="258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tcPr>
          <w:p>
            <w:pPr>
              <w:spacing w:after="0"/>
              <w:rPr>
                <w:sz w:val="15"/>
                <w:szCs w:val="15"/>
                <w:color w:val="auto"/>
              </w:rPr>
            </w:pPr>
          </w:p>
        </w:tc>
        <w:tc>
          <w:tcPr>
            <w:tcW w:w="26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by merger to Caesars</w:t>
            </w:r>
          </w:p>
        </w:tc>
        <w:tc>
          <w:tcPr>
            <w:tcW w:w="0" w:type="dxa"/>
            <w:vAlign w:val="bottom"/>
          </w:tcPr>
          <w:p>
            <w:pPr>
              <w:spacing w:after="0"/>
              <w:rPr>
                <w:sz w:val="1"/>
                <w:szCs w:val="1"/>
                <w:color w:val="auto"/>
              </w:rPr>
            </w:pPr>
          </w:p>
        </w:tc>
      </w:tr>
      <w:tr>
        <w:trPr>
          <w:trHeight w:val="176"/>
        </w:trPr>
        <w:tc>
          <w:tcPr>
            <w:tcW w:w="860" w:type="dxa"/>
            <w:vAlign w:val="bottom"/>
            <w:tcBorders>
              <w:left w:val="single" w:sz="8" w:color="auto"/>
              <w:right w:val="single" w:sz="8" w:color="auto"/>
            </w:tcBorders>
          </w:tcPr>
          <w:p>
            <w:pPr>
              <w:spacing w:after="0"/>
              <w:rPr>
                <w:sz w:val="15"/>
                <w:szCs w:val="15"/>
                <w:color w:val="auto"/>
              </w:rPr>
            </w:pPr>
          </w:p>
        </w:tc>
        <w:tc>
          <w:tcPr>
            <w:tcW w:w="2600" w:type="dxa"/>
            <w:vAlign w:val="bottom"/>
            <w:tcBorders>
              <w:right w:val="single" w:sz="8" w:color="auto"/>
            </w:tcBorders>
          </w:tcPr>
          <w:p>
            <w:pPr>
              <w:spacing w:after="0"/>
              <w:rPr>
                <w:sz w:val="15"/>
                <w:szCs w:val="15"/>
                <w:color w:val="auto"/>
              </w:rPr>
            </w:pPr>
          </w:p>
        </w:tc>
        <w:tc>
          <w:tcPr>
            <w:tcW w:w="2580" w:type="dxa"/>
            <w:vAlign w:val="bottom"/>
            <w:tcBorders>
              <w:right w:val="single" w:sz="8" w:color="auto"/>
            </w:tcBorders>
          </w:tcPr>
          <w:p>
            <w:pPr>
              <w:spacing w:after="0"/>
              <w:rPr>
                <w:sz w:val="15"/>
                <w:szCs w:val="15"/>
                <w:color w:val="auto"/>
              </w:rPr>
            </w:pPr>
          </w:p>
        </w:tc>
        <w:tc>
          <w:tcPr>
            <w:tcW w:w="2620" w:type="dxa"/>
            <w:vAlign w:val="bottom"/>
            <w:tcBorders>
              <w:right w:val="single" w:sz="8" w:color="auto"/>
            </w:tcBorders>
          </w:tcPr>
          <w:p>
            <w:pPr>
              <w:spacing w:after="0"/>
              <w:rPr>
                <w:sz w:val="15"/>
                <w:szCs w:val="15"/>
                <w:color w:val="auto"/>
              </w:rPr>
            </w:pPr>
          </w:p>
        </w:tc>
        <w:tc>
          <w:tcPr>
            <w:tcW w:w="260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Entertainment Operating</w:t>
            </w:r>
          </w:p>
        </w:tc>
        <w:tc>
          <w:tcPr>
            <w:tcW w:w="0" w:type="dxa"/>
            <w:vAlign w:val="bottom"/>
          </w:tcPr>
          <w:p>
            <w:pPr>
              <w:spacing w:after="0"/>
              <w:rPr>
                <w:sz w:val="1"/>
                <w:szCs w:val="1"/>
                <w:color w:val="auto"/>
              </w:rPr>
            </w:pPr>
          </w:p>
        </w:tc>
      </w:tr>
      <w:tr>
        <w:trPr>
          <w:trHeight w:val="229"/>
        </w:trPr>
        <w:tc>
          <w:tcPr>
            <w:tcW w:w="860" w:type="dxa"/>
            <w:vAlign w:val="bottom"/>
            <w:tcBorders>
              <w:left w:val="single" w:sz="8" w:color="auto"/>
              <w:bottom w:val="single" w:sz="8" w:color="auto"/>
              <w:right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spacing w:after="0"/>
              <w:rPr>
                <w:sz w:val="19"/>
                <w:szCs w:val="19"/>
                <w:color w:val="auto"/>
              </w:rPr>
            </w:pPr>
          </w:p>
        </w:tc>
        <w:tc>
          <w:tcPr>
            <w:tcW w:w="258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19"/>
                <w:szCs w:val="19"/>
                <w:color w:val="auto"/>
              </w:rPr>
            </w:pPr>
          </w:p>
        </w:tc>
        <w:tc>
          <w:tcPr>
            <w:tcW w:w="26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Company, Inc.</w:t>
            </w:r>
          </w:p>
        </w:tc>
        <w:tc>
          <w:tcPr>
            <w:tcW w:w="0" w:type="dxa"/>
            <w:vAlign w:val="bottom"/>
          </w:tcPr>
          <w:p>
            <w:pPr>
              <w:spacing w:after="0"/>
              <w:rPr>
                <w:sz w:val="1"/>
                <w:szCs w:val="1"/>
                <w:color w:val="auto"/>
              </w:rPr>
            </w:pPr>
          </w:p>
        </w:tc>
      </w:tr>
      <w:tr>
        <w:trPr>
          <w:trHeight w:val="224"/>
        </w:trPr>
        <w:tc>
          <w:tcPr>
            <w:tcW w:w="860" w:type="dxa"/>
            <w:vAlign w:val="bottom"/>
            <w:tcBorders>
              <w:left w:val="single" w:sz="8" w:color="auto"/>
              <w:right w:val="single" w:sz="8" w:color="auto"/>
            </w:tcBorders>
            <w:vMerge w:val="restart"/>
          </w:tcPr>
          <w:p>
            <w:pPr>
              <w:jc w:val="right"/>
              <w:ind w:right="390"/>
              <w:spacing w:after="0"/>
              <w:rPr>
                <w:sz w:val="20"/>
                <w:szCs w:val="20"/>
                <w:color w:val="auto"/>
              </w:rPr>
            </w:pPr>
            <w:r>
              <w:rPr>
                <w:rFonts w:ascii="Arial" w:cs="Arial" w:eastAsia="Arial" w:hAnsi="Arial"/>
                <w:sz w:val="18"/>
                <w:szCs w:val="18"/>
                <w:color w:val="auto"/>
              </w:rPr>
              <w:t>19.</w:t>
            </w: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Harrah’s Philadelphia</w:t>
            </w:r>
          </w:p>
        </w:tc>
        <w:tc>
          <w:tcPr>
            <w:tcW w:w="2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Pennsylvania</w:t>
            </w:r>
          </w:p>
        </w:tc>
        <w:tc>
          <w:tcPr>
            <w:tcW w:w="26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Philadelphia Propco LLC</w:t>
            </w: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5"/>
              </w:rPr>
              <w:t>Chester Downs and Marina, LLC</w:t>
            </w:r>
          </w:p>
        </w:tc>
        <w:tc>
          <w:tcPr>
            <w:tcW w:w="0" w:type="dxa"/>
            <w:vAlign w:val="bottom"/>
          </w:tcPr>
          <w:p>
            <w:pPr>
              <w:spacing w:after="0"/>
              <w:rPr>
                <w:sz w:val="1"/>
                <w:szCs w:val="1"/>
                <w:color w:val="auto"/>
              </w:rPr>
            </w:pPr>
          </w:p>
        </w:tc>
      </w:tr>
      <w:tr>
        <w:trPr>
          <w:trHeight w:val="107"/>
        </w:trPr>
        <w:tc>
          <w:tcPr>
            <w:tcW w:w="860" w:type="dxa"/>
            <w:vAlign w:val="bottom"/>
            <w:tcBorders>
              <w:left w:val="single" w:sz="8" w:color="auto"/>
              <w:right w:val="single" w:sz="8" w:color="auto"/>
            </w:tcBorders>
            <w:vMerge w:val="continue"/>
          </w:tcPr>
          <w:p>
            <w:pPr>
              <w:spacing w:after="0"/>
              <w:rPr>
                <w:sz w:val="9"/>
                <w:szCs w:val="9"/>
                <w:color w:val="auto"/>
              </w:rPr>
            </w:pPr>
          </w:p>
        </w:tc>
        <w:tc>
          <w:tcPr>
            <w:tcW w:w="2600" w:type="dxa"/>
            <w:vAlign w:val="bottom"/>
            <w:tcBorders>
              <w:right w:val="single" w:sz="8" w:color="auto"/>
            </w:tcBorders>
          </w:tcPr>
          <w:p>
            <w:pPr>
              <w:spacing w:after="0"/>
              <w:rPr>
                <w:sz w:val="9"/>
                <w:szCs w:val="9"/>
                <w:color w:val="auto"/>
              </w:rPr>
            </w:pPr>
          </w:p>
        </w:tc>
        <w:tc>
          <w:tcPr>
            <w:tcW w:w="2580" w:type="dxa"/>
            <w:vAlign w:val="bottom"/>
            <w:tcBorders>
              <w:right w:val="single" w:sz="8" w:color="auto"/>
            </w:tcBorders>
          </w:tcPr>
          <w:p>
            <w:pPr>
              <w:spacing w:after="0"/>
              <w:rPr>
                <w:sz w:val="9"/>
                <w:szCs w:val="9"/>
                <w:color w:val="auto"/>
              </w:rPr>
            </w:pPr>
          </w:p>
        </w:tc>
        <w:tc>
          <w:tcPr>
            <w:tcW w:w="2620" w:type="dxa"/>
            <w:vAlign w:val="bottom"/>
            <w:tcBorders>
              <w:right w:val="single" w:sz="8" w:color="auto"/>
            </w:tcBorders>
          </w:tcPr>
          <w:p>
            <w:pPr>
              <w:spacing w:after="0"/>
              <w:rPr>
                <w:sz w:val="9"/>
                <w:szCs w:val="9"/>
                <w:color w:val="auto"/>
              </w:rPr>
            </w:pPr>
          </w:p>
        </w:tc>
        <w:tc>
          <w:tcPr>
            <w:tcW w:w="26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60" w:type="dxa"/>
            <w:vAlign w:val="bottom"/>
            <w:tcBorders>
              <w:left w:val="single" w:sz="8" w:color="auto"/>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2620" w:type="dxa"/>
            <w:vAlign w:val="bottom"/>
            <w:tcBorders>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860" w:type="dxa"/>
            <w:vAlign w:val="bottom"/>
            <w:tcBorders>
              <w:left w:val="single" w:sz="8" w:color="auto"/>
              <w:right w:val="single" w:sz="8" w:color="auto"/>
            </w:tcBorders>
            <w:vMerge w:val="restart"/>
          </w:tcPr>
          <w:p>
            <w:pPr>
              <w:jc w:val="right"/>
              <w:ind w:right="390"/>
              <w:spacing w:after="0"/>
              <w:rPr>
                <w:sz w:val="20"/>
                <w:szCs w:val="20"/>
                <w:color w:val="auto"/>
              </w:rPr>
            </w:pPr>
            <w:r>
              <w:rPr>
                <w:rFonts w:ascii="Arial" w:cs="Arial" w:eastAsia="Arial" w:hAnsi="Arial"/>
                <w:sz w:val="18"/>
                <w:szCs w:val="18"/>
                <w:color w:val="auto"/>
              </w:rPr>
              <w:t>20.</w:t>
            </w:r>
          </w:p>
        </w:tc>
        <w:tc>
          <w:tcPr>
            <w:tcW w:w="260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Harrah’s Atlantic City</w:t>
            </w:r>
          </w:p>
        </w:tc>
        <w:tc>
          <w:tcPr>
            <w:tcW w:w="258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New Jersey</w:t>
            </w:r>
          </w:p>
        </w:tc>
        <w:tc>
          <w:tcPr>
            <w:tcW w:w="262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8"/>
                <w:szCs w:val="18"/>
                <w:color w:val="auto"/>
              </w:rPr>
              <w:t>Harrah’s Atlantic City LLC</w:t>
            </w:r>
          </w:p>
        </w:tc>
        <w:tc>
          <w:tcPr>
            <w:tcW w:w="260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w w:val="99"/>
              </w:rPr>
              <w:t>Harrah’s Atlantic City Operating</w:t>
            </w:r>
          </w:p>
        </w:tc>
        <w:tc>
          <w:tcPr>
            <w:tcW w:w="0" w:type="dxa"/>
            <w:vAlign w:val="bottom"/>
          </w:tcPr>
          <w:p>
            <w:pPr>
              <w:spacing w:after="0"/>
              <w:rPr>
                <w:sz w:val="1"/>
                <w:szCs w:val="1"/>
                <w:color w:val="auto"/>
              </w:rPr>
            </w:pPr>
          </w:p>
        </w:tc>
      </w:tr>
      <w:tr>
        <w:trPr>
          <w:trHeight w:val="162"/>
        </w:trPr>
        <w:tc>
          <w:tcPr>
            <w:tcW w:w="860" w:type="dxa"/>
            <w:vAlign w:val="bottom"/>
            <w:tcBorders>
              <w:left w:val="single" w:sz="8" w:color="auto"/>
              <w:right w:val="single" w:sz="8" w:color="auto"/>
            </w:tcBorders>
            <w:vMerge w:val="continue"/>
          </w:tcPr>
          <w:p>
            <w:pPr>
              <w:spacing w:after="0"/>
              <w:rPr>
                <w:sz w:val="14"/>
                <w:szCs w:val="14"/>
                <w:color w:val="auto"/>
              </w:rPr>
            </w:pPr>
          </w:p>
        </w:tc>
        <w:tc>
          <w:tcPr>
            <w:tcW w:w="2600" w:type="dxa"/>
            <w:vAlign w:val="bottom"/>
            <w:tcBorders>
              <w:right w:val="single" w:sz="8" w:color="auto"/>
            </w:tcBorders>
          </w:tcPr>
          <w:p>
            <w:pPr>
              <w:spacing w:after="0"/>
              <w:rPr>
                <w:sz w:val="14"/>
                <w:szCs w:val="14"/>
                <w:color w:val="auto"/>
              </w:rPr>
            </w:pPr>
          </w:p>
        </w:tc>
        <w:tc>
          <w:tcPr>
            <w:tcW w:w="2580" w:type="dxa"/>
            <w:vAlign w:val="bottom"/>
            <w:tcBorders>
              <w:right w:val="single" w:sz="8" w:color="auto"/>
            </w:tcBorders>
          </w:tcPr>
          <w:p>
            <w:pPr>
              <w:spacing w:after="0"/>
              <w:rPr>
                <w:sz w:val="14"/>
                <w:szCs w:val="14"/>
                <w:color w:val="auto"/>
              </w:rPr>
            </w:pPr>
          </w:p>
        </w:tc>
        <w:tc>
          <w:tcPr>
            <w:tcW w:w="2620" w:type="dxa"/>
            <w:vAlign w:val="bottom"/>
            <w:tcBorders>
              <w:right w:val="single" w:sz="8" w:color="auto"/>
            </w:tcBorders>
          </w:tcPr>
          <w:p>
            <w:pPr>
              <w:spacing w:after="0"/>
              <w:rPr>
                <w:sz w:val="14"/>
                <w:szCs w:val="14"/>
                <w:color w:val="auto"/>
              </w:rPr>
            </w:pPr>
          </w:p>
        </w:tc>
        <w:tc>
          <w:tcPr>
            <w:tcW w:w="26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Company, LLC</w:t>
            </w:r>
          </w:p>
        </w:tc>
        <w:tc>
          <w:tcPr>
            <w:tcW w:w="0" w:type="dxa"/>
            <w:vAlign w:val="bottom"/>
          </w:tcPr>
          <w:p>
            <w:pPr>
              <w:spacing w:after="0"/>
              <w:rPr>
                <w:sz w:val="1"/>
                <w:szCs w:val="1"/>
                <w:color w:val="auto"/>
              </w:rPr>
            </w:pPr>
          </w:p>
        </w:tc>
      </w:tr>
      <w:tr>
        <w:trPr>
          <w:trHeight w:val="68"/>
        </w:trPr>
        <w:tc>
          <w:tcPr>
            <w:tcW w:w="860" w:type="dxa"/>
            <w:vAlign w:val="bottom"/>
            <w:tcBorders>
              <w:left w:val="single" w:sz="8" w:color="auto"/>
              <w:right w:val="single" w:sz="8" w:color="auto"/>
            </w:tcBorders>
          </w:tcPr>
          <w:p>
            <w:pPr>
              <w:spacing w:after="0"/>
              <w:rPr>
                <w:sz w:val="5"/>
                <w:szCs w:val="5"/>
                <w:color w:val="auto"/>
              </w:rPr>
            </w:pPr>
          </w:p>
        </w:tc>
        <w:tc>
          <w:tcPr>
            <w:tcW w:w="2600" w:type="dxa"/>
            <w:vAlign w:val="bottom"/>
            <w:tcBorders>
              <w:right w:val="single" w:sz="8" w:color="auto"/>
            </w:tcBorders>
          </w:tcPr>
          <w:p>
            <w:pPr>
              <w:spacing w:after="0"/>
              <w:rPr>
                <w:sz w:val="5"/>
                <w:szCs w:val="5"/>
                <w:color w:val="auto"/>
              </w:rPr>
            </w:pPr>
          </w:p>
        </w:tc>
        <w:tc>
          <w:tcPr>
            <w:tcW w:w="2580" w:type="dxa"/>
            <w:vAlign w:val="bottom"/>
            <w:tcBorders>
              <w:right w:val="single" w:sz="8" w:color="auto"/>
            </w:tcBorders>
          </w:tcPr>
          <w:p>
            <w:pPr>
              <w:spacing w:after="0"/>
              <w:rPr>
                <w:sz w:val="5"/>
                <w:szCs w:val="5"/>
                <w:color w:val="auto"/>
              </w:rPr>
            </w:pPr>
          </w:p>
        </w:tc>
        <w:tc>
          <w:tcPr>
            <w:tcW w:w="2620" w:type="dxa"/>
            <w:vAlign w:val="bottom"/>
            <w:tcBorders>
              <w:right w:val="single" w:sz="8" w:color="auto"/>
            </w:tcBorders>
          </w:tcPr>
          <w:p>
            <w:pPr>
              <w:spacing w:after="0"/>
              <w:rPr>
                <w:sz w:val="5"/>
                <w:szCs w:val="5"/>
                <w:color w:val="auto"/>
              </w:rPr>
            </w:pPr>
          </w:p>
        </w:tc>
        <w:tc>
          <w:tcPr>
            <w:tcW w:w="26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860" w:type="dxa"/>
            <w:vAlign w:val="bottom"/>
            <w:tcBorders>
              <w:left w:val="single" w:sz="8" w:color="auto"/>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2620" w:type="dxa"/>
            <w:vAlign w:val="bottom"/>
            <w:tcBorders>
              <w:bottom w:val="single" w:sz="8" w:color="auto"/>
              <w:right w:val="single" w:sz="8" w:color="auto"/>
            </w:tcBorders>
          </w:tcPr>
          <w:p>
            <w:pPr>
              <w:spacing w:after="0"/>
              <w:rPr>
                <w:sz w:val="3"/>
                <w:szCs w:val="3"/>
                <w:color w:val="auto"/>
              </w:rPr>
            </w:pPr>
          </w:p>
        </w:tc>
        <w:tc>
          <w:tcPr>
            <w:tcW w:w="26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860" w:type="dxa"/>
            <w:vAlign w:val="bottom"/>
            <w:tcBorders>
              <w:left w:val="single" w:sz="8" w:color="auto"/>
              <w:right w:val="single" w:sz="8" w:color="auto"/>
            </w:tcBorders>
            <w:vMerge w:val="restart"/>
          </w:tcPr>
          <w:p>
            <w:pPr>
              <w:jc w:val="right"/>
              <w:ind w:right="390"/>
              <w:spacing w:after="0"/>
              <w:rPr>
                <w:sz w:val="20"/>
                <w:szCs w:val="20"/>
                <w:color w:val="auto"/>
              </w:rPr>
            </w:pPr>
            <w:r>
              <w:rPr>
                <w:rFonts w:ascii="Arial" w:cs="Arial" w:eastAsia="Arial" w:hAnsi="Arial"/>
                <w:sz w:val="18"/>
                <w:szCs w:val="18"/>
                <w:color w:val="auto"/>
              </w:rPr>
              <w:t>21.</w:t>
            </w: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Harrah’s Laughlin</w:t>
            </w:r>
          </w:p>
        </w:tc>
        <w:tc>
          <w:tcPr>
            <w:tcW w:w="2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Nevada</w:t>
            </w:r>
          </w:p>
        </w:tc>
        <w:tc>
          <w:tcPr>
            <w:tcW w:w="26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New Laughlin Owner LLC</w:t>
            </w: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Harrah’s Laughlin, LLC</w:t>
            </w:r>
          </w:p>
        </w:tc>
        <w:tc>
          <w:tcPr>
            <w:tcW w:w="0" w:type="dxa"/>
            <w:vAlign w:val="bottom"/>
          </w:tcPr>
          <w:p>
            <w:pPr>
              <w:spacing w:after="0"/>
              <w:rPr>
                <w:sz w:val="1"/>
                <w:szCs w:val="1"/>
                <w:color w:val="auto"/>
              </w:rPr>
            </w:pPr>
          </w:p>
        </w:tc>
      </w:tr>
      <w:tr>
        <w:trPr>
          <w:trHeight w:val="107"/>
        </w:trPr>
        <w:tc>
          <w:tcPr>
            <w:tcW w:w="860" w:type="dxa"/>
            <w:vAlign w:val="bottom"/>
            <w:tcBorders>
              <w:left w:val="single" w:sz="8" w:color="auto"/>
              <w:right w:val="single" w:sz="8" w:color="auto"/>
            </w:tcBorders>
            <w:vMerge w:val="continue"/>
          </w:tcPr>
          <w:p>
            <w:pPr>
              <w:spacing w:after="0"/>
              <w:rPr>
                <w:sz w:val="9"/>
                <w:szCs w:val="9"/>
                <w:color w:val="auto"/>
              </w:rPr>
            </w:pPr>
          </w:p>
        </w:tc>
        <w:tc>
          <w:tcPr>
            <w:tcW w:w="2600" w:type="dxa"/>
            <w:vAlign w:val="bottom"/>
            <w:tcBorders>
              <w:right w:val="single" w:sz="8" w:color="auto"/>
            </w:tcBorders>
          </w:tcPr>
          <w:p>
            <w:pPr>
              <w:spacing w:after="0"/>
              <w:rPr>
                <w:sz w:val="9"/>
                <w:szCs w:val="9"/>
                <w:color w:val="auto"/>
              </w:rPr>
            </w:pPr>
          </w:p>
        </w:tc>
        <w:tc>
          <w:tcPr>
            <w:tcW w:w="2580" w:type="dxa"/>
            <w:vAlign w:val="bottom"/>
            <w:tcBorders>
              <w:right w:val="single" w:sz="8" w:color="auto"/>
            </w:tcBorders>
          </w:tcPr>
          <w:p>
            <w:pPr>
              <w:spacing w:after="0"/>
              <w:rPr>
                <w:sz w:val="9"/>
                <w:szCs w:val="9"/>
                <w:color w:val="auto"/>
              </w:rPr>
            </w:pPr>
          </w:p>
        </w:tc>
        <w:tc>
          <w:tcPr>
            <w:tcW w:w="2620" w:type="dxa"/>
            <w:vAlign w:val="bottom"/>
            <w:tcBorders>
              <w:right w:val="single" w:sz="8" w:color="auto"/>
            </w:tcBorders>
          </w:tcPr>
          <w:p>
            <w:pPr>
              <w:spacing w:after="0"/>
              <w:rPr>
                <w:sz w:val="9"/>
                <w:szCs w:val="9"/>
                <w:color w:val="auto"/>
              </w:rPr>
            </w:pPr>
          </w:p>
        </w:tc>
        <w:tc>
          <w:tcPr>
            <w:tcW w:w="26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60" w:type="dxa"/>
            <w:vAlign w:val="bottom"/>
            <w:tcBorders>
              <w:left w:val="single" w:sz="8" w:color="auto"/>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2620" w:type="dxa"/>
            <w:vAlign w:val="bottom"/>
            <w:tcBorders>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860" w:type="dxa"/>
            <w:vAlign w:val="bottom"/>
            <w:tcBorders>
              <w:left w:val="single" w:sz="8" w:color="auto"/>
              <w:right w:val="single" w:sz="8" w:color="auto"/>
            </w:tcBorders>
            <w:vMerge w:val="restart"/>
          </w:tcPr>
          <w:p>
            <w:pPr>
              <w:jc w:val="right"/>
              <w:ind w:right="390"/>
              <w:spacing w:after="0"/>
              <w:rPr>
                <w:sz w:val="20"/>
                <w:szCs w:val="20"/>
                <w:color w:val="auto"/>
              </w:rPr>
            </w:pPr>
            <w:r>
              <w:rPr>
                <w:rFonts w:ascii="Arial" w:cs="Arial" w:eastAsia="Arial" w:hAnsi="Arial"/>
                <w:sz w:val="18"/>
                <w:szCs w:val="18"/>
                <w:color w:val="auto"/>
              </w:rPr>
              <w:t>22.</w:t>
            </w: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Harrah’s New Orleans</w:t>
            </w:r>
          </w:p>
        </w:tc>
        <w:tc>
          <w:tcPr>
            <w:tcW w:w="25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Louisiana</w:t>
            </w:r>
          </w:p>
        </w:tc>
        <w:tc>
          <w:tcPr>
            <w:tcW w:w="26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Harrah’s New Orleans LLC</w:t>
            </w:r>
          </w:p>
        </w:tc>
        <w:tc>
          <w:tcPr>
            <w:tcW w:w="26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Jazz Casino Company, L.L.C.</w:t>
            </w:r>
          </w:p>
        </w:tc>
        <w:tc>
          <w:tcPr>
            <w:tcW w:w="0" w:type="dxa"/>
            <w:vAlign w:val="bottom"/>
          </w:tcPr>
          <w:p>
            <w:pPr>
              <w:spacing w:after="0"/>
              <w:rPr>
                <w:sz w:val="1"/>
                <w:szCs w:val="1"/>
                <w:color w:val="auto"/>
              </w:rPr>
            </w:pPr>
          </w:p>
        </w:tc>
      </w:tr>
      <w:tr>
        <w:trPr>
          <w:trHeight w:val="107"/>
        </w:trPr>
        <w:tc>
          <w:tcPr>
            <w:tcW w:w="860" w:type="dxa"/>
            <w:vAlign w:val="bottom"/>
            <w:tcBorders>
              <w:left w:val="single" w:sz="8" w:color="auto"/>
              <w:right w:val="single" w:sz="8" w:color="auto"/>
            </w:tcBorders>
            <w:vMerge w:val="continue"/>
          </w:tcPr>
          <w:p>
            <w:pPr>
              <w:spacing w:after="0"/>
              <w:rPr>
                <w:sz w:val="9"/>
                <w:szCs w:val="9"/>
                <w:color w:val="auto"/>
              </w:rPr>
            </w:pPr>
          </w:p>
        </w:tc>
        <w:tc>
          <w:tcPr>
            <w:tcW w:w="2600" w:type="dxa"/>
            <w:vAlign w:val="bottom"/>
            <w:tcBorders>
              <w:right w:val="single" w:sz="8" w:color="auto"/>
            </w:tcBorders>
          </w:tcPr>
          <w:p>
            <w:pPr>
              <w:spacing w:after="0"/>
              <w:rPr>
                <w:sz w:val="9"/>
                <w:szCs w:val="9"/>
                <w:color w:val="auto"/>
              </w:rPr>
            </w:pPr>
          </w:p>
        </w:tc>
        <w:tc>
          <w:tcPr>
            <w:tcW w:w="2580" w:type="dxa"/>
            <w:vAlign w:val="bottom"/>
            <w:tcBorders>
              <w:right w:val="single" w:sz="8" w:color="auto"/>
            </w:tcBorders>
          </w:tcPr>
          <w:p>
            <w:pPr>
              <w:spacing w:after="0"/>
              <w:rPr>
                <w:sz w:val="9"/>
                <w:szCs w:val="9"/>
                <w:color w:val="auto"/>
              </w:rPr>
            </w:pPr>
          </w:p>
        </w:tc>
        <w:tc>
          <w:tcPr>
            <w:tcW w:w="2620" w:type="dxa"/>
            <w:vAlign w:val="bottom"/>
            <w:tcBorders>
              <w:right w:val="single" w:sz="8" w:color="auto"/>
            </w:tcBorders>
          </w:tcPr>
          <w:p>
            <w:pPr>
              <w:spacing w:after="0"/>
              <w:rPr>
                <w:sz w:val="9"/>
                <w:szCs w:val="9"/>
                <w:color w:val="auto"/>
              </w:rPr>
            </w:pPr>
          </w:p>
        </w:tc>
        <w:tc>
          <w:tcPr>
            <w:tcW w:w="26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60" w:type="dxa"/>
            <w:vAlign w:val="bottom"/>
            <w:tcBorders>
              <w:left w:val="single" w:sz="8" w:color="auto"/>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2620" w:type="dxa"/>
            <w:vAlign w:val="bottom"/>
            <w:tcBorders>
              <w:bottom w:val="single" w:sz="8" w:color="auto"/>
              <w:right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440" w:right="319" w:bottom="1440" w:gutter="0" w:footer="0" w:header="0"/>
        </w:sectPr>
      </w:pPr>
    </w:p>
    <w:bookmarkStart w:id="187" w:name="page188"/>
    <w:bookmarkEnd w:id="187"/>
    <w:p>
      <w:pPr>
        <w:jc w:val="center"/>
        <w:spacing w:after="0"/>
        <w:rPr>
          <w:sz w:val="20"/>
          <w:szCs w:val="20"/>
          <w:color w:val="auto"/>
        </w:rPr>
      </w:pPr>
      <w:r>
        <w:rPr>
          <w:rFonts w:ascii="Arial" w:cs="Arial" w:eastAsia="Arial" w:hAnsi="Arial"/>
          <w:sz w:val="22"/>
          <w:szCs w:val="22"/>
          <w:u w:val="single" w:color="auto"/>
          <w:color w:val="auto"/>
        </w:rPr>
        <w:t>Annex 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LAD Leased Property</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TRACT 1: (APN: 132366 &amp; 103349)</w:t>
      </w:r>
    </w:p>
    <w:p>
      <w:pPr>
        <w:spacing w:after="0" w:line="175"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A tract of land located in Section 17, Township 18 North, Range 12 West, Bossier Parish, Louisiana being more particularly described as follows:</w:t>
      </w:r>
    </w:p>
    <w:p>
      <w:pPr>
        <w:spacing w:after="0" w:line="15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From the common corner of Section 16, 17, 20 and 21 run North 0 degrees 30 minutes 45 seconds East along the line common to Section 16 and 17, a distance of 353.32 feet to the point of intersection with the North right-of-way line of Interstate 20 and being the point of beginning of the tract herein described; said point being in a curve to the left; thence traversing said North right-of-way line of Interstate 20 and Interstate 220, run Southwesterly along said curve to the left a distance of 314.50 feet; run thence South 85 degrees 15 minutes 03 seconds West a distance of 1,050.43 feet; run thence South 79 degrees 42 minutes 56 seconds West a distance of 768.32 feet; run thence North 74 degrees 04 minutes 50 seconds West, a distance of 940.76 feet; run thence North 57 degrees 02 minutes 52 seconds West a distance of 469.84 feet; run thence North 42 degrees 10 minutes 16 seconds West a distance of 438.63 feet; run thence North 17 degrees 58 minutes 00 seconds West a distance of 1,430.52 feet to the point of intersection with the South right-of-way line of U.S. Highway No. 80; run thence North 47 degrees 16 minutes 27 seconds East, along said South right-of-way line of U.S. Highway 80, a distance of 1,098.28 feet; run thence North 52 degrees 59 minutes 27 seconds East a distance of 502.49 feet; run thence North 47 degrees 16 minutes 26 seconds East, a distance of 200 feet; run thence North 41 degrees 33 minutes 26 seconds East, a distance of 502.49 feet; run thence North 47 degrees 16 minutes 27 seconds East, a distance of 188.77 feet; run thence South 89 degrees 44 minutes 13 seconds East, a distance of 2,358.28 feet to the point of intersection with the East line of Section 17; run thence South 0 degrees 30 minutes 45 seconds West, along said East line of Section 17 a distance of 3,632.31 feet to the Point of Beginning.</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LESS AND EXCEPT: (PART OF MOBILE HOME PARK)</w:t>
      </w:r>
    </w:p>
    <w:p>
      <w:pPr>
        <w:spacing w:after="0" w:line="175" w:lineRule="exact"/>
        <w:rPr>
          <w:sz w:val="20"/>
          <w:szCs w:val="20"/>
          <w:color w:val="auto"/>
        </w:rPr>
      </w:pPr>
    </w:p>
    <w:p>
      <w:pPr>
        <w:jc w:val="both"/>
        <w:spacing w:after="0" w:line="216" w:lineRule="auto"/>
        <w:rPr>
          <w:sz w:val="20"/>
          <w:szCs w:val="20"/>
          <w:color w:val="auto"/>
        </w:rPr>
      </w:pPr>
      <w:r>
        <w:rPr>
          <w:rFonts w:ascii="Arial" w:cs="Arial" w:eastAsia="Arial" w:hAnsi="Arial"/>
          <w:sz w:val="19"/>
          <w:szCs w:val="19"/>
          <w:color w:val="auto"/>
        </w:rPr>
        <w:t>A tract of land located in Section 17, Township 18 North, Range 12 West, Bossier Parish, Louisiana, from the corner common to Sections 16, 17, 20 and 21, run North 00 degrees 31 minutes 49 seconds East, along the line common to Sections 16 and 17, 2927.98 feet to the point of beginning of the tract herein to be described; thence North 27 degrees 15 minutes 19 seconds West 165.78 feet to a point; thence North 34 degrees 13 minutes 09 seconds West, 140.00 feet to a point; thence North 42 degrees 43 minutes 09 seconds West, 310.00 feet to a point; thence North 50 degrees 43 minutes 09 seconds West, 320.00 feet to a point; thence North 20 degrees 43 minutes 09 seconds West, 170.00 feet to a point; thence North 43 degrees 39 minutes 18 seconds West, 300.35 feet to a point; thence South 89 degrees 41 minutes 17 seconds East, 890.00 feet to intersect the East line of said Section 17; thence South 00 degrees 31 minutes 49 seconds West, along said East line of Section 17, 1065.00 feet to the Point of Beginning.</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ALSO LESS AND EXCEPT: (SPRINGHILL)</w:t>
      </w:r>
    </w:p>
    <w:p>
      <w:pPr>
        <w:spacing w:after="0" w:line="175"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A tract of land located in Section 17, Township 18 North, Range 12 West, Bossier City, Bossier Parish, Louisiana, being more fully described as follows:</w:t>
      </w:r>
    </w:p>
    <w:p>
      <w:pPr>
        <w:spacing w:after="0" w:line="155"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Beginning at the common corner of Sections 16, 17, 20 and 21, Township 18 North, Range 12 West, Bossier Parish, Louisiana; run thence along the east line of said Section 17 North 00°30’45” East a distance of 3,985.63 feet; thence leaving said east line run North 89°44’13” West a distance of 2,358.28 feet to a point on the southerly right of way line of U.S. Highway 80; run thence along said southerly right of way line the following courses and distances; South 47°16’27” West a distance of 188.77 feet; South 41°33’26” West a distance of 502.49 feet; South 47°16’26” West a distance of 200.00 feet and South 52°59’27” West a distance of 164.19 feet to the Point of Beginning of tract herein described; thence leaving said southerly right of way line run South 42°43’33” East a distance of 641.10 feet to the point of curvature of curve to the right (said curve having a radius of 257.17 feet and a chord bearing South 37°58’07” West a distance of 71.64 feet); run thence along said curve an arc distance of 71.87 feet; run thence South 47°07’26” West a distance of 98.50 feet; run thence South 33°24’12” West a distance of 89.47 feet; run thence North 42°42’05” West a distance of 699.99 feet to a point on the southerly right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Annex A-1</w:t>
      </w:r>
    </w:p>
    <w:p>
      <w:pPr>
        <w:sectPr>
          <w:pgSz w:w="11900" w:h="16838" w:orient="portrait"/>
          <w:cols w:equalWidth="0" w:num="1">
            <w:col w:w="11240"/>
          </w:cols>
          <w:pgMar w:left="320" w:top="1401" w:right="339" w:bottom="1440" w:gutter="0" w:footer="0" w:header="0"/>
        </w:sectPr>
      </w:pPr>
    </w:p>
    <w:bookmarkStart w:id="188" w:name="page189"/>
    <w:bookmarkEnd w:id="188"/>
    <w:p>
      <w:pPr>
        <w:jc w:val="both"/>
        <w:spacing w:after="0" w:line="229" w:lineRule="auto"/>
        <w:rPr>
          <w:sz w:val="20"/>
          <w:szCs w:val="20"/>
          <w:color w:val="auto"/>
        </w:rPr>
      </w:pPr>
      <w:r>
        <w:rPr>
          <w:rFonts w:ascii="Arial" w:cs="Arial" w:eastAsia="Arial" w:hAnsi="Arial"/>
          <w:sz w:val="20"/>
          <w:szCs w:val="20"/>
          <w:color w:val="auto"/>
        </w:rPr>
        <w:t>way line of U.S. Highway 80; run thence along said southerly right of way line North 52°59’27” East a distance of 257.03 feet to the Point of Beginning.</w:t>
      </w:r>
    </w:p>
    <w:p>
      <w:pPr>
        <w:spacing w:after="0" w:line="155"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The foregoing property is identified as Lot 1, Springhill Suites by Marriott Project Site, a subdivision of Bossier City, Bossier Parish, Louisiana, as per plat thereof recorded on November 21, 2006 in the Conveyance Records of Bossier Parish, Louisiana, in Book 1364, page 66 under Registry No. 882654.</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ALSO LESS AND EXCEPT: (NTP PROPERTIESS, LLC/COMFORT SUITES INN)</w:t>
      </w:r>
    </w:p>
    <w:p>
      <w:pPr>
        <w:spacing w:after="0" w:line="175" w:lineRule="exact"/>
        <w:rPr>
          <w:sz w:val="20"/>
          <w:szCs w:val="20"/>
          <w:color w:val="auto"/>
        </w:rPr>
      </w:pPr>
    </w:p>
    <w:p>
      <w:pPr>
        <w:jc w:val="both"/>
        <w:ind w:right="20"/>
        <w:spacing w:after="0" w:line="218" w:lineRule="auto"/>
        <w:rPr>
          <w:sz w:val="20"/>
          <w:szCs w:val="20"/>
          <w:color w:val="auto"/>
        </w:rPr>
      </w:pPr>
      <w:r>
        <w:rPr>
          <w:rFonts w:ascii="Arial" w:cs="Arial" w:eastAsia="Arial" w:hAnsi="Arial"/>
          <w:sz w:val="20"/>
          <w:szCs w:val="20"/>
          <w:color w:val="auto"/>
        </w:rPr>
        <w:t>Two tracts of land located in Section 17, Township 18 North, Range 12 West, Bossier Parish, Louisiana, being more particularly described as Lot 1 and Lot 2 as shown on Plat titled Panache Subdivision Unit No. 2 filed December 22, 2009 in Book 1364, Page 513, Instrument No. 983301 in the Conveyance Records of Bossier Parish, Louisiana.</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ALSO LESS AND EXCEPT: (HOLIDAY INN)</w:t>
      </w:r>
    </w:p>
    <w:p>
      <w:pPr>
        <w:spacing w:after="0" w:line="175"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A tract of land located in Section 17, Township 18 North, Range 12 West, Bossier Parish, Louisiana, being more particularly described as Lot 1 as shown on Plat titled Holiday Inn Express at Louisiana Downs filed March 10, 2011 in Book 1364, Page 678, Instrument No. 1015135 in the Conveyance Records of Bossier Parish, Louisiana.</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ALSO LESS AND EXCEPT: (SIFUENTES &amp; HOME FEDERAL)</w:t>
      </w:r>
    </w:p>
    <w:p>
      <w:pPr>
        <w:spacing w:after="0" w:line="175"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Two tracts of land located in Section 17, Township 18 North, Range 12 West, Bossier Parish, Louisiana being more particularly described as Lots 1 and 2 as shown on Plat titled Louisiana Downs Commercial Subdivision filed April 11, 2013 in Book 1601, Page 115, Instrument No. 1070410 in the Conveyance Records of Bossier Parish, Louisiana.</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TRACT II (APN: 132368 - UNDEVELOPED BAYOU)</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 tract of land lying West of the West top bank of Red Chute Bayou and East of the West line of Section 16, Township 18 North, Range 12</w:t>
      </w:r>
    </w:p>
    <w:p>
      <w:pPr>
        <w:spacing w:after="0"/>
        <w:rPr>
          <w:sz w:val="20"/>
          <w:szCs w:val="20"/>
          <w:color w:val="auto"/>
        </w:rPr>
      </w:pPr>
      <w:r>
        <w:rPr>
          <w:rFonts w:ascii="Arial" w:cs="Arial" w:eastAsia="Arial" w:hAnsi="Arial"/>
          <w:sz w:val="20"/>
          <w:szCs w:val="20"/>
          <w:color w:val="auto"/>
        </w:rPr>
        <w:t>West, Bossier Parish, Louisiana. Said tract more fully described as follows:</w:t>
      </w:r>
    </w:p>
    <w:p>
      <w:pPr>
        <w:spacing w:after="0" w:line="159"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From the Southwest corner of Section 16, Township 18 North, Range 12 West, Bossier Parish, Louisiana, run North 0 degrees 32 minutes 10 seconds East along the West line of said Section 16, a distance of 2,072.75 feet to the Point of Beginning. Thence run South 89 degrees 43 minutes East a distance of 166.0 feet to a point on the West Top Bank of Red Chute Bayou, thence run Southwesterly along the West Top Bank of Red Chute Bayou to the point of intersection of the West Top Bank of Red Chute Bayou with the West line of Section 16, thence run North 0 degrees 32 minutes 10 seconds East along the West line of Section 16, to the point of beginning.</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TRACTS I AND II ALSO DESCRIBED AS: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As per survey by Blew &amp; Associates, P.A. dated January 4, 2016, last revised March 3, 2016, under Job No. 15-1341:</w:t>
      </w:r>
    </w:p>
    <w:p>
      <w:pPr>
        <w:spacing w:after="0" w:line="175"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A TRACT OF LAND LOCATED IN SECTION 17, TOWNSHIP 18 NORTH, RANGE 12 WEST, BOSSIER PARISH, LOUISIANA BEING MORE PARTICULARLY DESCRIBED AS FOLLOWS:</w:t>
      </w:r>
    </w:p>
    <w:p>
      <w:pPr>
        <w:spacing w:after="0" w:line="155"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FROM THE COMMON CORNER OF SECTION 16, 17,20 AND 21 RUN N00°29'58"E ALONG THE LINE COMMON TO SECTION 16 AND 17, A DISTANCE OF 353.32 TO THE POINT OF INTERSECTION WITH THE NORTH RIGHT OF WAY LINE OF INTERSTATE 20 AND BEING THE POINT OF BEGINNING OF THE TRACT HEREIN DESCRIBED;</w:t>
      </w:r>
    </w:p>
    <w:p>
      <w:pPr>
        <w:spacing w:after="0" w:line="15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SAID POINT BEING IN A NON TANGENT CURVE TO THE LEFT, WITH A RADIUS OF 2877.85', AN ARC LENGTH OF 315.93°, AND A CHORD BEARING AND DISTANCE OF S86°46'32"W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Annex A-2</w:t>
      </w:r>
    </w:p>
    <w:p>
      <w:pPr>
        <w:sectPr>
          <w:pgSz w:w="11900" w:h="16838" w:orient="portrait"/>
          <w:cols w:equalWidth="0" w:num="1">
            <w:col w:w="11240"/>
          </w:cols>
          <w:pgMar w:left="320" w:top="1405" w:right="339" w:bottom="1440" w:gutter="0" w:footer="0" w:header="0"/>
        </w:sectPr>
      </w:pPr>
    </w:p>
    <w:bookmarkStart w:id="189" w:name="page190"/>
    <w:bookmarkEnd w:id="189"/>
    <w:p>
      <w:pPr>
        <w:jc w:val="both"/>
        <w:spacing w:after="0" w:line="210" w:lineRule="auto"/>
        <w:rPr>
          <w:sz w:val="20"/>
          <w:szCs w:val="20"/>
          <w:color w:val="auto"/>
        </w:rPr>
      </w:pPr>
      <w:r>
        <w:rPr>
          <w:rFonts w:ascii="Arial" w:cs="Arial" w:eastAsia="Arial" w:hAnsi="Arial"/>
          <w:sz w:val="19"/>
          <w:szCs w:val="19"/>
          <w:color w:val="auto"/>
        </w:rPr>
        <w:t>315.77, THENCE CONTINUING ALONG THE RIGHT OF WAY LINE OF INTERSTATE 20 AND INTERSTATE 220 FOR THE FOLLOWING 6 COURSES; THENCE S85°14'16"W 1050.43, THENCE S79°42'09"W 768.32', THENCE N74°0537"W 940.76', THENCE N57°00'53"W 470.79', THENCE N42°06'09"W 438.60, THENCE N17°59'19"W 1429.05' TO THE POINT OF INTERSECTION WITH THE SOUTH RIGHT OF WAY OF U.S. HWY. 80, THENCE ALONG SOUTH RIGHT OF WAY OF U.S. HWY. 80 N47°13'00"E 112.07, THENCE LEAVING SAID RIGHT OF WAY S42°34'33"E 346.03, THENCE S42°34'34"E 345.97, THENCE N46°50'59"E 297.27', THENCE N42°32'26"W 345.97', THENCE N42°32'26"W 174.21', THENCE S47°14'49"W 50.86', THENCE N78°15'10"W 112.82', THENCE N42°34'34"W 78.01' TO THE SOUTH RIGHT OF WAY OF U.S. HWY. 80, THENCE ALONG SAID RIGHT OF WAY N47°13'00"E 265.41', THENCE N47°20'06"E 126.69',THENCE LEAVING SAID RIGHT OF WAY S42°32'36"E 77.80', THENCE S06°46'03"E 112.60', THENCE S47°27'24"W 53.90', THENCE S42°31'39"E 207.90', THENCE N47°27'51"E 75.95', THENCE S42°32'09"E 314.06', THENCE N47°27'51"E 389.73', THENCE ALONG A CURVE TO THE LEFT, WITH A RADIUS OF 30.00', AN ARC LENGTH OF 26.28', AND A CHORD BEARING AND DISTANCE OF N22°21'46"E 25.45', THENCE N42°40'58"W 303.26',THENCE N42°41'42"W 378.92' TO THE SOUTH RIGHT OF WAY OF U.S. HWY, 80, THENCE ALONG SAID RIGHT OF WAY N47°56'33"E 46.09, THENCE N52°58'40"E 81.26', THENCE LEAVING SAID RIGHT OF WAY S42°43'45"E 699.65', THENCE N33°17'56"E 89.25', THENCE N47°21'33"E 98.56', THENCE ALONG A CURVE TO THE LEFT, WITH A RADIUS OF 258.28', AN ARC LENGTH OF 72.03', AND A CHORD BEARING AND DISTANCE OF N37°36'41"E 71.80', THENCE N42°44'47"W 640.65' TO THE SOUTH RIGHT OF WAY OF U.S. HWY. 80, THENCE ALONG SAID RIGHT OF WAY THE FOLLOWING 4 COURSES: N52°58'40"E 164.19', THENCE N47°15'39"E 200.00', THENCE N41°32'39"E 502.49', THENCE N46°44'05"E 188.36', THENCE LEAVING SAID RIGHT OF WAY S89°39'43"E 1469.77°, THENCE S43°42'40"E 300.59', THENCE S20°43'56"E 170.00', THENCE S50°43'56"E 320.00', THENCE S42°43'56"E 310.00', THENCE S34°13'56"E, 140.00', THENCE S27°16'06"E 165.78', THENCE S00°29'58"W 847.88', THENCE S89°45'12 E 166.00', THENCE Sl4°36'08"W 681.27', THENCE S00°29'58"W 1059.43' TO THE POINT OF BEGINNING. CONTAINING 277.90 ACRES MORE OR LESS.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TRACT III:</w:t>
      </w:r>
    </w:p>
    <w:p>
      <w:pPr>
        <w:spacing w:after="0" w:line="175"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Together with the benefit of the bus and pedestrian access rights granted pursuant to the Reciprocal Easement and Covenant Agreement by and between Harrah's Bossier City Investment Company, LLC and LAD Hotel Partners, LLC recorded February 13, 2007 in Book 1396, page 823 under Registry No. 889806 of the Conveyance Records of Bossier Parish, Louisiana.</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TRACT IV:</w:t>
      </w:r>
    </w:p>
    <w:p>
      <w:pPr>
        <w:spacing w:after="0" w:line="175"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Together with the benefit of the right to access the electric box granted to Harrah's Bossier City Investment Company, LLC pursuant to the Declaration of Restrictive Covenants and Easement Agreement by and between Harrah's Bossier City Investment Company, LLC and Sunrise Hospitality IV, LLC dated March 31, 2011, recorded April 1, 2011 in Book 1573, page 234 under Registry No. 1016578 of the Conveyance Records of Bossier Parish, Louisiana.</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TRACT V:</w:t>
      </w:r>
    </w:p>
    <w:p>
      <w:pPr>
        <w:spacing w:after="0" w:line="175"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Together with the benefit of the electrical and irrigation facilities rights granted pursuant to Agreement of Servitude (Facilities) by and between Harrah's Bossier City Investment Company, L.L.C. and Home Federal Bank dated and recorded December 9, 2013 under Instrument No. 1087383 of the Conveyance Records of Bossier Parish, Louisiana.</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TRACT VI:</w:t>
      </w:r>
    </w:p>
    <w:p>
      <w:pPr>
        <w:spacing w:after="0" w:line="175"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Together with the benefit of the electrical and irrigation facilities rights granted pursuant to Agreement of Servitude (Facilities) by and between Harrah's Bossier City Investment Company, L.L.C. and Sifuentes Properties, LLC dated and recorded December 9, 2013 under Instrument No. 1087372 of the Conveyance Records of Bossier Parish, Louisiana.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Annex A-3</w:t>
      </w:r>
    </w:p>
    <w:p>
      <w:pPr>
        <w:sectPr>
          <w:pgSz w:w="11900" w:h="16838" w:orient="portrait"/>
          <w:cols w:equalWidth="0" w:num="1">
            <w:col w:w="11240"/>
          </w:cols>
          <w:pgMar w:left="320" w:top="1405" w:right="339" w:bottom="1440" w:gutter="0" w:footer="0" w:header="0"/>
        </w:sectPr>
      </w:pPr>
    </w:p>
    <w:bookmarkStart w:id="190" w:name="page191"/>
    <w:bookmarkEnd w:id="190"/>
    <w:p>
      <w:pPr>
        <w:jc w:val="center"/>
        <w:spacing w:after="0"/>
        <w:rPr>
          <w:sz w:val="20"/>
          <w:szCs w:val="20"/>
          <w:color w:val="auto"/>
        </w:rPr>
      </w:pPr>
      <w:r>
        <w:rPr>
          <w:rFonts w:ascii="Arial" w:cs="Arial" w:eastAsia="Arial" w:hAnsi="Arial"/>
          <w:sz w:val="22"/>
          <w:szCs w:val="22"/>
          <w:u w:val="single" w:color="auto"/>
          <w:color w:val="auto"/>
        </w:rPr>
        <w:t>Annex B</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Turfway Park Parcel</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PARCEL ONE: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Group Number: 2027</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PIDN: 072-00-00-008.01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 parcel of land lying on the northwesterly side of Houston Road and adjacent to the northeast side of St. Luke West Hospital 21 acre site in</w:t>
      </w:r>
    </w:p>
    <w:p>
      <w:pPr>
        <w:spacing w:after="0"/>
        <w:rPr>
          <w:sz w:val="20"/>
          <w:szCs w:val="20"/>
          <w:color w:val="auto"/>
        </w:rPr>
      </w:pPr>
      <w:r>
        <w:rPr>
          <w:rFonts w:ascii="Arial" w:cs="Arial" w:eastAsia="Arial" w:hAnsi="Arial"/>
          <w:sz w:val="20"/>
          <w:szCs w:val="20"/>
          <w:color w:val="auto"/>
        </w:rPr>
        <w:t>Florence, Boone County, Kentucky and being more particularly described as follows:</w:t>
      </w:r>
    </w:p>
    <w:p>
      <w:pPr>
        <w:spacing w:after="0" w:line="159"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BEGINNING at a point in the northwesterly right-of-way line of Houston Road, said point also being the most northeasterly corner of a 21 acre parcel previously conveyed to St. Luke West Hospital by Turfway Park Racing Association, Inc. and running thence N 42-33-22 W, along the northeasterly side of St. Luke West Hospital 21 acre site, a distance of 89.60 feet, to a point, thence northwestwardly, along a curve toward the west, a chord bearing of N 52-28-27 W, a chord distance of 210.69 feet, an arc distance of 211.75 feet, to a point, thence N 67-13-53 W, a distance of 174.05 feet, to a point, thence southwestwardly, along a curve toward the south, a chord bearing of S 88-40-49 W, a chord distance of 273.90 feet, an arc distance of 276.16 feet, to a point, thence N 32-33-39 E, a distance of 754.71 feet, to a point, thence N 50-25-31 E, a distance of 660 feet, to a point, thence S 39-03-20 E, along the southwesterly side of Marydale, a distance of 245.36 feet, to a point, thence S 38-23-09 E, a distance of 454.64 feet, to a point, thence S 40-06-35 E, a distance of 87.12 feet, to a point in the northwesterly right-of-way line of Houston Road, thence S 46-45-40 W, along the northwesterly right-of-way line of Houston Road, a distance of 451.89 feet, to a point, thence continuing along the aforementioned right-of-way line as follows: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N 42-33-22 W - 15.39 feet;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S 47-26-38 W - 25 feet;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S 42-33-22 E - 15.68 feet;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S 46-45-30 W - 362.03 feet;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S 47-26-38 W - 182.95 feet, to the place of beginning, and containing 20.52 acres more or less.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BEING THE SAME LAND DESCRIBED AS FOLLOWS: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 parcel of land lying on the northwesterly side of Houston Road and adjacent to the northeast side of St. Luke West Hospital 21 acre site in</w:t>
      </w:r>
    </w:p>
    <w:p>
      <w:pPr>
        <w:spacing w:after="0"/>
        <w:rPr>
          <w:sz w:val="20"/>
          <w:szCs w:val="20"/>
          <w:color w:val="auto"/>
        </w:rPr>
      </w:pPr>
      <w:r>
        <w:rPr>
          <w:rFonts w:ascii="Arial" w:cs="Arial" w:eastAsia="Arial" w:hAnsi="Arial"/>
          <w:sz w:val="20"/>
          <w:szCs w:val="20"/>
          <w:color w:val="auto"/>
        </w:rPr>
        <w:t>Florence, Boone County, Kentucky and being more particularly described as follows:</w:t>
      </w:r>
    </w:p>
    <w:p>
      <w:pPr>
        <w:spacing w:after="0" w:line="159"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BEGINNING at a point in the northwesterly right-of-way line of Houston Road, said point also being the most northeasterly corner of a 21 acre parcel previously conveyed to St. Luke West Hospital by Turfway Park Racing Association, Inc. and running thence:</w:t>
      </w:r>
    </w:p>
    <w:p>
      <w:pPr>
        <w:spacing w:after="0" w:line="153"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N 42-33-22 W, along the northeasterly side of St. Luke West Hospital 21 acres site, a distance of 89.60 feet, to a point, thence N 52-28-27 W, a chord distance of 210.69 feet, an arc distance of 211.75 feet, to a point, thence N 67-13-53 W, a distance of 174.05 feet, to a point, thence southwestwardly, along a curve toward the south, a chord bearing of S 88-40-49 W, a chord distance of 273.90 feet, an arc distance of 276.16 feet, to a point, thence N 32-24-59 E, a distance of 754.71 feet, to a point, thence N 50-36-52 E, a distance of 659.55 feet, to a point, thence S 38-58-58 E, along the southwesterly side of Marydale, a distance of 245.36 feet, to a point, thence S 38-26-53 E, a distance of 454.64 feet, to a point, thence S 40-40-40 E, a distance of 86.75 feet, to a point in the northwesterly right-of-way line of Houston Road,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Annex B-1</w:t>
      </w:r>
    </w:p>
    <w:p>
      <w:pPr>
        <w:sectPr>
          <w:pgSz w:w="11900" w:h="16838" w:orient="portrait"/>
          <w:cols w:equalWidth="0" w:num="1">
            <w:col w:w="11240"/>
          </w:cols>
          <w:pgMar w:left="320" w:top="1401" w:right="339" w:bottom="1440" w:gutter="0" w:footer="0" w:header="0"/>
        </w:sectPr>
      </w:pPr>
    </w:p>
    <w:bookmarkStart w:id="191" w:name="page192"/>
    <w:bookmarkEnd w:id="191"/>
    <w:p>
      <w:pPr>
        <w:spacing w:after="0" w:line="229" w:lineRule="auto"/>
        <w:rPr>
          <w:sz w:val="20"/>
          <w:szCs w:val="20"/>
          <w:color w:val="auto"/>
        </w:rPr>
      </w:pPr>
      <w:r>
        <w:rPr>
          <w:rFonts w:ascii="Arial" w:cs="Arial" w:eastAsia="Arial" w:hAnsi="Arial"/>
          <w:sz w:val="20"/>
          <w:szCs w:val="20"/>
          <w:color w:val="auto"/>
        </w:rPr>
        <w:t>thence S 45-45-40 W, along the northwesterly right-of-way line of Houston Road, a distance of 451.89 feet, to a point, thence continuing along the aforementioned right-of-way line as follows: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N 42-33-22 W - 15.39 feet,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S 47-26-38 W - 25 feet,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S 42-33-22 E - 15.68 feet,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S 46-45-40 W - 362.03 feet,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S 47-26-38 W - 182.95 feet, to the place of beginning, and containing 20.52 acres more or 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Annex B-2</w:t>
      </w:r>
    </w:p>
    <w:p>
      <w:pPr>
        <w:sectPr>
          <w:pgSz w:w="11900" w:h="16838" w:orient="portrait"/>
          <w:cols w:equalWidth="0" w:num="1">
            <w:col w:w="11220"/>
          </w:cols>
          <w:pgMar w:left="320" w:top="1405" w:right="359" w:bottom="1440" w:gutter="0" w:footer="0" w:header="0"/>
        </w:sectPr>
      </w:pPr>
    </w:p>
    <w:bookmarkStart w:id="192" w:name="page193"/>
    <w:bookmarkEnd w:id="192"/>
    <w:p>
      <w:pPr>
        <w:jc w:val="right"/>
        <w:spacing w:after="0"/>
        <w:rPr>
          <w:sz w:val="20"/>
          <w:szCs w:val="20"/>
          <w:color w:val="auto"/>
        </w:rPr>
      </w:pPr>
      <w:r>
        <w:rPr>
          <w:rFonts w:ascii="Arial" w:cs="Arial" w:eastAsia="Arial" w:hAnsi="Arial"/>
          <w:sz w:val="22"/>
          <w:szCs w:val="22"/>
          <w:b w:val="1"/>
          <w:bCs w:val="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TENTH AMENDMENT TO LEASE</w:t>
      </w:r>
    </w:p>
    <w:p>
      <w:pPr>
        <w:spacing w:after="0" w:line="179"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TENTH AMENDMENT TO LEASE</w:t>
      </w:r>
      <w:r>
        <w:rPr>
          <w:rFonts w:ascii="Arial" w:cs="Arial" w:eastAsia="Arial" w:hAnsi="Arial"/>
          <w:sz w:val="22"/>
          <w:szCs w:val="22"/>
          <w:color w:val="auto"/>
        </w:rPr>
        <w:t xml:space="preserve"> (this “</w:t>
      </w:r>
      <w:r>
        <w:rPr>
          <w:rFonts w:ascii="Arial" w:cs="Arial" w:eastAsia="Arial" w:hAnsi="Arial"/>
          <w:sz w:val="22"/>
          <w:szCs w:val="22"/>
          <w:u w:val="single" w:color="auto"/>
          <w:color w:val="auto"/>
        </w:rPr>
        <w:t>Amendment</w:t>
      </w:r>
      <w:r>
        <w:rPr>
          <w:rFonts w:ascii="Arial" w:cs="Arial" w:eastAsia="Arial" w:hAnsi="Arial"/>
          <w:sz w:val="22"/>
          <w:szCs w:val="22"/>
          <w:color w:val="auto"/>
        </w:rPr>
        <w:t xml:space="preserve">”) is entered into as of December 30, 2021, by and among the entities listed on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attached hereto (collectively, and together with their respective successors and assigns, “</w:t>
      </w:r>
      <w:r>
        <w:rPr>
          <w:rFonts w:ascii="Arial" w:cs="Arial" w:eastAsia="Arial" w:hAnsi="Arial"/>
          <w:sz w:val="22"/>
          <w:szCs w:val="22"/>
          <w:u w:val="single" w:color="auto"/>
          <w:color w:val="auto"/>
        </w:rPr>
        <w:t>Landlord</w:t>
      </w:r>
      <w:r>
        <w:rPr>
          <w:rFonts w:ascii="Arial" w:cs="Arial" w:eastAsia="Arial" w:hAnsi="Arial"/>
          <w:sz w:val="22"/>
          <w:szCs w:val="22"/>
          <w:color w:val="auto"/>
        </w:rPr>
        <w:t xml:space="preserve">”), the entities listed on </w:t>
      </w:r>
      <w:r>
        <w:rPr>
          <w:rFonts w:ascii="Arial" w:cs="Arial" w:eastAsia="Arial" w:hAnsi="Arial"/>
          <w:sz w:val="22"/>
          <w:szCs w:val="22"/>
          <w:u w:val="single" w:color="auto"/>
          <w:color w:val="auto"/>
        </w:rPr>
        <w:t>Schedule B</w:t>
      </w:r>
      <w:r>
        <w:rPr>
          <w:rFonts w:ascii="Arial" w:cs="Arial" w:eastAsia="Arial" w:hAnsi="Arial"/>
          <w:sz w:val="22"/>
          <w:szCs w:val="22"/>
          <w:color w:val="auto"/>
        </w:rPr>
        <w:t xml:space="preserve"> attached hereto (collectively, and together with their respective successors and assigns, “</w:t>
      </w:r>
      <w:r>
        <w:rPr>
          <w:rFonts w:ascii="Arial" w:cs="Arial" w:eastAsia="Arial" w:hAnsi="Arial"/>
          <w:sz w:val="22"/>
          <w:szCs w:val="22"/>
          <w:u w:val="single" w:color="auto"/>
          <w:color w:val="auto"/>
        </w:rPr>
        <w:t>Tenant</w:t>
      </w:r>
      <w:r>
        <w:rPr>
          <w:rFonts w:ascii="Arial" w:cs="Arial" w:eastAsia="Arial" w:hAnsi="Arial"/>
          <w:sz w:val="22"/>
          <w:szCs w:val="22"/>
          <w:color w:val="auto"/>
        </w:rPr>
        <w:t xml:space="preserve">”) and, solely for the purposes of the penultimate paragraph of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of the Lease (as defined below), Propco TRS LLC, a Delaware limited liability company (“</w:t>
      </w:r>
      <w:r>
        <w:rPr>
          <w:rFonts w:ascii="Arial" w:cs="Arial" w:eastAsia="Arial" w:hAnsi="Arial"/>
          <w:sz w:val="22"/>
          <w:szCs w:val="22"/>
          <w:u w:val="single" w:color="auto"/>
          <w:color w:val="auto"/>
        </w:rPr>
        <w:t>Propco TRS</w:t>
      </w:r>
      <w:r>
        <w:rPr>
          <w:rFonts w:ascii="Arial" w:cs="Arial" w:eastAsia="Arial" w:hAnsi="Arial"/>
          <w:sz w:val="22"/>
          <w:szCs w:val="22"/>
          <w:color w:val="auto"/>
        </w:rPr>
        <w: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15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Landlord, Tenant and, solely for the purposes of the penultimate paragraph of</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1.1</w:t>
      </w:r>
      <w:r>
        <w:rPr>
          <w:rFonts w:ascii="Arial" w:cs="Arial" w:eastAsia="Arial" w:hAnsi="Arial"/>
          <w:sz w:val="19"/>
          <w:szCs w:val="19"/>
          <w:b w:val="1"/>
          <w:bCs w:val="1"/>
          <w:color w:val="auto"/>
        </w:rPr>
        <w:t xml:space="preserve"> </w:t>
      </w:r>
      <w:r>
        <w:rPr>
          <w:rFonts w:ascii="Arial" w:cs="Arial" w:eastAsia="Arial" w:hAnsi="Arial"/>
          <w:sz w:val="19"/>
          <w:szCs w:val="19"/>
          <w:color w:val="auto"/>
        </w:rPr>
        <w:t>of the Lease,</w:t>
      </w:r>
      <w:r>
        <w:rPr>
          <w:rFonts w:ascii="Arial" w:cs="Arial" w:eastAsia="Arial" w:hAnsi="Arial"/>
          <w:sz w:val="19"/>
          <w:szCs w:val="19"/>
          <w:b w:val="1"/>
          <w:bCs w:val="1"/>
          <w:color w:val="auto"/>
        </w:rPr>
        <w:t xml:space="preserve"> </w:t>
      </w:r>
      <w:r>
        <w:rPr>
          <w:rFonts w:ascii="Arial" w:cs="Arial" w:eastAsia="Arial" w:hAnsi="Arial"/>
          <w:sz w:val="19"/>
          <w:szCs w:val="19"/>
          <w:color w:val="auto"/>
        </w:rPr>
        <w:t>Propco TRS, are parties to that certain Lease (Non-CPLV), dated as of October 6, 2017, as amended by that certain First Amendment to Lease (Non-CPLV), dated as of December 22, 2017, as amended by that certain Second Amendment to Lease (Non-CPLV) and Ratification of SNDA, dated as of February 16, 2018, as amended by that certain Third Amendment to Lease (Non-CPLV), dated as of April 2, 2018, as amended by that certain Fourth Amendment to Lease (Non-CPLV), dated as of December 26, 2018, as amended by that certain Omnibus Amendment to Leases, dated as of June 1, 2020, as amended by that certain Fifth Amendment to Lease (Non-CPLV), dated as of July 20, 2020, as amended by that certain Sixth Amendment to Lease, dated as of September 30, 2020, as amended by that certain Amended and Restated Omnibus Amendment to Leases, dated as of October 27, 2020, as amended by that certain Seventh Amendment to Lease, dated as of November 18, 2020, as amended by that certain Eighth Amendment to Lease, dated as of September 3, 2021, and as amended by that certain Ninth Amendment to Lease, dated as of November 1, 2021 (collectively, as amended, the “</w:t>
      </w:r>
      <w:r>
        <w:rPr>
          <w:rFonts w:ascii="Arial" w:cs="Arial" w:eastAsia="Arial" w:hAnsi="Arial"/>
          <w:sz w:val="19"/>
          <w:szCs w:val="19"/>
          <w:u w:val="single" w:color="auto"/>
          <w:color w:val="auto"/>
        </w:rPr>
        <w:t>Lease</w:t>
      </w:r>
      <w:r>
        <w:rPr>
          <w:rFonts w:ascii="Arial" w:cs="Arial" w:eastAsia="Arial" w:hAnsi="Arial"/>
          <w:sz w:val="19"/>
          <w:szCs w:val="19"/>
          <w:color w:val="auto"/>
        </w:rPr>
        <w:t>”), pursuant to which Landlord leases to Tenant, and Tenant leases from Landlord, certain real property as more particularly described in the Lease;</w:t>
      </w:r>
    </w:p>
    <w:p>
      <w:pPr>
        <w:spacing w:after="0" w:line="113"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on the date hereof, Caesars Atlantic City LLC, a Delaware limited liability company (one of the entities</w:t>
      </w:r>
      <w:r>
        <w:rPr>
          <w:rFonts w:ascii="Arial" w:cs="Arial" w:eastAsia="Arial" w:hAnsi="Arial"/>
          <w:sz w:val="21"/>
          <w:szCs w:val="21"/>
          <w:b w:val="1"/>
          <w:bCs w:val="1"/>
          <w:color w:val="auto"/>
        </w:rPr>
        <w:t xml:space="preserve"> </w:t>
      </w:r>
      <w:r>
        <w:rPr>
          <w:rFonts w:ascii="Arial" w:cs="Arial" w:eastAsia="Arial" w:hAnsi="Arial"/>
          <w:sz w:val="21"/>
          <w:szCs w:val="21"/>
          <w:color w:val="auto"/>
        </w:rPr>
        <w:t>comprising Landlord), and Boardwalk Regency LLC, a New Jersey limited liability company (one of the entities comprising Tenant), as sellers, and Atlanticare Health Services, Inc., a New Jersey non-profit corporation, as buyer, are closing a purchase and sale transaction under that certain Agreement of Sale, dated as of April 22, 2021, with respect to certain real property located in Atlantic City, New Jersey (the “</w:t>
      </w:r>
      <w:r>
        <w:rPr>
          <w:rFonts w:ascii="Arial" w:cs="Arial" w:eastAsia="Arial" w:hAnsi="Arial"/>
          <w:sz w:val="21"/>
          <w:szCs w:val="21"/>
          <w:u w:val="single" w:color="auto"/>
          <w:color w:val="auto"/>
        </w:rPr>
        <w:t>Purchase Agreement Property</w:t>
      </w:r>
      <w:r>
        <w:rPr>
          <w:rFonts w:ascii="Arial" w:cs="Arial" w:eastAsia="Arial" w:hAnsi="Arial"/>
          <w:sz w:val="21"/>
          <w:szCs w:val="21"/>
          <w:color w:val="auto"/>
        </w:rPr>
        <w:t>”);</w:t>
      </w:r>
    </w:p>
    <w:p>
      <w:pPr>
        <w:spacing w:after="0" w:line="11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the Atlantic City Parcel (as defined below) is a portion of the Purchase Agreement Property and, prior to the</w:t>
      </w:r>
      <w:r>
        <w:rPr>
          <w:rFonts w:ascii="Arial" w:cs="Arial" w:eastAsia="Arial" w:hAnsi="Arial"/>
          <w:sz w:val="21"/>
          <w:szCs w:val="21"/>
          <w:b w:val="1"/>
          <w:bCs w:val="1"/>
          <w:color w:val="auto"/>
        </w:rPr>
        <w:t xml:space="preserve"> </w:t>
      </w:r>
      <w:r>
        <w:rPr>
          <w:rFonts w:ascii="Arial" w:cs="Arial" w:eastAsia="Arial" w:hAnsi="Arial"/>
          <w:sz w:val="21"/>
          <w:szCs w:val="21"/>
          <w:color w:val="auto"/>
        </w:rPr>
        <w:t>consummation of the Atlantic City Transaction (as defined below), the Atlantic City Parcel was subject to the Lease and a portion of the real property associated with the Caesars Atlantic City Facility (as defined below); and</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in connection with the Atlantic City Transaction, the parties hereto desire to amend the Lease as set forth</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herein.</w:t>
      </w:r>
    </w:p>
    <w:p>
      <w:pPr>
        <w:spacing w:after="0" w:line="115"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covenants and agreements hereinafter set forth and for other good</w:t>
      </w:r>
      <w:r>
        <w:rPr>
          <w:rFonts w:ascii="Arial" w:cs="Arial" w:eastAsia="Arial" w:hAnsi="Arial"/>
          <w:sz w:val="22"/>
          <w:szCs w:val="22"/>
          <w:b w:val="1"/>
          <w:bCs w:val="1"/>
          <w:color w:val="auto"/>
        </w:rPr>
        <w:t xml:space="preserve"> </w:t>
      </w:r>
      <w:r>
        <w:rPr>
          <w:rFonts w:ascii="Arial" w:cs="Arial" w:eastAsia="Arial" w:hAnsi="Arial"/>
          <w:sz w:val="22"/>
          <w:szCs w:val="22"/>
          <w:color w:val="auto"/>
        </w:rPr>
        <w:t>and valuable consideration, the receipt and sufficiency of which are hereby acknowledged, the parties hereto, intending to be legally bound hereby, agree as follows:</w:t>
      </w:r>
    </w:p>
    <w:p>
      <w:pPr>
        <w:spacing w:after="0" w:line="112" w:lineRule="exact"/>
        <w:rPr>
          <w:sz w:val="20"/>
          <w:szCs w:val="20"/>
          <w:color w:val="auto"/>
        </w:rPr>
      </w:pPr>
    </w:p>
    <w:p>
      <w:pPr>
        <w:ind w:firstLine="656"/>
        <w:spacing w:after="0" w:line="235" w:lineRule="auto"/>
        <w:tabs>
          <w:tab w:leader="none" w:pos="1296" w:val="left"/>
        </w:tabs>
        <w:numPr>
          <w:ilvl w:val="0"/>
          <w:numId w:val="137"/>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 Except as otherwise defined herein, all capitalized terms used herein without definition shall have the</w:t>
      </w:r>
      <w:r>
        <w:rPr>
          <w:rFonts w:ascii="Arial" w:cs="Arial" w:eastAsia="Arial" w:hAnsi="Arial"/>
          <w:sz w:val="22"/>
          <w:szCs w:val="22"/>
          <w:b w:val="1"/>
          <w:bCs w:val="1"/>
          <w:color w:val="auto"/>
        </w:rPr>
        <w:t xml:space="preserve"> </w:t>
      </w:r>
      <w:r>
        <w:rPr>
          <w:rFonts w:ascii="Arial" w:cs="Arial" w:eastAsia="Arial" w:hAnsi="Arial"/>
          <w:sz w:val="22"/>
          <w:szCs w:val="22"/>
          <w:color w:val="auto"/>
        </w:rPr>
        <w:t>meanings applicable to such terms, respectively, as set forth in the Lease.</w:t>
      </w:r>
    </w:p>
    <w:p>
      <w:pPr>
        <w:spacing w:after="0" w:line="125" w:lineRule="exact"/>
        <w:rPr>
          <w:rFonts w:ascii="Arial" w:cs="Arial" w:eastAsia="Arial" w:hAnsi="Arial"/>
          <w:sz w:val="22"/>
          <w:szCs w:val="22"/>
          <w:color w:val="auto"/>
        </w:rPr>
      </w:pPr>
    </w:p>
    <w:p>
      <w:pPr>
        <w:ind w:left="1300" w:hanging="644"/>
        <w:spacing w:after="0"/>
        <w:tabs>
          <w:tab w:leader="none" w:pos="1300" w:val="left"/>
        </w:tabs>
        <w:numPr>
          <w:ilvl w:val="0"/>
          <w:numId w:val="137"/>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Amendments to the Lease</w:t>
      </w:r>
      <w:r>
        <w:rPr>
          <w:rFonts w:ascii="Arial" w:cs="Arial" w:eastAsia="Arial" w:hAnsi="Arial"/>
          <w:sz w:val="22"/>
          <w:szCs w:val="22"/>
          <w:color w:val="auto"/>
        </w:rPr>
        <w:t>.</w:t>
      </w:r>
    </w:p>
    <w:p>
      <w:pPr>
        <w:sectPr>
          <w:pgSz w:w="11900" w:h="16838" w:orient="portrait"/>
          <w:cols w:equalWidth="0" w:num="1">
            <w:col w:w="11240"/>
          </w:cols>
          <w:pgMar w:left="320" w:top="98" w:right="339" w:bottom="1440" w:gutter="0" w:footer="0" w:header="0"/>
        </w:sectPr>
      </w:pPr>
    </w:p>
    <w:bookmarkStart w:id="193" w:name="page194"/>
    <w:bookmarkEnd w:id="193"/>
    <w:p>
      <w:pPr>
        <w:ind w:left="1940" w:hanging="636"/>
        <w:spacing w:after="0"/>
        <w:tabs>
          <w:tab w:leader="none" w:pos="1940"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Termination of the Lease as to the Atlantic City Parcel</w:t>
      </w:r>
      <w:r>
        <w:rPr>
          <w:rFonts w:ascii="Arial" w:cs="Arial" w:eastAsia="Arial" w:hAnsi="Arial"/>
          <w:sz w:val="22"/>
          <w:szCs w:val="22"/>
          <w:color w:val="auto"/>
        </w:rPr>
        <w:t>. Effective as of the date hereof:</w:t>
      </w:r>
    </w:p>
    <w:p>
      <w:pPr>
        <w:spacing w:after="0" w:line="179" w:lineRule="exact"/>
        <w:rPr>
          <w:rFonts w:ascii="Arial" w:cs="Arial" w:eastAsia="Arial" w:hAnsi="Arial"/>
          <w:sz w:val="22"/>
          <w:szCs w:val="22"/>
          <w:color w:val="auto"/>
        </w:rPr>
      </w:pPr>
    </w:p>
    <w:p>
      <w:pPr>
        <w:jc w:val="both"/>
        <w:ind w:left="660" w:firstLine="1292"/>
        <w:spacing w:after="0" w:line="226" w:lineRule="auto"/>
        <w:tabs>
          <w:tab w:leader="none" w:pos="2596" w:val="left"/>
        </w:tabs>
        <w:numPr>
          <w:ilvl w:val="1"/>
          <w:numId w:val="138"/>
        </w:numPr>
        <w:rPr>
          <w:rFonts w:ascii="Arial" w:cs="Arial" w:eastAsia="Arial" w:hAnsi="Arial"/>
          <w:sz w:val="21"/>
          <w:szCs w:val="21"/>
          <w:color w:val="auto"/>
        </w:rPr>
      </w:pPr>
      <w:r>
        <w:rPr>
          <w:rFonts w:ascii="Arial" w:cs="Arial" w:eastAsia="Arial" w:hAnsi="Arial"/>
          <w:sz w:val="21"/>
          <w:szCs w:val="21"/>
          <w:color w:val="auto"/>
        </w:rPr>
        <w:t>the Lease is hereby terminated with respect to the Atlantic City Parcel, the Atlantic City Parcel no longer constitutes Leased Property under the Lease nor a portion of the Caesars Atlantic City Facility, and neither Landlord nor Tenant has any further liabilities or obligations under the Lease, from and after the date of this Amendment, in respect of the Atlantic City Parcel (provided that any such liabilities or obligations arising prior to such date shall not be terminated, limited or affected by or upon entry into this Amendment); and</w:t>
      </w:r>
    </w:p>
    <w:p>
      <w:pPr>
        <w:spacing w:after="0" w:line="159" w:lineRule="exact"/>
        <w:rPr>
          <w:rFonts w:ascii="Arial" w:cs="Arial" w:eastAsia="Arial" w:hAnsi="Arial"/>
          <w:sz w:val="21"/>
          <w:szCs w:val="21"/>
          <w:color w:val="auto"/>
        </w:rPr>
      </w:pPr>
    </w:p>
    <w:p>
      <w:pPr>
        <w:jc w:val="both"/>
        <w:ind w:left="660" w:firstLine="1292"/>
        <w:spacing w:after="0" w:line="249" w:lineRule="auto"/>
        <w:tabs>
          <w:tab w:leader="none" w:pos="2603" w:val="left"/>
        </w:tabs>
        <w:numPr>
          <w:ilvl w:val="1"/>
          <w:numId w:val="138"/>
        </w:numPr>
        <w:rPr>
          <w:rFonts w:ascii="Arial" w:cs="Arial" w:eastAsia="Arial" w:hAnsi="Arial"/>
          <w:sz w:val="19"/>
          <w:szCs w:val="19"/>
          <w:color w:val="auto"/>
        </w:rPr>
      </w:pPr>
      <w:r>
        <w:rPr>
          <w:rFonts w:ascii="Arial" w:cs="Arial" w:eastAsia="Arial" w:hAnsi="Arial"/>
          <w:sz w:val="19"/>
          <w:szCs w:val="19"/>
          <w:color w:val="auto"/>
        </w:rPr>
        <w:t>the Guaranty hereby automatically, and without further action by any party, ceases to apply with respect to any Obligations (as defined in the Guaranty) with respect to the Atlantic City Parcel to the extent arising from and after the date of this Amendment (provided that any such Obligations arising prior to such date shall not be terminated, limited or affected by or upon entry into this Amendment). The term “</w:t>
      </w:r>
      <w:r>
        <w:rPr>
          <w:rFonts w:ascii="Arial" w:cs="Arial" w:eastAsia="Arial" w:hAnsi="Arial"/>
          <w:sz w:val="19"/>
          <w:szCs w:val="19"/>
          <w:u w:val="single" w:color="auto"/>
          <w:color w:val="auto"/>
        </w:rPr>
        <w:t>Caesars Atlantic City Facility</w:t>
      </w:r>
      <w:r>
        <w:rPr>
          <w:rFonts w:ascii="Arial" w:cs="Arial" w:eastAsia="Arial" w:hAnsi="Arial"/>
          <w:sz w:val="19"/>
          <w:szCs w:val="19"/>
          <w:color w:val="auto"/>
        </w:rPr>
        <w:t xml:space="preserve">” refers to the applicable Facility identified as Facility 10 on the list of the Facilities annexed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the Lease. The term “</w:t>
      </w:r>
      <w:r>
        <w:rPr>
          <w:rFonts w:ascii="Arial" w:cs="Arial" w:eastAsia="Arial" w:hAnsi="Arial"/>
          <w:sz w:val="19"/>
          <w:szCs w:val="19"/>
          <w:u w:val="single" w:color="auto"/>
          <w:color w:val="auto"/>
        </w:rPr>
        <w:t>Atlantic City Parcel</w:t>
      </w:r>
      <w:r>
        <w:rPr>
          <w:rFonts w:ascii="Arial" w:cs="Arial" w:eastAsia="Arial" w:hAnsi="Arial"/>
          <w:sz w:val="19"/>
          <w:szCs w:val="19"/>
          <w:color w:val="auto"/>
        </w:rPr>
        <w:t xml:space="preserve">” refers to the Land set forth on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hereto and any other Leased Property pertaining thereto.</w:t>
      </w:r>
    </w:p>
    <w:p>
      <w:pPr>
        <w:spacing w:after="0" w:line="151" w:lineRule="exact"/>
        <w:rPr>
          <w:rFonts w:ascii="Arial" w:cs="Arial" w:eastAsia="Arial" w:hAnsi="Arial"/>
          <w:sz w:val="19"/>
          <w:szCs w:val="19"/>
          <w:color w:val="auto"/>
        </w:rPr>
      </w:pPr>
    </w:p>
    <w:p>
      <w:pPr>
        <w:jc w:val="both"/>
        <w:ind w:firstLine="1304"/>
        <w:spacing w:after="0" w:line="223" w:lineRule="auto"/>
        <w:tabs>
          <w:tab w:leader="none" w:pos="1940"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Rent</w:t>
      </w:r>
      <w:r>
        <w:rPr>
          <w:rFonts w:ascii="Arial" w:cs="Arial" w:eastAsia="Arial" w:hAnsi="Arial"/>
          <w:sz w:val="22"/>
          <w:szCs w:val="22"/>
          <w:color w:val="auto"/>
        </w:rPr>
        <w:t>. Landlord and Tenant hereby expressly acknowledge and agree that there shall be no reduction in the Rent under the Lease as a result of the removal of the Atlantic City Parcel from the Lease or otherwise as a result of the Atlantic City Transaction.</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940"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Variable Rent</w:t>
      </w:r>
      <w:r>
        <w:rPr>
          <w:rFonts w:ascii="Arial" w:cs="Arial" w:eastAsia="Arial" w:hAnsi="Arial"/>
          <w:sz w:val="22"/>
          <w:szCs w:val="22"/>
          <w:color w:val="auto"/>
        </w:rPr>
        <w:t>. From and after the date hereof, for purposes of any calculation of Variable Rent under the Lease, including any adjustments in Variable Rent based on increases or decreases in Net Revenue, such calculations of Net Revenue shall exclude Net Revenue attributable to the Atlantic City Parcel.</w:t>
      </w:r>
    </w:p>
    <w:p>
      <w:pPr>
        <w:spacing w:after="0" w:line="158" w:lineRule="exact"/>
        <w:rPr>
          <w:rFonts w:ascii="Arial" w:cs="Arial" w:eastAsia="Arial" w:hAnsi="Arial"/>
          <w:sz w:val="22"/>
          <w:szCs w:val="22"/>
          <w:color w:val="auto"/>
        </w:rPr>
      </w:pPr>
    </w:p>
    <w:p>
      <w:pPr>
        <w:ind w:left="1940" w:hanging="636"/>
        <w:spacing w:after="0"/>
        <w:tabs>
          <w:tab w:leader="none" w:pos="1940"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Atlantic City Transaction</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660" w:firstLine="1292"/>
        <w:spacing w:after="0" w:line="229" w:lineRule="auto"/>
        <w:tabs>
          <w:tab w:leader="none" w:pos="2596" w:val="left"/>
        </w:tabs>
        <w:numPr>
          <w:ilvl w:val="1"/>
          <w:numId w:val="138"/>
        </w:numPr>
        <w:rPr>
          <w:rFonts w:ascii="Arial" w:cs="Arial" w:eastAsia="Arial" w:hAnsi="Arial"/>
          <w:sz w:val="21"/>
          <w:szCs w:val="21"/>
          <w:color w:val="auto"/>
        </w:rPr>
      </w:pPr>
      <w:r>
        <w:rPr>
          <w:rFonts w:ascii="Arial" w:cs="Arial" w:eastAsia="Arial" w:hAnsi="Arial"/>
          <w:sz w:val="21"/>
          <w:szCs w:val="21"/>
          <w:color w:val="auto"/>
        </w:rPr>
        <w:t>Each of Landlord and Tenant hereby acknowledges and agrees that (i) such party consents to the sale of the Atlantic City Parcel (the “</w:t>
      </w:r>
      <w:r>
        <w:rPr>
          <w:rFonts w:ascii="Arial" w:cs="Arial" w:eastAsia="Arial" w:hAnsi="Arial"/>
          <w:sz w:val="21"/>
          <w:szCs w:val="21"/>
          <w:u w:val="single" w:color="auto"/>
          <w:color w:val="auto"/>
        </w:rPr>
        <w:t>Atlantic City Transaction</w:t>
      </w:r>
      <w:r>
        <w:rPr>
          <w:rFonts w:ascii="Arial" w:cs="Arial" w:eastAsia="Arial" w:hAnsi="Arial"/>
          <w:sz w:val="21"/>
          <w:szCs w:val="21"/>
          <w:color w:val="auto"/>
        </w:rPr>
        <w:t xml:space="preserve">”), including the severance of the Atlantic City Parcel from the Lease as of the date of this Amendment, and (ii) the removal of the Atlantic City Parcel from the Lease shall not constitute a L1/L2 Transfer nor a transfer and sale pursuant to </w:t>
      </w:r>
      <w:r>
        <w:rPr>
          <w:rFonts w:ascii="Arial" w:cs="Arial" w:eastAsia="Arial" w:hAnsi="Arial"/>
          <w:sz w:val="21"/>
          <w:szCs w:val="21"/>
          <w:u w:val="single" w:color="auto"/>
          <w:color w:val="auto"/>
        </w:rPr>
        <w:t>Section 22.2(ix)</w:t>
      </w:r>
      <w:r>
        <w:rPr>
          <w:rFonts w:ascii="Arial" w:cs="Arial" w:eastAsia="Arial" w:hAnsi="Arial"/>
          <w:sz w:val="21"/>
          <w:szCs w:val="21"/>
          <w:color w:val="auto"/>
        </w:rPr>
        <w:t xml:space="preserve"> of the Lease.</w:t>
      </w:r>
    </w:p>
    <w:p>
      <w:pPr>
        <w:spacing w:after="0" w:line="158" w:lineRule="exact"/>
        <w:rPr>
          <w:rFonts w:ascii="Arial" w:cs="Arial" w:eastAsia="Arial" w:hAnsi="Arial"/>
          <w:sz w:val="21"/>
          <w:szCs w:val="21"/>
          <w:color w:val="auto"/>
        </w:rPr>
      </w:pPr>
    </w:p>
    <w:p>
      <w:pPr>
        <w:jc w:val="both"/>
        <w:ind w:left="660" w:firstLine="1292"/>
        <w:spacing w:after="0" w:line="223" w:lineRule="auto"/>
        <w:tabs>
          <w:tab w:leader="none" w:pos="2603" w:val="left"/>
        </w:tabs>
        <w:numPr>
          <w:ilvl w:val="1"/>
          <w:numId w:val="138"/>
        </w:numPr>
        <w:rPr>
          <w:rFonts w:ascii="Arial" w:cs="Arial" w:eastAsia="Arial" w:hAnsi="Arial"/>
          <w:sz w:val="22"/>
          <w:szCs w:val="22"/>
          <w:color w:val="auto"/>
        </w:rPr>
      </w:pPr>
      <w:r>
        <w:rPr>
          <w:rFonts w:ascii="Arial" w:cs="Arial" w:eastAsia="Arial" w:hAnsi="Arial"/>
          <w:sz w:val="22"/>
          <w:szCs w:val="22"/>
          <w:color w:val="auto"/>
        </w:rPr>
        <w:t>All of the applicable requirements and conditions set forth in Article XVIII or Article XXII of the Lease with respect to the Atlantic City Transaction (if, and to the extent, applicable to the Atlantic City Transaction) are deemed satisfied or waived.</w:t>
      </w:r>
    </w:p>
    <w:p>
      <w:pPr>
        <w:spacing w:after="0" w:line="158" w:lineRule="exact"/>
        <w:rPr>
          <w:rFonts w:ascii="Arial" w:cs="Arial" w:eastAsia="Arial" w:hAnsi="Arial"/>
          <w:sz w:val="22"/>
          <w:szCs w:val="22"/>
          <w:color w:val="auto"/>
        </w:rPr>
      </w:pPr>
    </w:p>
    <w:p>
      <w:pPr>
        <w:jc w:val="both"/>
        <w:ind w:left="660" w:firstLine="1292"/>
        <w:spacing w:after="0" w:line="218" w:lineRule="auto"/>
        <w:tabs>
          <w:tab w:leader="none" w:pos="2595" w:val="left"/>
        </w:tabs>
        <w:numPr>
          <w:ilvl w:val="1"/>
          <w:numId w:val="138"/>
        </w:numPr>
        <w:rPr>
          <w:rFonts w:ascii="Arial" w:cs="Arial" w:eastAsia="Arial" w:hAnsi="Arial"/>
          <w:sz w:val="22"/>
          <w:szCs w:val="22"/>
          <w:color w:val="auto"/>
        </w:rPr>
      </w:pPr>
      <w:r>
        <w:rPr>
          <w:rFonts w:ascii="Arial" w:cs="Arial" w:eastAsia="Arial" w:hAnsi="Arial"/>
          <w:sz w:val="22"/>
          <w:szCs w:val="22"/>
          <w:color w:val="auto"/>
        </w:rPr>
        <w:t xml:space="preserve">The amounts of the 2018 EBITDAR Pool and 2018 EBITDAR Pool Before Fifth Amendment shall not be reduced as a result of the Atlantic City Parcel no longer constituting Leased Property under the Lease and, without limitation, </w:t>
      </w:r>
      <w:r>
        <w:rPr>
          <w:rFonts w:ascii="Arial" w:cs="Arial" w:eastAsia="Arial" w:hAnsi="Arial"/>
          <w:sz w:val="22"/>
          <w:szCs w:val="22"/>
          <w:u w:val="single" w:color="auto"/>
          <w:color w:val="auto"/>
        </w:rPr>
        <w:t>Schedule 11</w:t>
      </w:r>
      <w:r>
        <w:rPr>
          <w:rFonts w:ascii="Arial" w:cs="Arial" w:eastAsia="Arial" w:hAnsi="Arial"/>
          <w:sz w:val="22"/>
          <w:szCs w:val="22"/>
          <w:color w:val="auto"/>
        </w:rPr>
        <w:t xml:space="preserve"> to the Lease (setting forth the 2018 Facility EBITDAR of Tenant and Joliet Tenant) shall not be modified as a result of the Atlantic City Transaction.</w:t>
      </w:r>
    </w:p>
    <w:p>
      <w:pPr>
        <w:spacing w:after="0" w:line="160" w:lineRule="exact"/>
        <w:rPr>
          <w:rFonts w:ascii="Arial" w:cs="Arial" w:eastAsia="Arial" w:hAnsi="Arial"/>
          <w:sz w:val="22"/>
          <w:szCs w:val="22"/>
          <w:color w:val="auto"/>
        </w:rPr>
      </w:pPr>
    </w:p>
    <w:p>
      <w:pPr>
        <w:ind w:left="660" w:firstLine="1292"/>
        <w:spacing w:after="0" w:line="298" w:lineRule="auto"/>
        <w:tabs>
          <w:tab w:leader="none" w:pos="2582" w:val="left"/>
        </w:tabs>
        <w:numPr>
          <w:ilvl w:val="1"/>
          <w:numId w:val="138"/>
        </w:numPr>
        <w:rPr>
          <w:rFonts w:ascii="Arial" w:cs="Arial" w:eastAsia="Arial" w:hAnsi="Arial"/>
          <w:sz w:val="19"/>
          <w:szCs w:val="19"/>
          <w:color w:val="auto"/>
        </w:rPr>
      </w:pPr>
      <w:r>
        <w:rPr>
          <w:rFonts w:ascii="Arial" w:cs="Arial" w:eastAsia="Arial" w:hAnsi="Arial"/>
          <w:sz w:val="19"/>
          <w:szCs w:val="19"/>
          <w:color w:val="auto"/>
        </w:rPr>
        <w:t>The treatment of the Atlantic City Transaction hereunder is not intended to serve as a precedent for the treatment of future dispositions (if any) which may be effectuated under any applicable provision of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194" w:name="page195"/>
    <w:bookmarkEnd w:id="194"/>
    <w:p>
      <w:pPr>
        <w:jc w:val="both"/>
        <w:ind w:firstLine="1304"/>
        <w:spacing w:after="0" w:line="268" w:lineRule="auto"/>
        <w:tabs>
          <w:tab w:leader="none" w:pos="1941" w:val="left"/>
        </w:tabs>
        <w:numPr>
          <w:ilvl w:val="1"/>
          <w:numId w:val="139"/>
        </w:numPr>
        <w:rPr>
          <w:rFonts w:ascii="Arial" w:cs="Arial" w:eastAsia="Arial" w:hAnsi="Arial"/>
          <w:sz w:val="19"/>
          <w:szCs w:val="19"/>
          <w:color w:val="auto"/>
        </w:rPr>
      </w:pPr>
      <w:r>
        <w:rPr>
          <w:rFonts w:ascii="Arial" w:cs="Arial" w:eastAsia="Arial" w:hAnsi="Arial"/>
          <w:sz w:val="19"/>
          <w:szCs w:val="19"/>
          <w:u w:val="single" w:color="auto"/>
          <w:color w:val="auto"/>
        </w:rPr>
        <w:t>Legal Description (Atlantic City Parcel)</w:t>
      </w:r>
      <w:r>
        <w:rPr>
          <w:rFonts w:ascii="Arial" w:cs="Arial" w:eastAsia="Arial" w:hAnsi="Arial"/>
          <w:sz w:val="19"/>
          <w:szCs w:val="19"/>
          <w:color w:val="auto"/>
        </w:rPr>
        <w:t xml:space="preserve">. The legal descriptions with respect to the Leased Property set forth on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annexed to the Lease are hereby amended such that the legal description with respect to the Leased Property pertaining to the Atlantic City Parcel, as set forth on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attached hereto, is hereby deleted from said </w:t>
      </w:r>
      <w:r>
        <w:rPr>
          <w:rFonts w:ascii="Arial" w:cs="Arial" w:eastAsia="Arial" w:hAnsi="Arial"/>
          <w:sz w:val="19"/>
          <w:szCs w:val="19"/>
          <w:u w:val="single" w:color="auto"/>
          <w:color w:val="auto"/>
        </w:rPr>
        <w:t>Exhibit B</w:t>
      </w:r>
      <w:r>
        <w:rPr>
          <w:rFonts w:ascii="Arial" w:cs="Arial" w:eastAsia="Arial" w:hAnsi="Arial"/>
          <w:sz w:val="19"/>
          <w:szCs w:val="19"/>
          <w:color w:val="auto"/>
        </w:rPr>
        <w:t>.</w:t>
      </w:r>
    </w:p>
    <w:p>
      <w:pPr>
        <w:spacing w:after="0" w:line="126" w:lineRule="exact"/>
        <w:rPr>
          <w:rFonts w:ascii="Arial" w:cs="Arial" w:eastAsia="Arial" w:hAnsi="Arial"/>
          <w:sz w:val="19"/>
          <w:szCs w:val="19"/>
          <w:color w:val="auto"/>
        </w:rPr>
      </w:pPr>
    </w:p>
    <w:p>
      <w:pPr>
        <w:jc w:val="both"/>
        <w:ind w:firstLine="656"/>
        <w:spacing w:after="0" w:line="227" w:lineRule="auto"/>
        <w:tabs>
          <w:tab w:leader="none" w:pos="1296" w:val="left"/>
        </w:tabs>
        <w:numPr>
          <w:ilvl w:val="0"/>
          <w:numId w:val="140"/>
        </w:numPr>
        <w:rPr>
          <w:rFonts w:ascii="Arial" w:cs="Arial" w:eastAsia="Arial" w:hAnsi="Arial"/>
          <w:sz w:val="21"/>
          <w:szCs w:val="21"/>
          <w:color w:val="auto"/>
        </w:rPr>
      </w:pPr>
      <w:r>
        <w:rPr>
          <w:rFonts w:ascii="Arial" w:cs="Arial" w:eastAsia="Arial" w:hAnsi="Arial"/>
          <w:sz w:val="21"/>
          <w:szCs w:val="21"/>
          <w:b w:val="1"/>
          <w:bCs w:val="1"/>
          <w:u w:val="single" w:color="auto"/>
          <w:color w:val="auto"/>
        </w:rPr>
        <w:t>No Other Modification or Amendment to the Lease</w:t>
      </w:r>
      <w:r>
        <w:rPr>
          <w:rFonts w:ascii="Arial" w:cs="Arial" w:eastAsia="Arial" w:hAnsi="Arial"/>
          <w:sz w:val="21"/>
          <w:szCs w:val="21"/>
          <w:color w:val="auto"/>
        </w:rPr>
        <w:t>. The Lease shall remain in full force and effect except as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expressly amended or modified by this Amendment. From and after the date of this Amendment, all references in the Lease to the “Lease” shall be deemed to refer to the Lease as amended by this Amendment. For the avoidance of doubt, the Lease shall continue in full force and effect with respect to the balance of the Leased Property (other than the Atlantic City Parcel as of the date hereof in accordance with </w:t>
      </w:r>
      <w:r>
        <w:rPr>
          <w:rFonts w:ascii="Arial" w:cs="Arial" w:eastAsia="Arial" w:hAnsi="Arial"/>
          <w:sz w:val="21"/>
          <w:szCs w:val="21"/>
          <w:u w:val="single" w:color="auto"/>
          <w:color w:val="auto"/>
        </w:rPr>
        <w:t>Section 2.A.</w:t>
      </w:r>
      <w:r>
        <w:rPr>
          <w:rFonts w:ascii="Arial" w:cs="Arial" w:eastAsia="Arial" w:hAnsi="Arial"/>
          <w:sz w:val="21"/>
          <w:szCs w:val="21"/>
          <w:color w:val="auto"/>
        </w:rPr>
        <w:t xml:space="preserve"> of this Amendment).</w:t>
      </w:r>
    </w:p>
    <w:p>
      <w:pPr>
        <w:spacing w:after="0" w:line="113" w:lineRule="exact"/>
        <w:rPr>
          <w:rFonts w:ascii="Arial" w:cs="Arial" w:eastAsia="Arial" w:hAnsi="Arial"/>
          <w:sz w:val="21"/>
          <w:szCs w:val="21"/>
          <w:color w:val="auto"/>
        </w:rPr>
      </w:pPr>
    </w:p>
    <w:p>
      <w:pPr>
        <w:jc w:val="both"/>
        <w:ind w:firstLine="656"/>
        <w:spacing w:after="0" w:line="220" w:lineRule="auto"/>
        <w:tabs>
          <w:tab w:leader="none" w:pos="1296" w:val="left"/>
        </w:tabs>
        <w:numPr>
          <w:ilvl w:val="0"/>
          <w:numId w:val="140"/>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 Jurisdiction</w:t>
      </w:r>
      <w:r>
        <w:rPr>
          <w:rFonts w:ascii="Arial" w:cs="Arial" w:eastAsia="Arial" w:hAnsi="Arial"/>
          <w:sz w:val="22"/>
          <w:szCs w:val="22"/>
          <w:color w:val="auto"/>
        </w:rPr>
        <w:t>. This Amendment shall be construed according to and governed by the laws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jurisdiction(s) specified by the Lease without regard to its or their conflicts of law principles. The parties hereto hereby irrevocably submit to the jurisdiction of any court of competent jurisdiction located in such applicable jurisdiction in connection with any proceeding arising out of or relating to this Amendment.</w:t>
      </w:r>
    </w:p>
    <w:p>
      <w:pPr>
        <w:spacing w:after="0" w:line="152" w:lineRule="exact"/>
        <w:rPr>
          <w:rFonts w:ascii="Arial" w:cs="Arial" w:eastAsia="Arial" w:hAnsi="Arial"/>
          <w:sz w:val="22"/>
          <w:szCs w:val="22"/>
          <w:color w:val="auto"/>
        </w:rPr>
      </w:pPr>
    </w:p>
    <w:p>
      <w:pPr>
        <w:jc w:val="both"/>
        <w:ind w:firstLine="656"/>
        <w:spacing w:after="0" w:line="225" w:lineRule="auto"/>
        <w:tabs>
          <w:tab w:leader="none" w:pos="1296" w:val="left"/>
        </w:tabs>
        <w:numPr>
          <w:ilvl w:val="0"/>
          <w:numId w:val="140"/>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Amendment may be executed by one or more of the parties hereto on any number of separate</w:t>
      </w:r>
      <w:r>
        <w:rPr>
          <w:rFonts w:ascii="Arial" w:cs="Arial" w:eastAsia="Arial" w:hAnsi="Arial"/>
          <w:sz w:val="22"/>
          <w:szCs w:val="22"/>
          <w:b w:val="1"/>
          <w:bCs w:val="1"/>
          <w:color w:val="auto"/>
        </w:rPr>
        <w:t xml:space="preserve"> </w:t>
      </w:r>
      <w:r>
        <w:rPr>
          <w:rFonts w:ascii="Arial" w:cs="Arial" w:eastAsia="Arial" w:hAnsi="Arial"/>
          <w:sz w:val="22"/>
          <w:szCs w:val="22"/>
          <w:color w:val="auto"/>
        </w:rPr>
        <w:t>counterparts, and all of such counterparts taken together shall be deemed to constitute one and the same instrument. Facsimile and/or .pdf signatures shall be deemed to be originals for all purposes.</w:t>
      </w:r>
    </w:p>
    <w:p>
      <w:pPr>
        <w:spacing w:after="0" w:line="152" w:lineRule="exact"/>
        <w:rPr>
          <w:rFonts w:ascii="Arial" w:cs="Arial" w:eastAsia="Arial" w:hAnsi="Arial"/>
          <w:sz w:val="22"/>
          <w:szCs w:val="22"/>
          <w:color w:val="auto"/>
        </w:rPr>
      </w:pPr>
    </w:p>
    <w:p>
      <w:pPr>
        <w:ind w:firstLine="656"/>
        <w:spacing w:after="0" w:line="235" w:lineRule="auto"/>
        <w:tabs>
          <w:tab w:leader="none" w:pos="1296" w:val="left"/>
        </w:tabs>
        <w:numPr>
          <w:ilvl w:val="0"/>
          <w:numId w:val="140"/>
        </w:numPr>
        <w:rPr>
          <w:rFonts w:ascii="Arial" w:cs="Arial" w:eastAsia="Arial" w:hAnsi="Arial"/>
          <w:sz w:val="22"/>
          <w:szCs w:val="22"/>
          <w:color w:val="auto"/>
        </w:rPr>
      </w:pPr>
      <w:r>
        <w:rPr>
          <w:rFonts w:ascii="Arial" w:cs="Arial" w:eastAsia="Arial" w:hAnsi="Arial"/>
          <w:sz w:val="22"/>
          <w:szCs w:val="22"/>
          <w:b w:val="1"/>
          <w:bCs w:val="1"/>
          <w:u w:val="single" w:color="auto"/>
          <w:color w:val="auto"/>
        </w:rPr>
        <w:t>Effectiveness</w:t>
      </w:r>
      <w:r>
        <w:rPr>
          <w:rFonts w:ascii="Arial" w:cs="Arial" w:eastAsia="Arial" w:hAnsi="Arial"/>
          <w:sz w:val="22"/>
          <w:szCs w:val="22"/>
          <w:color w:val="auto"/>
        </w:rPr>
        <w:t>. This Amendment shall be effective, as of the date hereof, only upon execution and delivery by each</w:t>
      </w:r>
      <w:r>
        <w:rPr>
          <w:rFonts w:ascii="Arial" w:cs="Arial" w:eastAsia="Arial" w:hAnsi="Arial"/>
          <w:sz w:val="22"/>
          <w:szCs w:val="22"/>
          <w:b w:val="1"/>
          <w:bCs w:val="1"/>
          <w:color w:val="auto"/>
        </w:rPr>
        <w:t xml:space="preserve"> </w:t>
      </w:r>
      <w:r>
        <w:rPr>
          <w:rFonts w:ascii="Arial" w:cs="Arial" w:eastAsia="Arial" w:hAnsi="Arial"/>
          <w:sz w:val="22"/>
          <w:szCs w:val="22"/>
          <w:color w:val="auto"/>
        </w:rPr>
        <w:t>of the parties hereto.</w:t>
      </w:r>
    </w:p>
    <w:p>
      <w:pPr>
        <w:spacing w:after="0" w:line="152" w:lineRule="exact"/>
        <w:rPr>
          <w:rFonts w:ascii="Arial" w:cs="Arial" w:eastAsia="Arial" w:hAnsi="Arial"/>
          <w:sz w:val="22"/>
          <w:szCs w:val="22"/>
          <w:color w:val="auto"/>
        </w:rPr>
      </w:pPr>
    </w:p>
    <w:p>
      <w:pPr>
        <w:jc w:val="both"/>
        <w:ind w:firstLine="656"/>
        <w:spacing w:after="0" w:line="222" w:lineRule="auto"/>
        <w:tabs>
          <w:tab w:leader="none" w:pos="1296" w:val="left"/>
        </w:tabs>
        <w:numPr>
          <w:ilvl w:val="0"/>
          <w:numId w:val="140"/>
        </w:numPr>
        <w:rPr>
          <w:rFonts w:ascii="Arial" w:cs="Arial" w:eastAsia="Arial" w:hAnsi="Arial"/>
          <w:sz w:val="21"/>
          <w:szCs w:val="21"/>
          <w:color w:val="auto"/>
        </w:rPr>
      </w:pPr>
      <w:r>
        <w:rPr>
          <w:rFonts w:ascii="Arial" w:cs="Arial" w:eastAsia="Arial" w:hAnsi="Arial"/>
          <w:sz w:val="21"/>
          <w:szCs w:val="21"/>
          <w:b w:val="1"/>
          <w:bCs w:val="1"/>
          <w:u w:val="single" w:color="auto"/>
          <w:color w:val="auto"/>
        </w:rPr>
        <w:t>Miscellaneous</w:t>
      </w:r>
      <w:r>
        <w:rPr>
          <w:rFonts w:ascii="Arial" w:cs="Arial" w:eastAsia="Arial" w:hAnsi="Arial"/>
          <w:sz w:val="21"/>
          <w:szCs w:val="21"/>
          <w:color w:val="auto"/>
        </w:rPr>
        <w:t>. If any provision of this Amendment is adjudicated to be invalid, illegal or unenforceable, in whole</w:t>
      </w:r>
      <w:r>
        <w:rPr>
          <w:rFonts w:ascii="Arial" w:cs="Arial" w:eastAsia="Arial" w:hAnsi="Arial"/>
          <w:sz w:val="21"/>
          <w:szCs w:val="21"/>
          <w:b w:val="1"/>
          <w:bCs w:val="1"/>
          <w:color w:val="auto"/>
        </w:rPr>
        <w:t xml:space="preserve"> </w:t>
      </w:r>
      <w:r>
        <w:rPr>
          <w:rFonts w:ascii="Arial" w:cs="Arial" w:eastAsia="Arial" w:hAnsi="Arial"/>
          <w:sz w:val="21"/>
          <w:szCs w:val="21"/>
          <w:color w:val="auto"/>
        </w:rPr>
        <w:t>or in part, it will be deemed omitted to that extent and all other provisions of this Amendment will remain in full force and effect. Neither this Amendment nor any provision hereof may be changed, modified, waived, discharged or terminated orally, but only by an instrument in writing signed by the party against whom enforcement of such change, modification, waiver, discharge or termination is sought. The paragraph headings and captions contained in this Amendment are for convenience of reference only and in no event define, describe or limit the scope or intent of this Amendment or any of the provisions or terms hereof. This Amendment shall be binding upon and inure to the benefit of the parties and their respective heirs, legal representatives, successors and permitted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195" w:name="page196"/>
    <w:bookmarkEnd w:id="195"/>
    <w:p>
      <w:pPr>
        <w:ind w:firstLine="648"/>
        <w:spacing w:after="0" w:line="232" w:lineRule="auto"/>
        <w:rPr>
          <w:sz w:val="20"/>
          <w:szCs w:val="20"/>
          <w:color w:val="auto"/>
        </w:rPr>
      </w:pPr>
      <w:r>
        <w:rPr>
          <w:rFonts w:ascii="Arial" w:cs="Arial" w:eastAsia="Arial" w:hAnsi="Arial"/>
          <w:sz w:val="22"/>
          <w:szCs w:val="22"/>
          <w:color w:val="auto"/>
        </w:rPr>
        <w:t>IN WITNESS WHEREOF, the parties hereto have caused this Amendment to be duly executed by their duly authorized representatives, all as of the date hereof.</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LANDLORD:</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HORSESHOE COUNCIL BLUFFS LLC</w:t>
      </w:r>
    </w:p>
    <w:p>
      <w:pPr>
        <w:spacing w:after="0" w:line="204" w:lineRule="auto"/>
        <w:rPr>
          <w:sz w:val="20"/>
          <w:szCs w:val="20"/>
          <w:color w:val="auto"/>
        </w:rPr>
      </w:pPr>
      <w:r>
        <w:rPr>
          <w:rFonts w:ascii="Arial" w:cs="Arial" w:eastAsia="Arial" w:hAnsi="Arial"/>
          <w:sz w:val="22"/>
          <w:szCs w:val="22"/>
          <w:b w:val="1"/>
          <w:bCs w:val="1"/>
          <w:color w:val="auto"/>
        </w:rPr>
        <w:t>HARRAH’S COUNCIL BLUFFS LLC</w:t>
      </w:r>
    </w:p>
    <w:p>
      <w:pPr>
        <w:spacing w:after="0" w:line="205" w:lineRule="auto"/>
        <w:rPr>
          <w:sz w:val="20"/>
          <w:szCs w:val="20"/>
          <w:color w:val="auto"/>
        </w:rPr>
      </w:pPr>
      <w:r>
        <w:rPr>
          <w:rFonts w:ascii="Arial" w:cs="Arial" w:eastAsia="Arial" w:hAnsi="Arial"/>
          <w:sz w:val="22"/>
          <w:szCs w:val="22"/>
          <w:b w:val="1"/>
          <w:bCs w:val="1"/>
          <w:color w:val="auto"/>
        </w:rPr>
        <w:t>HARRAH’S METROPOLIS LLC</w:t>
      </w:r>
    </w:p>
    <w:p>
      <w:pPr>
        <w:spacing w:after="0" w:line="205" w:lineRule="auto"/>
        <w:rPr>
          <w:sz w:val="20"/>
          <w:szCs w:val="20"/>
          <w:color w:val="auto"/>
        </w:rPr>
      </w:pPr>
      <w:r>
        <w:rPr>
          <w:rFonts w:ascii="Arial" w:cs="Arial" w:eastAsia="Arial" w:hAnsi="Arial"/>
          <w:sz w:val="22"/>
          <w:szCs w:val="22"/>
          <w:b w:val="1"/>
          <w:bCs w:val="1"/>
          <w:color w:val="auto"/>
        </w:rPr>
        <w:t>NEW HORSESHOE HAMMOND LLC</w:t>
      </w:r>
    </w:p>
    <w:p>
      <w:pPr>
        <w:spacing w:after="0" w:line="205" w:lineRule="auto"/>
        <w:rPr>
          <w:sz w:val="20"/>
          <w:szCs w:val="20"/>
          <w:color w:val="auto"/>
        </w:rPr>
      </w:pPr>
      <w:r>
        <w:rPr>
          <w:rFonts w:ascii="Arial" w:cs="Arial" w:eastAsia="Arial" w:hAnsi="Arial"/>
          <w:sz w:val="22"/>
          <w:szCs w:val="22"/>
          <w:b w:val="1"/>
          <w:bCs w:val="1"/>
          <w:color w:val="auto"/>
        </w:rPr>
        <w:t>NEW HARRAH’S NORTH KANSAS CITY LLC</w:t>
      </w:r>
    </w:p>
    <w:p>
      <w:pPr>
        <w:spacing w:after="0" w:line="205" w:lineRule="auto"/>
        <w:rPr>
          <w:sz w:val="20"/>
          <w:szCs w:val="20"/>
          <w:color w:val="auto"/>
        </w:rPr>
      </w:pPr>
      <w:r>
        <w:rPr>
          <w:rFonts w:ascii="Arial" w:cs="Arial" w:eastAsia="Arial" w:hAnsi="Arial"/>
          <w:sz w:val="22"/>
          <w:szCs w:val="22"/>
          <w:b w:val="1"/>
          <w:bCs w:val="1"/>
          <w:color w:val="auto"/>
        </w:rPr>
        <w:t>GRAND BILOXI LLC</w:t>
      </w:r>
    </w:p>
    <w:p>
      <w:pPr>
        <w:spacing w:after="0" w:line="205" w:lineRule="auto"/>
        <w:rPr>
          <w:sz w:val="20"/>
          <w:szCs w:val="20"/>
          <w:color w:val="auto"/>
        </w:rPr>
      </w:pPr>
      <w:r>
        <w:rPr>
          <w:rFonts w:ascii="Arial" w:cs="Arial" w:eastAsia="Arial" w:hAnsi="Arial"/>
          <w:sz w:val="22"/>
          <w:szCs w:val="22"/>
          <w:b w:val="1"/>
          <w:bCs w:val="1"/>
          <w:color w:val="auto"/>
        </w:rPr>
        <w:t>HORSESHOE TUNICA LLC</w:t>
      </w:r>
    </w:p>
    <w:p>
      <w:pPr>
        <w:spacing w:after="0" w:line="205" w:lineRule="auto"/>
        <w:rPr>
          <w:sz w:val="20"/>
          <w:szCs w:val="20"/>
          <w:color w:val="auto"/>
        </w:rPr>
      </w:pPr>
      <w:r>
        <w:rPr>
          <w:rFonts w:ascii="Arial" w:cs="Arial" w:eastAsia="Arial" w:hAnsi="Arial"/>
          <w:sz w:val="22"/>
          <w:szCs w:val="22"/>
          <w:b w:val="1"/>
          <w:bCs w:val="1"/>
          <w:color w:val="auto"/>
        </w:rPr>
        <w:t>NEW TUNICA ROADHOUSE LLC</w:t>
      </w:r>
    </w:p>
    <w:p>
      <w:pPr>
        <w:spacing w:after="0" w:line="205" w:lineRule="auto"/>
        <w:rPr>
          <w:sz w:val="20"/>
          <w:szCs w:val="20"/>
          <w:color w:val="auto"/>
        </w:rPr>
      </w:pPr>
      <w:r>
        <w:rPr>
          <w:rFonts w:ascii="Arial" w:cs="Arial" w:eastAsia="Arial" w:hAnsi="Arial"/>
          <w:sz w:val="22"/>
          <w:szCs w:val="22"/>
          <w:b w:val="1"/>
          <w:bCs w:val="1"/>
          <w:color w:val="auto"/>
        </w:rPr>
        <w:t>CAESARS ATLANTIC CITY LLC</w:t>
      </w:r>
    </w:p>
    <w:p>
      <w:pPr>
        <w:spacing w:after="0" w:line="205" w:lineRule="auto"/>
        <w:rPr>
          <w:sz w:val="20"/>
          <w:szCs w:val="20"/>
          <w:color w:val="auto"/>
        </w:rPr>
      </w:pPr>
      <w:r>
        <w:rPr>
          <w:rFonts w:ascii="Arial" w:cs="Arial" w:eastAsia="Arial" w:hAnsi="Arial"/>
          <w:sz w:val="22"/>
          <w:szCs w:val="22"/>
          <w:b w:val="1"/>
          <w:bCs w:val="1"/>
          <w:color w:val="auto"/>
        </w:rPr>
        <w:t>BALLY’S ATLANTIC CITY LLC</w:t>
      </w:r>
    </w:p>
    <w:p>
      <w:pPr>
        <w:spacing w:after="0" w:line="205" w:lineRule="auto"/>
        <w:rPr>
          <w:sz w:val="20"/>
          <w:szCs w:val="20"/>
          <w:color w:val="auto"/>
        </w:rPr>
      </w:pPr>
      <w:r>
        <w:rPr>
          <w:rFonts w:ascii="Arial" w:cs="Arial" w:eastAsia="Arial" w:hAnsi="Arial"/>
          <w:sz w:val="22"/>
          <w:szCs w:val="22"/>
          <w:b w:val="1"/>
          <w:bCs w:val="1"/>
          <w:color w:val="auto"/>
        </w:rPr>
        <w:t>HARRAH’S LAKE TAHOE LLC</w:t>
      </w:r>
    </w:p>
    <w:p>
      <w:pPr>
        <w:spacing w:after="0" w:line="205" w:lineRule="auto"/>
        <w:rPr>
          <w:sz w:val="20"/>
          <w:szCs w:val="20"/>
          <w:color w:val="auto"/>
        </w:rPr>
      </w:pPr>
      <w:r>
        <w:rPr>
          <w:rFonts w:ascii="Arial" w:cs="Arial" w:eastAsia="Arial" w:hAnsi="Arial"/>
          <w:sz w:val="22"/>
          <w:szCs w:val="22"/>
          <w:b w:val="1"/>
          <w:bCs w:val="1"/>
          <w:color w:val="auto"/>
        </w:rPr>
        <w:t>HARVEY’S LAKE TAHOE LLC</w:t>
      </w:r>
    </w:p>
    <w:p>
      <w:pPr>
        <w:spacing w:after="0" w:line="205" w:lineRule="auto"/>
        <w:rPr>
          <w:sz w:val="20"/>
          <w:szCs w:val="20"/>
          <w:color w:val="auto"/>
        </w:rPr>
      </w:pPr>
      <w:r>
        <w:rPr>
          <w:rFonts w:ascii="Arial" w:cs="Arial" w:eastAsia="Arial" w:hAnsi="Arial"/>
          <w:sz w:val="22"/>
          <w:szCs w:val="22"/>
          <w:b w:val="1"/>
          <w:bCs w:val="1"/>
          <w:color w:val="auto"/>
        </w:rPr>
        <w:t>HARRAH’S RENO LLC</w:t>
      </w:r>
    </w:p>
    <w:p>
      <w:pPr>
        <w:spacing w:after="0" w:line="205" w:lineRule="auto"/>
        <w:rPr>
          <w:sz w:val="20"/>
          <w:szCs w:val="20"/>
          <w:color w:val="auto"/>
        </w:rPr>
      </w:pPr>
      <w:r>
        <w:rPr>
          <w:rFonts w:ascii="Arial" w:cs="Arial" w:eastAsia="Arial" w:hAnsi="Arial"/>
          <w:sz w:val="22"/>
          <w:szCs w:val="22"/>
          <w:b w:val="1"/>
          <w:bCs w:val="1"/>
          <w:color w:val="auto"/>
        </w:rPr>
        <w:t>VEGAS DEVELOPMENT LLC</w:t>
      </w:r>
    </w:p>
    <w:p>
      <w:pPr>
        <w:spacing w:after="0" w:line="204" w:lineRule="auto"/>
        <w:rPr>
          <w:sz w:val="20"/>
          <w:szCs w:val="20"/>
          <w:color w:val="auto"/>
        </w:rPr>
      </w:pPr>
      <w:r>
        <w:rPr>
          <w:rFonts w:ascii="Arial" w:cs="Arial" w:eastAsia="Arial" w:hAnsi="Arial"/>
          <w:sz w:val="22"/>
          <w:szCs w:val="22"/>
          <w:b w:val="1"/>
          <w:bCs w:val="1"/>
          <w:color w:val="auto"/>
        </w:rPr>
        <w:t>VEGAS OPERATING PROPERTY LLC</w:t>
      </w:r>
    </w:p>
    <w:p>
      <w:pPr>
        <w:spacing w:after="0" w:line="205" w:lineRule="auto"/>
        <w:rPr>
          <w:sz w:val="20"/>
          <w:szCs w:val="20"/>
          <w:color w:val="auto"/>
        </w:rPr>
      </w:pPr>
      <w:r>
        <w:rPr>
          <w:rFonts w:ascii="Arial" w:cs="Arial" w:eastAsia="Arial" w:hAnsi="Arial"/>
          <w:sz w:val="22"/>
          <w:szCs w:val="22"/>
          <w:b w:val="1"/>
          <w:bCs w:val="1"/>
          <w:color w:val="auto"/>
        </w:rPr>
        <w:t>MISCELLANEOUS LAND LLC</w:t>
      </w:r>
    </w:p>
    <w:p>
      <w:pPr>
        <w:spacing w:after="0" w:line="205" w:lineRule="auto"/>
        <w:rPr>
          <w:sz w:val="20"/>
          <w:szCs w:val="20"/>
          <w:color w:val="auto"/>
        </w:rPr>
      </w:pPr>
      <w:r>
        <w:rPr>
          <w:rFonts w:ascii="Arial" w:cs="Arial" w:eastAsia="Arial" w:hAnsi="Arial"/>
          <w:sz w:val="22"/>
          <w:szCs w:val="22"/>
          <w:b w:val="1"/>
          <w:bCs w:val="1"/>
          <w:color w:val="auto"/>
        </w:rPr>
        <w:t>PROPCO GULFPORT LLC</w:t>
      </w:r>
    </w:p>
    <w:p>
      <w:pPr>
        <w:spacing w:after="0" w:line="205" w:lineRule="auto"/>
        <w:rPr>
          <w:sz w:val="20"/>
          <w:szCs w:val="20"/>
          <w:color w:val="auto"/>
        </w:rPr>
      </w:pPr>
      <w:r>
        <w:rPr>
          <w:rFonts w:ascii="Arial" w:cs="Arial" w:eastAsia="Arial" w:hAnsi="Arial"/>
          <w:sz w:val="22"/>
          <w:szCs w:val="22"/>
          <w:b w:val="1"/>
          <w:bCs w:val="1"/>
          <w:color w:val="auto"/>
        </w:rPr>
        <w:t>PHILADELPHIA PROPCO LLC</w:t>
      </w:r>
    </w:p>
    <w:p>
      <w:pPr>
        <w:spacing w:after="0" w:line="205" w:lineRule="auto"/>
        <w:rPr>
          <w:sz w:val="20"/>
          <w:szCs w:val="20"/>
          <w:color w:val="auto"/>
        </w:rPr>
      </w:pPr>
      <w:r>
        <w:rPr>
          <w:rFonts w:ascii="Arial" w:cs="Arial" w:eastAsia="Arial" w:hAnsi="Arial"/>
          <w:sz w:val="22"/>
          <w:szCs w:val="22"/>
          <w:b w:val="1"/>
          <w:bCs w:val="1"/>
          <w:color w:val="auto"/>
        </w:rPr>
        <w:t>HARRAH’S ATLANTIC CITY LLC</w:t>
      </w:r>
    </w:p>
    <w:p>
      <w:pPr>
        <w:spacing w:after="0" w:line="205" w:lineRule="auto"/>
        <w:rPr>
          <w:sz w:val="20"/>
          <w:szCs w:val="20"/>
          <w:color w:val="auto"/>
        </w:rPr>
      </w:pPr>
      <w:r>
        <w:rPr>
          <w:rFonts w:ascii="Arial" w:cs="Arial" w:eastAsia="Arial" w:hAnsi="Arial"/>
          <w:sz w:val="22"/>
          <w:szCs w:val="22"/>
          <w:b w:val="1"/>
          <w:bCs w:val="1"/>
          <w:color w:val="auto"/>
        </w:rPr>
        <w:t>NEW LAUGHLIN OWNER LLC</w:t>
      </w:r>
    </w:p>
    <w:p>
      <w:pPr>
        <w:spacing w:after="0" w:line="205" w:lineRule="auto"/>
        <w:rPr>
          <w:sz w:val="20"/>
          <w:szCs w:val="20"/>
          <w:color w:val="auto"/>
        </w:rPr>
      </w:pPr>
      <w:r>
        <w:rPr>
          <w:rFonts w:ascii="Arial" w:cs="Arial" w:eastAsia="Arial" w:hAnsi="Arial"/>
          <w:sz w:val="22"/>
          <w:szCs w:val="22"/>
          <w:b w:val="1"/>
          <w:bCs w:val="1"/>
          <w:color w:val="auto"/>
        </w:rPr>
        <w:t>HARRAH’S NEW ORLEANS LLC</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each, a Delaware limited liability company</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By: /s/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-5715</wp:posOffset>
            </wp:positionV>
            <wp:extent cx="152781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2">
                      <a:extLst>
                        <a:ext uri="{28A0092B-C50C-407E-A947-70E740481C1C}"/>
                      </a:extLst>
                    </a:blip>
                    <a:srcRect/>
                    <a:stretch>
                      <a:fillRect/>
                    </a:stretch>
                  </pic:blipFill>
                  <pic:spPr bwMode="auto">
                    <a:xfrm>
                      <a:off x="0" y="0"/>
                      <a:ext cx="1527810" cy="8890"/>
                    </a:xfrm>
                    <a:prstGeom prst="rect">
                      <a:avLst/>
                    </a:prstGeom>
                    <a:noFill/>
                  </pic:spPr>
                </pic:pic>
              </a:graphicData>
            </a:graphic>
          </wp:anchor>
        </w:drawing>
      </w:r>
    </w:p>
    <w:p>
      <w:pPr>
        <w:ind w:left="340"/>
        <w:spacing w:after="0" w:line="204" w:lineRule="auto"/>
        <w:rPr>
          <w:sz w:val="20"/>
          <w:szCs w:val="20"/>
          <w:color w:val="auto"/>
        </w:rPr>
      </w:pPr>
      <w:r>
        <w:rPr>
          <w:rFonts w:ascii="Arial" w:cs="Arial" w:eastAsia="Arial" w:hAnsi="Arial"/>
          <w:sz w:val="22"/>
          <w:szCs w:val="22"/>
          <w:color w:val="auto"/>
        </w:rPr>
        <w:t>Name: David A. Kieske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Treasurer</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HORSESHOE BOSSIER CITY PROP LLC</w:t>
      </w:r>
      <w:r>
        <w:rPr>
          <w:rFonts w:ascii="Arial" w:cs="Arial" w:eastAsia="Arial" w:hAnsi="Arial"/>
          <w:sz w:val="22"/>
          <w:szCs w:val="22"/>
          <w:color w:val="auto"/>
        </w:rPr>
        <w:t>,</w:t>
      </w:r>
    </w:p>
    <w:p>
      <w:pPr>
        <w:spacing w:after="0"/>
        <w:rPr>
          <w:sz w:val="20"/>
          <w:szCs w:val="20"/>
          <w:color w:val="auto"/>
        </w:rPr>
      </w:pPr>
      <w:r>
        <w:rPr>
          <w:rFonts w:ascii="Arial" w:cs="Arial" w:eastAsia="Arial" w:hAnsi="Arial"/>
          <w:sz w:val="22"/>
          <w:szCs w:val="22"/>
          <w:color w:val="auto"/>
        </w:rPr>
        <w:t>a Louisiana limited liability company</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By: /s/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-5715</wp:posOffset>
            </wp:positionV>
            <wp:extent cx="152781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3">
                      <a:extLst>
                        <a:ext uri="{28A0092B-C50C-407E-A947-70E740481C1C}"/>
                      </a:extLst>
                    </a:blip>
                    <a:srcRect/>
                    <a:stretch>
                      <a:fillRect/>
                    </a:stretch>
                  </pic:blipFill>
                  <pic:spPr bwMode="auto">
                    <a:xfrm>
                      <a:off x="0" y="0"/>
                      <a:ext cx="1527810" cy="8255"/>
                    </a:xfrm>
                    <a:prstGeom prst="rect">
                      <a:avLst/>
                    </a:prstGeom>
                    <a:noFill/>
                  </pic:spPr>
                </pic:pic>
              </a:graphicData>
            </a:graphic>
          </wp:anchor>
        </w:drawing>
      </w:r>
    </w:p>
    <w:p>
      <w:pPr>
        <w:ind w:left="340"/>
        <w:spacing w:after="0" w:line="204" w:lineRule="auto"/>
        <w:rPr>
          <w:sz w:val="20"/>
          <w:szCs w:val="20"/>
          <w:color w:val="auto"/>
        </w:rPr>
      </w:pPr>
      <w:r>
        <w:rPr>
          <w:rFonts w:ascii="Arial" w:cs="Arial" w:eastAsia="Arial" w:hAnsi="Arial"/>
          <w:sz w:val="22"/>
          <w:szCs w:val="22"/>
          <w:color w:val="auto"/>
        </w:rPr>
        <w:t>Name: David A. Kieske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Treasurer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[Signatures Continue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to Tenth Amendment to Regional Lease]</w:t>
      </w:r>
    </w:p>
    <w:p>
      <w:pPr>
        <w:sectPr>
          <w:pgSz w:w="11900" w:h="16838" w:orient="portrait"/>
          <w:cols w:equalWidth="0" w:num="1">
            <w:col w:w="11240"/>
          </w:cols>
          <w:pgMar w:left="320" w:top="1401" w:right="339" w:bottom="1440" w:gutter="0" w:footer="0" w:header="0"/>
        </w:sectPr>
      </w:pPr>
    </w:p>
    <w:bookmarkStart w:id="196" w:name="page197"/>
    <w:bookmarkEnd w:id="196"/>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TENANT: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CEOC, LLC</w:t>
      </w:r>
      <w:r>
        <w:rPr>
          <w:rFonts w:ascii="Arial" w:cs="Arial" w:eastAsia="Arial" w:hAnsi="Arial"/>
          <w:sz w:val="22"/>
          <w:szCs w:val="22"/>
          <w:color w:val="auto"/>
        </w:rPr>
        <w:t>, a Delaware limited liability company,</w:t>
      </w:r>
    </w:p>
    <w:p>
      <w:pPr>
        <w:spacing w:after="0" w:line="204" w:lineRule="auto"/>
        <w:rPr>
          <w:sz w:val="20"/>
          <w:szCs w:val="20"/>
          <w:color w:val="auto"/>
        </w:rPr>
      </w:pPr>
      <w:r>
        <w:rPr>
          <w:rFonts w:ascii="Arial" w:cs="Arial" w:eastAsia="Arial" w:hAnsi="Arial"/>
          <w:sz w:val="22"/>
          <w:szCs w:val="22"/>
          <w:b w:val="1"/>
          <w:bCs w:val="1"/>
          <w:color w:val="auto"/>
        </w:rPr>
        <w:t>HBR REALTY COMPANY LLC</w:t>
      </w:r>
      <w:r>
        <w:rPr>
          <w:rFonts w:ascii="Arial" w:cs="Arial" w:eastAsia="Arial" w:hAnsi="Arial"/>
          <w:sz w:val="22"/>
          <w:szCs w:val="22"/>
          <w:color w:val="auto"/>
        </w:rPr>
        <w:t>, a Nevada limited liability company,</w:t>
      </w:r>
    </w:p>
    <w:p>
      <w:pPr>
        <w:spacing w:after="0" w:line="205" w:lineRule="auto"/>
        <w:rPr>
          <w:sz w:val="20"/>
          <w:szCs w:val="20"/>
          <w:color w:val="auto"/>
        </w:rPr>
      </w:pPr>
      <w:r>
        <w:rPr>
          <w:rFonts w:ascii="Arial" w:cs="Arial" w:eastAsia="Arial" w:hAnsi="Arial"/>
          <w:sz w:val="22"/>
          <w:szCs w:val="22"/>
          <w:b w:val="1"/>
          <w:bCs w:val="1"/>
          <w:color w:val="auto"/>
        </w:rPr>
        <w:t>HARVEYS IOWA MANAGEMENT COMPANY LLC</w:t>
      </w:r>
      <w:r>
        <w:rPr>
          <w:rFonts w:ascii="Arial" w:cs="Arial" w:eastAsia="Arial" w:hAnsi="Arial"/>
          <w:sz w:val="22"/>
          <w:szCs w:val="22"/>
          <w:color w:val="auto"/>
        </w:rPr>
        <w:t>, a Nevada limited liability company,</w:t>
      </w:r>
    </w:p>
    <w:p>
      <w:pPr>
        <w:spacing w:after="0" w:line="215" w:lineRule="auto"/>
        <w:rPr>
          <w:sz w:val="20"/>
          <w:szCs w:val="20"/>
          <w:color w:val="auto"/>
        </w:rPr>
      </w:pPr>
      <w:r>
        <w:rPr>
          <w:rFonts w:ascii="Arial" w:cs="Arial" w:eastAsia="Arial" w:hAnsi="Arial"/>
          <w:sz w:val="21"/>
          <w:szCs w:val="21"/>
          <w:b w:val="1"/>
          <w:bCs w:val="1"/>
          <w:color w:val="auto"/>
        </w:rPr>
        <w:t>SOUTHERN ILLINOIS RIVERBOAT/CASINO CRUISES LLC</w:t>
      </w:r>
      <w:r>
        <w:rPr>
          <w:rFonts w:ascii="Arial" w:cs="Arial" w:eastAsia="Arial" w:hAnsi="Arial"/>
          <w:sz w:val="21"/>
          <w:szCs w:val="21"/>
          <w:color w:val="auto"/>
        </w:rPr>
        <w:t>, an Illinois limited liability company,</w:t>
      </w:r>
    </w:p>
    <w:p>
      <w:pPr>
        <w:spacing w:after="0" w:line="205" w:lineRule="auto"/>
        <w:rPr>
          <w:sz w:val="20"/>
          <w:szCs w:val="20"/>
          <w:color w:val="auto"/>
        </w:rPr>
      </w:pPr>
      <w:r>
        <w:rPr>
          <w:rFonts w:ascii="Arial" w:cs="Arial" w:eastAsia="Arial" w:hAnsi="Arial"/>
          <w:sz w:val="22"/>
          <w:szCs w:val="22"/>
          <w:b w:val="1"/>
          <w:bCs w:val="1"/>
          <w:color w:val="auto"/>
        </w:rPr>
        <w:t>HORSESHOE HAMMOND, LLC</w:t>
      </w:r>
      <w:r>
        <w:rPr>
          <w:rFonts w:ascii="Arial" w:cs="Arial" w:eastAsia="Arial" w:hAnsi="Arial"/>
          <w:sz w:val="22"/>
          <w:szCs w:val="22"/>
          <w:color w:val="auto"/>
        </w:rPr>
        <w:t>, an Indiana limited liability company,</w:t>
      </w:r>
    </w:p>
    <w:p>
      <w:pPr>
        <w:spacing w:after="0" w:line="205" w:lineRule="auto"/>
        <w:rPr>
          <w:sz w:val="20"/>
          <w:szCs w:val="20"/>
          <w:color w:val="auto"/>
        </w:rPr>
      </w:pPr>
      <w:r>
        <w:rPr>
          <w:rFonts w:ascii="Arial" w:cs="Arial" w:eastAsia="Arial" w:hAnsi="Arial"/>
          <w:sz w:val="22"/>
          <w:szCs w:val="22"/>
          <w:b w:val="1"/>
          <w:bCs w:val="1"/>
          <w:color w:val="auto"/>
        </w:rPr>
        <w:t>HARRAH’S NORTH KANSAS CITY LLC</w:t>
      </w:r>
      <w:r>
        <w:rPr>
          <w:rFonts w:ascii="Arial" w:cs="Arial" w:eastAsia="Arial" w:hAnsi="Arial"/>
          <w:sz w:val="22"/>
          <w:szCs w:val="22"/>
          <w:color w:val="auto"/>
        </w:rPr>
        <w:t>, a Missouri limited liability company,</w:t>
      </w:r>
    </w:p>
    <w:p>
      <w:pPr>
        <w:spacing w:after="0" w:line="205" w:lineRule="auto"/>
        <w:rPr>
          <w:sz w:val="20"/>
          <w:szCs w:val="20"/>
          <w:color w:val="auto"/>
        </w:rPr>
      </w:pPr>
      <w:r>
        <w:rPr>
          <w:rFonts w:ascii="Arial" w:cs="Arial" w:eastAsia="Arial" w:hAnsi="Arial"/>
          <w:sz w:val="22"/>
          <w:szCs w:val="22"/>
          <w:b w:val="1"/>
          <w:bCs w:val="1"/>
          <w:color w:val="auto"/>
        </w:rPr>
        <w:t>GRAND CASINOS OF BILOXI, LLC</w:t>
      </w:r>
      <w:r>
        <w:rPr>
          <w:rFonts w:ascii="Arial" w:cs="Arial" w:eastAsia="Arial" w:hAnsi="Arial"/>
          <w:sz w:val="22"/>
          <w:szCs w:val="22"/>
          <w:color w:val="auto"/>
        </w:rPr>
        <w:t>, a Minnesota limited liability company,</w:t>
      </w:r>
    </w:p>
    <w:p>
      <w:pPr>
        <w:spacing w:after="0" w:line="205" w:lineRule="auto"/>
        <w:rPr>
          <w:sz w:val="20"/>
          <w:szCs w:val="20"/>
          <w:color w:val="auto"/>
        </w:rPr>
      </w:pPr>
      <w:r>
        <w:rPr>
          <w:rFonts w:ascii="Arial" w:cs="Arial" w:eastAsia="Arial" w:hAnsi="Arial"/>
          <w:sz w:val="22"/>
          <w:szCs w:val="22"/>
          <w:b w:val="1"/>
          <w:bCs w:val="1"/>
          <w:color w:val="auto"/>
        </w:rPr>
        <w:t>ROBINSON PROPERTY GROUP LLC</w:t>
      </w:r>
      <w:r>
        <w:rPr>
          <w:rFonts w:ascii="Arial" w:cs="Arial" w:eastAsia="Arial" w:hAnsi="Arial"/>
          <w:sz w:val="22"/>
          <w:szCs w:val="22"/>
          <w:color w:val="auto"/>
        </w:rPr>
        <w:t>, a Mississippi limited liability company,</w:t>
      </w:r>
    </w:p>
    <w:p>
      <w:pPr>
        <w:spacing w:after="0" w:line="205" w:lineRule="auto"/>
        <w:rPr>
          <w:sz w:val="20"/>
          <w:szCs w:val="20"/>
          <w:color w:val="auto"/>
        </w:rPr>
      </w:pPr>
      <w:r>
        <w:rPr>
          <w:rFonts w:ascii="Arial" w:cs="Arial" w:eastAsia="Arial" w:hAnsi="Arial"/>
          <w:sz w:val="22"/>
          <w:szCs w:val="22"/>
          <w:b w:val="1"/>
          <w:bCs w:val="1"/>
          <w:color w:val="auto"/>
        </w:rPr>
        <w:t>TUNICA ROADHOUSE LLC</w:t>
      </w:r>
      <w:r>
        <w:rPr>
          <w:rFonts w:ascii="Arial" w:cs="Arial" w:eastAsia="Arial" w:hAnsi="Arial"/>
          <w:sz w:val="22"/>
          <w:szCs w:val="22"/>
          <w:color w:val="auto"/>
        </w:rPr>
        <w:t>, a Delaware limited liability company,</w:t>
      </w:r>
    </w:p>
    <w:p>
      <w:pPr>
        <w:spacing w:after="0" w:line="205" w:lineRule="auto"/>
        <w:rPr>
          <w:sz w:val="20"/>
          <w:szCs w:val="20"/>
          <w:color w:val="auto"/>
        </w:rPr>
      </w:pPr>
      <w:r>
        <w:rPr>
          <w:rFonts w:ascii="Arial" w:cs="Arial" w:eastAsia="Arial" w:hAnsi="Arial"/>
          <w:sz w:val="22"/>
          <w:szCs w:val="22"/>
          <w:b w:val="1"/>
          <w:bCs w:val="1"/>
          <w:color w:val="auto"/>
        </w:rPr>
        <w:t>CAESARS NEW JERSEY LLC</w:t>
      </w:r>
      <w:r>
        <w:rPr>
          <w:rFonts w:ascii="Arial" w:cs="Arial" w:eastAsia="Arial" w:hAnsi="Arial"/>
          <w:sz w:val="22"/>
          <w:szCs w:val="22"/>
          <w:color w:val="auto"/>
        </w:rPr>
        <w:t>, a New Jersey limited liability company,</w:t>
      </w:r>
    </w:p>
    <w:p>
      <w:pPr>
        <w:spacing w:after="0" w:line="205" w:lineRule="auto"/>
        <w:rPr>
          <w:sz w:val="20"/>
          <w:szCs w:val="20"/>
          <w:color w:val="auto"/>
        </w:rPr>
      </w:pPr>
      <w:r>
        <w:rPr>
          <w:rFonts w:ascii="Arial" w:cs="Arial" w:eastAsia="Arial" w:hAnsi="Arial"/>
          <w:sz w:val="22"/>
          <w:szCs w:val="22"/>
          <w:b w:val="1"/>
          <w:bCs w:val="1"/>
          <w:color w:val="auto"/>
        </w:rPr>
        <w:t>HARVEYS TAHOE MANAGEMENT COMPANY LLC</w:t>
      </w:r>
      <w:r>
        <w:rPr>
          <w:rFonts w:ascii="Arial" w:cs="Arial" w:eastAsia="Arial" w:hAnsi="Arial"/>
          <w:sz w:val="22"/>
          <w:szCs w:val="22"/>
          <w:color w:val="auto"/>
        </w:rPr>
        <w:t>, a Nevada limited liability company,</w:t>
      </w:r>
    </w:p>
    <w:p>
      <w:pPr>
        <w:spacing w:after="0" w:line="204" w:lineRule="auto"/>
        <w:rPr>
          <w:sz w:val="20"/>
          <w:szCs w:val="20"/>
          <w:color w:val="auto"/>
        </w:rPr>
      </w:pPr>
      <w:r>
        <w:rPr>
          <w:rFonts w:ascii="Arial" w:cs="Arial" w:eastAsia="Arial" w:hAnsi="Arial"/>
          <w:sz w:val="22"/>
          <w:szCs w:val="22"/>
          <w:b w:val="1"/>
          <w:bCs w:val="1"/>
          <w:color w:val="auto"/>
        </w:rPr>
        <w:t>CASINO COMPUTER PROGRAMMING, INC.</w:t>
      </w:r>
      <w:r>
        <w:rPr>
          <w:rFonts w:ascii="Arial" w:cs="Arial" w:eastAsia="Arial" w:hAnsi="Arial"/>
          <w:sz w:val="22"/>
          <w:szCs w:val="22"/>
          <w:color w:val="auto"/>
        </w:rPr>
        <w:t>, an Indiana corporation,</w:t>
      </w:r>
    </w:p>
    <w:p>
      <w:pPr>
        <w:spacing w:after="0" w:line="205" w:lineRule="auto"/>
        <w:rPr>
          <w:sz w:val="20"/>
          <w:szCs w:val="20"/>
          <w:color w:val="auto"/>
        </w:rPr>
      </w:pPr>
      <w:r>
        <w:rPr>
          <w:rFonts w:ascii="Arial" w:cs="Arial" w:eastAsia="Arial" w:hAnsi="Arial"/>
          <w:sz w:val="22"/>
          <w:szCs w:val="22"/>
          <w:b w:val="1"/>
          <w:bCs w:val="1"/>
          <w:color w:val="auto"/>
        </w:rPr>
        <w:t>HARVEYS BR MANAGEMENT COMPANY, INC.</w:t>
      </w:r>
      <w:r>
        <w:rPr>
          <w:rFonts w:ascii="Arial" w:cs="Arial" w:eastAsia="Arial" w:hAnsi="Arial"/>
          <w:sz w:val="22"/>
          <w:szCs w:val="22"/>
          <w:color w:val="auto"/>
        </w:rPr>
        <w:t>, a Nevada corporation,</w:t>
      </w:r>
    </w:p>
    <w:p>
      <w:pPr>
        <w:spacing w:after="0" w:line="205" w:lineRule="auto"/>
        <w:rPr>
          <w:sz w:val="20"/>
          <w:szCs w:val="20"/>
          <w:color w:val="auto"/>
        </w:rPr>
      </w:pPr>
      <w:r>
        <w:rPr>
          <w:rFonts w:ascii="Arial" w:cs="Arial" w:eastAsia="Arial" w:hAnsi="Arial"/>
          <w:sz w:val="22"/>
          <w:szCs w:val="22"/>
          <w:b w:val="1"/>
          <w:bCs w:val="1"/>
          <w:color w:val="auto"/>
        </w:rPr>
        <w:t>HARRAH’S LAUGHLIN, LLC</w:t>
      </w:r>
      <w:r>
        <w:rPr>
          <w:rFonts w:ascii="Arial" w:cs="Arial" w:eastAsia="Arial" w:hAnsi="Arial"/>
          <w:sz w:val="22"/>
          <w:szCs w:val="22"/>
          <w:color w:val="auto"/>
        </w:rPr>
        <w:t>, a Nevada limited liability company,</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JAZZ CASINO COMPANY, L.L.C.</w:t>
      </w:r>
      <w:r>
        <w:rPr>
          <w:rFonts w:ascii="Arial" w:cs="Arial" w:eastAsia="Arial" w:hAnsi="Arial"/>
          <w:sz w:val="22"/>
          <w:szCs w:val="22"/>
          <w:color w:val="auto"/>
        </w:rPr>
        <w:t>, a Louisiana limited liability company</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-5715</wp:posOffset>
            </wp:positionV>
            <wp:extent cx="14439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4">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2"/>
          <w:szCs w:val="22"/>
          <w:color w:val="auto"/>
        </w:rPr>
        <w:t>Name: Bret D. Yunker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Chief Financial Officer</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HORSESHOE ENTERTAINMENT,</w:t>
      </w:r>
    </w:p>
    <w:p>
      <w:pPr>
        <w:spacing w:after="0"/>
        <w:rPr>
          <w:sz w:val="20"/>
          <w:szCs w:val="20"/>
          <w:color w:val="auto"/>
        </w:rPr>
      </w:pPr>
      <w:r>
        <w:rPr>
          <w:rFonts w:ascii="Arial" w:cs="Arial" w:eastAsia="Arial" w:hAnsi="Arial"/>
          <w:sz w:val="22"/>
          <w:szCs w:val="22"/>
          <w:color w:val="auto"/>
        </w:rPr>
        <w:t>a Louisiana limited partnership</w:t>
      </w:r>
    </w:p>
    <w:p>
      <w:pPr>
        <w:spacing w:after="0" w:line="16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New Gaming Capital Partnership,</w:t>
      </w:r>
    </w:p>
    <w:p>
      <w:pPr>
        <w:ind w:left="220"/>
        <w:spacing w:after="0" w:line="204" w:lineRule="auto"/>
        <w:rPr>
          <w:sz w:val="20"/>
          <w:szCs w:val="20"/>
          <w:color w:val="auto"/>
        </w:rPr>
      </w:pPr>
      <w:r>
        <w:rPr>
          <w:rFonts w:ascii="Arial" w:cs="Arial" w:eastAsia="Arial" w:hAnsi="Arial"/>
          <w:sz w:val="22"/>
          <w:szCs w:val="22"/>
          <w:color w:val="auto"/>
        </w:rPr>
        <w:t>a Nevada limited partnership,</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its general partner</w:t>
      </w:r>
    </w:p>
    <w:p>
      <w:pPr>
        <w:spacing w:after="0" w:line="169" w:lineRule="exact"/>
        <w:rPr>
          <w:sz w:val="20"/>
          <w:szCs w:val="20"/>
          <w:color w:val="auto"/>
        </w:rPr>
      </w:pPr>
    </w:p>
    <w:p>
      <w:pPr>
        <w:ind w:left="220"/>
        <w:spacing w:after="0"/>
        <w:tabs>
          <w:tab w:leader="none" w:pos="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Horseshoe GP, LLC,</w:t>
      </w:r>
    </w:p>
    <w:p>
      <w:pPr>
        <w:ind w:left="440"/>
        <w:spacing w:after="0" w:line="204" w:lineRule="auto"/>
        <w:rPr>
          <w:sz w:val="20"/>
          <w:szCs w:val="20"/>
          <w:color w:val="auto"/>
        </w:rPr>
      </w:pPr>
      <w:r>
        <w:rPr>
          <w:rFonts w:ascii="Arial" w:cs="Arial" w:eastAsia="Arial" w:hAnsi="Arial"/>
          <w:sz w:val="22"/>
          <w:szCs w:val="22"/>
          <w:color w:val="auto"/>
        </w:rPr>
        <w:t>a Nevada limited liability company,</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its general partner</w:t>
      </w:r>
    </w:p>
    <w:p>
      <w:pPr>
        <w:spacing w:after="0" w:line="200" w:lineRule="exact"/>
        <w:rPr>
          <w:sz w:val="20"/>
          <w:szCs w:val="20"/>
          <w:color w:val="auto"/>
        </w:rPr>
      </w:pPr>
    </w:p>
    <w:p>
      <w:pPr>
        <w:spacing w:after="0" w:line="21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-5715</wp:posOffset>
            </wp:positionV>
            <wp:extent cx="144399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5">
                      <a:extLst>
                        <a:ext uri="{28A0092B-C50C-407E-A947-70E740481C1C}"/>
                      </a:extLst>
                    </a:blip>
                    <a:srcRect/>
                    <a:stretch>
                      <a:fillRect/>
                    </a:stretch>
                  </pic:blipFill>
                  <pic:spPr bwMode="auto">
                    <a:xfrm>
                      <a:off x="0" y="0"/>
                      <a:ext cx="1443990" cy="8890"/>
                    </a:xfrm>
                    <a:prstGeom prst="rect">
                      <a:avLst/>
                    </a:prstGeom>
                    <a:noFill/>
                  </pic:spPr>
                </pic:pic>
              </a:graphicData>
            </a:graphic>
          </wp:anchor>
        </w:drawing>
      </w:r>
    </w:p>
    <w:p>
      <w:pPr>
        <w:ind w:left="440"/>
        <w:spacing w:after="0" w:line="204" w:lineRule="auto"/>
        <w:rPr>
          <w:sz w:val="20"/>
          <w:szCs w:val="20"/>
          <w:color w:val="auto"/>
        </w:rPr>
      </w:pPr>
      <w:r>
        <w:rPr>
          <w:rFonts w:ascii="Arial" w:cs="Arial" w:eastAsia="Arial" w:hAnsi="Arial"/>
          <w:sz w:val="22"/>
          <w:szCs w:val="22"/>
          <w:color w:val="auto"/>
        </w:rPr>
        <w:t>Name: Bret D. Yunker</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Title: Chief Financial Officer</w:t>
      </w: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BOARDWALK REGENCY LLC,</w:t>
      </w:r>
    </w:p>
    <w:p>
      <w:pPr>
        <w:spacing w:after="0"/>
        <w:rPr>
          <w:sz w:val="20"/>
          <w:szCs w:val="20"/>
          <w:color w:val="auto"/>
        </w:rPr>
      </w:pPr>
      <w:r>
        <w:rPr>
          <w:rFonts w:ascii="Arial" w:cs="Arial" w:eastAsia="Arial" w:hAnsi="Arial"/>
          <w:sz w:val="22"/>
          <w:szCs w:val="22"/>
          <w:color w:val="auto"/>
        </w:rPr>
        <w:t>a New Jersey limited liability company</w:t>
      </w:r>
    </w:p>
    <w:p>
      <w:pPr>
        <w:spacing w:after="0" w:line="16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Caesars New Jersey LLC,</w:t>
      </w:r>
    </w:p>
    <w:p>
      <w:pPr>
        <w:ind w:left="220"/>
        <w:spacing w:after="0" w:line="204" w:lineRule="auto"/>
        <w:rPr>
          <w:sz w:val="20"/>
          <w:szCs w:val="20"/>
          <w:color w:val="auto"/>
        </w:rPr>
      </w:pPr>
      <w:r>
        <w:rPr>
          <w:rFonts w:ascii="Arial" w:cs="Arial" w:eastAsia="Arial" w:hAnsi="Arial"/>
          <w:sz w:val="22"/>
          <w:szCs w:val="22"/>
          <w:color w:val="auto"/>
        </w:rPr>
        <w:t>a New Jersey limited liability company,</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-5715</wp:posOffset>
            </wp:positionV>
            <wp:extent cx="14439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6">
                      <a:extLst>
                        <a:ext uri="{28A0092B-C50C-407E-A947-70E740481C1C}"/>
                      </a:extLst>
                    </a:blip>
                    <a:srcRect/>
                    <a:stretch>
                      <a:fillRect/>
                    </a:stretch>
                  </pic:blipFill>
                  <pic:spPr bwMode="auto">
                    <a:xfrm>
                      <a:off x="0" y="0"/>
                      <a:ext cx="1443990" cy="8890"/>
                    </a:xfrm>
                    <a:prstGeom prst="rect">
                      <a:avLst/>
                    </a:prstGeom>
                    <a:noFill/>
                  </pic:spPr>
                </pic:pic>
              </a:graphicData>
            </a:graphic>
          </wp:anchor>
        </w:drawing>
      </w:r>
    </w:p>
    <w:p>
      <w:pPr>
        <w:ind w:left="220"/>
        <w:spacing w:after="0" w:line="204" w:lineRule="auto"/>
        <w:rPr>
          <w:sz w:val="20"/>
          <w:szCs w:val="20"/>
          <w:color w:val="auto"/>
        </w:rPr>
      </w:pPr>
      <w:r>
        <w:rPr>
          <w:rFonts w:ascii="Arial" w:cs="Arial" w:eastAsia="Arial" w:hAnsi="Arial"/>
          <w:sz w:val="22"/>
          <w:szCs w:val="22"/>
          <w:color w:val="auto"/>
        </w:rPr>
        <w:t>Name: Bret D. Yunker</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Title: Chief Financial Officer</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160"/>
        <w:spacing w:after="0"/>
        <w:rPr>
          <w:sz w:val="20"/>
          <w:szCs w:val="20"/>
          <w:color w:val="auto"/>
        </w:rPr>
      </w:pPr>
      <w:r>
        <w:rPr>
          <w:rFonts w:ascii="Arial" w:cs="Arial" w:eastAsia="Arial" w:hAnsi="Arial"/>
          <w:sz w:val="19"/>
          <w:szCs w:val="19"/>
          <w:color w:val="auto"/>
        </w:rPr>
        <w:t>[Signature Page to Tenth Amendment to Regional Lease]</w:t>
      </w:r>
    </w:p>
    <w:p>
      <w:pPr>
        <w:sectPr>
          <w:pgSz w:w="11900" w:h="16838" w:orient="portrait"/>
          <w:cols w:equalWidth="0" w:num="1">
            <w:col w:w="10139"/>
          </w:cols>
          <w:pgMar w:left="320" w:top="1440" w:right="1440" w:bottom="1440" w:gutter="0" w:footer="0" w:header="0"/>
          <w:type w:val="continuous"/>
        </w:sectPr>
      </w:pPr>
    </w:p>
    <w:bookmarkStart w:id="197" w:name="page198"/>
    <w:bookmarkEnd w:id="197"/>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HOLE IN THE WALL, LLC,</w:t>
      </w:r>
    </w:p>
    <w:p>
      <w:pPr>
        <w:spacing w:after="0"/>
        <w:rPr>
          <w:sz w:val="20"/>
          <w:szCs w:val="20"/>
          <w:color w:val="auto"/>
        </w:rPr>
      </w:pPr>
      <w:r>
        <w:rPr>
          <w:rFonts w:ascii="Arial" w:cs="Arial" w:eastAsia="Arial" w:hAnsi="Arial"/>
          <w:sz w:val="22"/>
          <w:szCs w:val="22"/>
          <w:color w:val="auto"/>
        </w:rPr>
        <w:t>a Nevada limited liability company</w:t>
      </w:r>
    </w:p>
    <w:p>
      <w:pPr>
        <w:spacing w:after="0" w:line="169"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CEOC, LLC,</w:t>
      </w:r>
    </w:p>
    <w:p>
      <w:pPr>
        <w:ind w:left="220"/>
        <w:spacing w:after="0" w:line="204" w:lineRule="auto"/>
        <w:rPr>
          <w:sz w:val="20"/>
          <w:szCs w:val="20"/>
          <w:color w:val="auto"/>
        </w:rPr>
      </w:pPr>
      <w:r>
        <w:rPr>
          <w:rFonts w:ascii="Arial" w:cs="Arial" w:eastAsia="Arial" w:hAnsi="Arial"/>
          <w:sz w:val="22"/>
          <w:szCs w:val="22"/>
          <w:color w:val="auto"/>
        </w:rPr>
        <w:t>a Delaware limited liability company,</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-5715</wp:posOffset>
            </wp:positionV>
            <wp:extent cx="144399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7">
                      <a:extLst>
                        <a:ext uri="{28A0092B-C50C-407E-A947-70E740481C1C}"/>
                      </a:extLst>
                    </a:blip>
                    <a:srcRect/>
                    <a:stretch>
                      <a:fillRect/>
                    </a:stretch>
                  </pic:blipFill>
                  <pic:spPr bwMode="auto">
                    <a:xfrm>
                      <a:off x="0" y="0"/>
                      <a:ext cx="1443990" cy="8890"/>
                    </a:xfrm>
                    <a:prstGeom prst="rect">
                      <a:avLst/>
                    </a:prstGeom>
                    <a:noFill/>
                  </pic:spPr>
                </pic:pic>
              </a:graphicData>
            </a:graphic>
          </wp:anchor>
        </w:drawing>
      </w:r>
    </w:p>
    <w:p>
      <w:pPr>
        <w:ind w:left="220"/>
        <w:spacing w:after="0" w:line="204" w:lineRule="auto"/>
        <w:rPr>
          <w:sz w:val="20"/>
          <w:szCs w:val="20"/>
          <w:color w:val="auto"/>
        </w:rPr>
      </w:pPr>
      <w:r>
        <w:rPr>
          <w:rFonts w:ascii="Arial" w:cs="Arial" w:eastAsia="Arial" w:hAnsi="Arial"/>
          <w:sz w:val="22"/>
          <w:szCs w:val="22"/>
          <w:color w:val="auto"/>
        </w:rPr>
        <w:t>Name: Bret D. Yunker</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CHESTER DOWNS AND MARINA, LLC,</w:t>
      </w:r>
    </w:p>
    <w:p>
      <w:pPr>
        <w:spacing w:after="0"/>
        <w:rPr>
          <w:sz w:val="20"/>
          <w:szCs w:val="20"/>
          <w:color w:val="auto"/>
        </w:rPr>
      </w:pPr>
      <w:r>
        <w:rPr>
          <w:rFonts w:ascii="Arial" w:cs="Arial" w:eastAsia="Arial" w:hAnsi="Arial"/>
          <w:sz w:val="22"/>
          <w:szCs w:val="22"/>
          <w:color w:val="auto"/>
        </w:rPr>
        <w:t>a Pennsylvania limited liability company</w:t>
      </w:r>
    </w:p>
    <w:p>
      <w:pPr>
        <w:spacing w:after="0" w:line="188" w:lineRule="exact"/>
        <w:rPr>
          <w:sz w:val="20"/>
          <w:szCs w:val="20"/>
          <w:color w:val="auto"/>
        </w:rPr>
      </w:pPr>
    </w:p>
    <w:p>
      <w:pPr>
        <w:ind w:left="220" w:right="5019" w:hanging="215"/>
        <w:spacing w:after="0" w:line="232" w:lineRule="auto"/>
        <w:rPr>
          <w:sz w:val="20"/>
          <w:szCs w:val="20"/>
          <w:color w:val="auto"/>
        </w:rPr>
      </w:pPr>
      <w:r>
        <w:rPr>
          <w:rFonts w:ascii="Arial" w:cs="Arial" w:eastAsia="Arial" w:hAnsi="Arial"/>
          <w:sz w:val="22"/>
          <w:szCs w:val="22"/>
          <w:color w:val="auto"/>
        </w:rPr>
        <w:t>By:</w:t>
      </w:r>
      <w:r>
        <w:rPr>
          <w:sz w:val="20"/>
          <w:szCs w:val="20"/>
          <w:color w:val="auto"/>
        </w:rPr>
        <w:t xml:space="preserve"> </w:t>
      </w:r>
      <w:r>
        <w:rPr>
          <w:rFonts w:ascii="Arial" w:cs="Arial" w:eastAsia="Arial" w:hAnsi="Arial"/>
          <w:sz w:val="22"/>
          <w:szCs w:val="22"/>
          <w:color w:val="auto"/>
        </w:rPr>
        <w:t>Harrah’s Chester Downs Investment Company, LLC, its sole member</w:t>
      </w:r>
    </w:p>
    <w:p>
      <w:pPr>
        <w:spacing w:after="0" w:line="200" w:lineRule="exact"/>
        <w:rPr>
          <w:sz w:val="20"/>
          <w:szCs w:val="20"/>
          <w:color w:val="auto"/>
        </w:rPr>
      </w:pPr>
    </w:p>
    <w:p>
      <w:pPr>
        <w:spacing w:after="0" w:line="21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-5715</wp:posOffset>
            </wp:positionV>
            <wp:extent cx="144399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8">
                      <a:extLst>
                        <a:ext uri="{28A0092B-C50C-407E-A947-70E740481C1C}"/>
                      </a:extLst>
                    </a:blip>
                    <a:srcRect/>
                    <a:stretch>
                      <a:fillRect/>
                    </a:stretch>
                  </pic:blipFill>
                  <pic:spPr bwMode="auto">
                    <a:xfrm>
                      <a:off x="0" y="0"/>
                      <a:ext cx="1443990" cy="8890"/>
                    </a:xfrm>
                    <a:prstGeom prst="rect">
                      <a:avLst/>
                    </a:prstGeom>
                    <a:noFill/>
                  </pic:spPr>
                </pic:pic>
              </a:graphicData>
            </a:graphic>
          </wp:anchor>
        </w:drawing>
      </w:r>
    </w:p>
    <w:p>
      <w:pPr>
        <w:ind w:left="220"/>
        <w:spacing w:after="0" w:line="204" w:lineRule="auto"/>
        <w:rPr>
          <w:sz w:val="20"/>
          <w:szCs w:val="20"/>
          <w:color w:val="auto"/>
        </w:rPr>
      </w:pPr>
      <w:r>
        <w:rPr>
          <w:rFonts w:ascii="Arial" w:cs="Arial" w:eastAsia="Arial" w:hAnsi="Arial"/>
          <w:sz w:val="22"/>
          <w:szCs w:val="22"/>
          <w:color w:val="auto"/>
        </w:rPr>
        <w:t>Name: Bret D. Yunker</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Title: Chief Financial Officer</w:t>
      </w:r>
    </w:p>
    <w:p>
      <w:pPr>
        <w:spacing w:after="0" w:line="371" w:lineRule="exact"/>
        <w:rPr>
          <w:sz w:val="20"/>
          <w:szCs w:val="20"/>
          <w:color w:val="auto"/>
        </w:rPr>
      </w:pPr>
    </w:p>
    <w:p>
      <w:pPr>
        <w:ind w:right="4099"/>
        <w:spacing w:after="0" w:line="235" w:lineRule="auto"/>
        <w:rPr>
          <w:sz w:val="20"/>
          <w:szCs w:val="20"/>
          <w:color w:val="auto"/>
        </w:rPr>
      </w:pPr>
      <w:r>
        <w:rPr>
          <w:rFonts w:ascii="Arial" w:cs="Arial" w:eastAsia="Arial" w:hAnsi="Arial"/>
          <w:sz w:val="22"/>
          <w:szCs w:val="22"/>
          <w:b w:val="1"/>
          <w:bCs w:val="1"/>
          <w:color w:val="auto"/>
        </w:rPr>
        <w:t xml:space="preserve">HARRAH’S ATLANTIC CITY OPERATING COMPANY, LLC, </w:t>
      </w:r>
      <w:r>
        <w:rPr>
          <w:rFonts w:ascii="Arial" w:cs="Arial" w:eastAsia="Arial" w:hAnsi="Arial"/>
          <w:sz w:val="22"/>
          <w:szCs w:val="22"/>
          <w:color w:val="auto"/>
        </w:rPr>
        <w:t>a New Jersey limited liability company</w:t>
      </w:r>
    </w:p>
    <w:p>
      <w:pPr>
        <w:spacing w:after="0" w:line="167"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Caesars Resort Collection, LLC,</w:t>
      </w:r>
    </w:p>
    <w:p>
      <w:pPr>
        <w:ind w:left="220"/>
        <w:spacing w:after="0" w:line="204" w:lineRule="auto"/>
        <w:rPr>
          <w:sz w:val="20"/>
          <w:szCs w:val="20"/>
          <w:color w:val="auto"/>
        </w:rPr>
      </w:pPr>
      <w:r>
        <w:rPr>
          <w:rFonts w:ascii="Arial" w:cs="Arial" w:eastAsia="Arial" w:hAnsi="Arial"/>
          <w:sz w:val="22"/>
          <w:szCs w:val="22"/>
          <w:color w:val="auto"/>
        </w:rPr>
        <w:t>a Delaware limited liability company,</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-5715</wp:posOffset>
            </wp:positionV>
            <wp:extent cx="14439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9">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ind w:left="220"/>
        <w:spacing w:after="0" w:line="204" w:lineRule="auto"/>
        <w:rPr>
          <w:sz w:val="20"/>
          <w:szCs w:val="20"/>
          <w:color w:val="auto"/>
        </w:rPr>
      </w:pPr>
      <w:r>
        <w:rPr>
          <w:rFonts w:ascii="Arial" w:cs="Arial" w:eastAsia="Arial" w:hAnsi="Arial"/>
          <w:sz w:val="22"/>
          <w:szCs w:val="22"/>
          <w:color w:val="auto"/>
        </w:rPr>
        <w:t>Name: Bret D. Yunker</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ind w:right="2039"/>
        <w:spacing w:after="0"/>
        <w:rPr>
          <w:sz w:val="20"/>
          <w:szCs w:val="20"/>
          <w:color w:val="auto"/>
        </w:rPr>
      </w:pPr>
      <w:r>
        <w:rPr>
          <w:rFonts w:ascii="Arial" w:cs="Arial" w:eastAsia="Arial" w:hAnsi="Arial"/>
          <w:sz w:val="22"/>
          <w:szCs w:val="22"/>
          <w:color w:val="auto"/>
        </w:rPr>
        <w:t>[Signature Page to Tenth Amendment to Regional Lease]</w:t>
      </w:r>
    </w:p>
    <w:p>
      <w:pPr>
        <w:sectPr>
          <w:pgSz w:w="11900" w:h="16838" w:orient="portrait"/>
          <w:cols w:equalWidth="0" w:num="1">
            <w:col w:w="10139"/>
          </w:cols>
          <w:pgMar w:left="320" w:top="1440" w:right="1440" w:bottom="1440" w:gutter="0" w:footer="0" w:header="0"/>
        </w:sectPr>
      </w:pPr>
    </w:p>
    <w:bookmarkStart w:id="198" w:name="page199"/>
    <w:bookmarkEnd w:id="198"/>
    <w:p>
      <w:pPr>
        <w:spacing w:after="0"/>
        <w:rPr>
          <w:sz w:val="20"/>
          <w:szCs w:val="20"/>
          <w:color w:val="auto"/>
        </w:rPr>
      </w:pPr>
      <w:r>
        <w:rPr>
          <w:rFonts w:ascii="Arial" w:cs="Arial" w:eastAsia="Arial" w:hAnsi="Arial"/>
          <w:sz w:val="19"/>
          <w:szCs w:val="19"/>
          <w:color w:val="auto"/>
        </w:rPr>
        <w:t xml:space="preserve">Acknowledged and agreed, solely for the purposes of the penultimate paragraph of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of the Lease:</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PROPCO TRS LLC,</w:t>
      </w:r>
    </w:p>
    <w:p>
      <w:pPr>
        <w:spacing w:after="0"/>
        <w:rPr>
          <w:sz w:val="20"/>
          <w:szCs w:val="20"/>
          <w:color w:val="auto"/>
        </w:rPr>
      </w:pPr>
      <w:r>
        <w:rPr>
          <w:rFonts w:ascii="Arial" w:cs="Arial" w:eastAsia="Arial" w:hAnsi="Arial"/>
          <w:sz w:val="22"/>
          <w:szCs w:val="22"/>
          <w:color w:val="auto"/>
        </w:rPr>
        <w:t>a Delaware limited liability company</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By: /s/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-5715</wp:posOffset>
            </wp:positionV>
            <wp:extent cx="139065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0">
                      <a:extLst>
                        <a:ext uri="{28A0092B-C50C-407E-A947-70E740481C1C}"/>
                      </a:extLst>
                    </a:blip>
                    <a:srcRect/>
                    <a:stretch>
                      <a:fillRect/>
                    </a:stretch>
                  </pic:blipFill>
                  <pic:spPr bwMode="auto">
                    <a:xfrm>
                      <a:off x="0" y="0"/>
                      <a:ext cx="1390650" cy="8255"/>
                    </a:xfrm>
                    <a:prstGeom prst="rect">
                      <a:avLst/>
                    </a:prstGeom>
                    <a:noFill/>
                  </pic:spPr>
                </pic:pic>
              </a:graphicData>
            </a:graphic>
          </wp:anchor>
        </w:drawing>
      </w:r>
    </w:p>
    <w:p>
      <w:pPr>
        <w:ind w:left="340"/>
        <w:spacing w:after="0" w:line="204" w:lineRule="auto"/>
        <w:rPr>
          <w:sz w:val="20"/>
          <w:szCs w:val="20"/>
          <w:color w:val="auto"/>
        </w:rPr>
      </w:pPr>
      <w:r>
        <w:rPr>
          <w:rFonts w:ascii="Arial" w:cs="Arial" w:eastAsia="Arial" w:hAnsi="Arial"/>
          <w:sz w:val="22"/>
          <w:szCs w:val="22"/>
          <w:color w:val="auto"/>
        </w:rPr>
        <w:t>Name: David A. Kieske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[Signature Page to Tenth Amendment to Regional Lease]</w:t>
      </w:r>
    </w:p>
    <w:p>
      <w:pPr>
        <w:sectPr>
          <w:pgSz w:w="11900" w:h="16838" w:orient="portrait"/>
          <w:cols w:equalWidth="0" w:num="1">
            <w:col w:w="10139"/>
          </w:cols>
          <w:pgMar w:left="320" w:top="1401" w:right="1440" w:bottom="1440" w:gutter="0" w:footer="0" w:header="0"/>
        </w:sectPr>
      </w:pPr>
    </w:p>
    <w:bookmarkStart w:id="199" w:name="page200"/>
    <w:bookmarkEnd w:id="199"/>
    <w:p>
      <w:pPr>
        <w:jc w:val="center"/>
        <w:spacing w:after="0"/>
        <w:rPr>
          <w:sz w:val="20"/>
          <w:szCs w:val="20"/>
          <w:color w:val="auto"/>
        </w:rPr>
      </w:pPr>
      <w:r>
        <w:rPr>
          <w:rFonts w:ascii="Arial" w:cs="Arial" w:eastAsia="Arial" w:hAnsi="Arial"/>
          <w:sz w:val="22"/>
          <w:szCs w:val="22"/>
          <w:b w:val="1"/>
          <w:bCs w:val="1"/>
          <w:color w:val="auto"/>
        </w:rPr>
        <w:t>ACKNOWLEDGMENT AND AGREEMENT OF GUARANTOR</w:t>
      </w:r>
    </w:p>
    <w:p>
      <w:pPr>
        <w:spacing w:after="0" w:line="185" w:lineRule="exact"/>
        <w:rPr>
          <w:sz w:val="20"/>
          <w:szCs w:val="20"/>
          <w:color w:val="auto"/>
        </w:rPr>
      </w:pPr>
    </w:p>
    <w:p>
      <w:pPr>
        <w:jc w:val="both"/>
        <w:spacing w:after="0" w:line="221" w:lineRule="auto"/>
        <w:rPr>
          <w:sz w:val="20"/>
          <w:szCs w:val="20"/>
          <w:color w:val="auto"/>
        </w:rPr>
      </w:pPr>
      <w:r>
        <w:rPr>
          <w:rFonts w:ascii="Arial" w:cs="Arial" w:eastAsia="Arial" w:hAnsi="Arial"/>
          <w:sz w:val="21"/>
          <w:szCs w:val="21"/>
          <w:color w:val="auto"/>
        </w:rPr>
        <w:t>The undersigned (“</w:t>
      </w:r>
      <w:r>
        <w:rPr>
          <w:rFonts w:ascii="Arial" w:cs="Arial" w:eastAsia="Arial" w:hAnsi="Arial"/>
          <w:sz w:val="21"/>
          <w:szCs w:val="21"/>
          <w:u w:val="single" w:color="auto"/>
          <w:color w:val="auto"/>
        </w:rPr>
        <w:t>Guarantor</w:t>
      </w:r>
      <w:r>
        <w:rPr>
          <w:rFonts w:ascii="Arial" w:cs="Arial" w:eastAsia="Arial" w:hAnsi="Arial"/>
          <w:sz w:val="21"/>
          <w:szCs w:val="21"/>
          <w:color w:val="auto"/>
        </w:rPr>
        <w:t>”) hereby: (a) acknowledges receipt of the Tenth Amendment to Lease (the “</w:t>
      </w:r>
      <w:r>
        <w:rPr>
          <w:rFonts w:ascii="Arial" w:cs="Arial" w:eastAsia="Arial" w:hAnsi="Arial"/>
          <w:sz w:val="21"/>
          <w:szCs w:val="21"/>
          <w:u w:val="single" w:color="auto"/>
          <w:color w:val="auto"/>
        </w:rPr>
        <w:t>Amendment</w:t>
      </w:r>
      <w:r>
        <w:rPr>
          <w:rFonts w:ascii="Arial" w:cs="Arial" w:eastAsia="Arial" w:hAnsi="Arial"/>
          <w:sz w:val="21"/>
          <w:szCs w:val="21"/>
          <w:color w:val="auto"/>
        </w:rPr>
        <w:t xml:space="preserve">”; capitalized terms used herein without definition having the meanings set forth in the Amendment), dated as of December 30, 2021, by and among the entities listed on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attached thereto, as Landlord, and the entities listed on </w:t>
      </w:r>
      <w:r>
        <w:rPr>
          <w:rFonts w:ascii="Arial" w:cs="Arial" w:eastAsia="Arial" w:hAnsi="Arial"/>
          <w:sz w:val="21"/>
          <w:szCs w:val="21"/>
          <w:u w:val="single" w:color="auto"/>
          <w:color w:val="auto"/>
        </w:rPr>
        <w:t>Schedule B</w:t>
      </w:r>
      <w:r>
        <w:rPr>
          <w:rFonts w:ascii="Arial" w:cs="Arial" w:eastAsia="Arial" w:hAnsi="Arial"/>
          <w:sz w:val="21"/>
          <w:szCs w:val="21"/>
          <w:color w:val="auto"/>
        </w:rPr>
        <w:t xml:space="preserve"> attached thereto, as Tenant, and the other parties party thereto; (b) consents to the terms and execution thereof; (c) ratifies and reaffirms Guarantor’s obligations to Landlord pursuant to the terms of that certain Guaranty of Lease, dated as of July 20, 2020 (the “</w:t>
      </w:r>
      <w:r>
        <w:rPr>
          <w:rFonts w:ascii="Arial" w:cs="Arial" w:eastAsia="Arial" w:hAnsi="Arial"/>
          <w:sz w:val="21"/>
          <w:szCs w:val="21"/>
          <w:u w:val="single" w:color="auto"/>
          <w:color w:val="auto"/>
        </w:rPr>
        <w:t>Guaranty</w:t>
      </w:r>
      <w:r>
        <w:rPr>
          <w:rFonts w:ascii="Arial" w:cs="Arial" w:eastAsia="Arial" w:hAnsi="Arial"/>
          <w:sz w:val="21"/>
          <w:szCs w:val="21"/>
          <w:color w:val="auto"/>
        </w:rPr>
        <w:t xml:space="preserve">”), by and between Guarantor and Landlord, and agrees that, except as expressly set forth in </w:t>
      </w:r>
      <w:r>
        <w:rPr>
          <w:rFonts w:ascii="Arial" w:cs="Arial" w:eastAsia="Arial" w:hAnsi="Arial"/>
          <w:sz w:val="21"/>
          <w:szCs w:val="21"/>
          <w:u w:val="single" w:color="auto"/>
          <w:color w:val="auto"/>
        </w:rPr>
        <w:t>Section 2.A.ii</w:t>
      </w:r>
      <w:r>
        <w:rPr>
          <w:rFonts w:ascii="Arial" w:cs="Arial" w:eastAsia="Arial" w:hAnsi="Arial"/>
          <w:sz w:val="21"/>
          <w:szCs w:val="21"/>
          <w:color w:val="auto"/>
        </w:rPr>
        <w:t xml:space="preserve"> of the Amendment, nothing in the Amendment in any way impairs or lessens the Guarantor’s obligations under the Guaranty; and (d) acknowledges and agrees that the Guaranty is in full force and effect and is valid, binding and enforceable in accordance with its terms.</w:t>
      </w:r>
    </w:p>
    <w:p>
      <w:pPr>
        <w:spacing w:after="0" w:line="159"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IN WITNESS WHEREOF, the undersigned has caused this Acknowledgment and Agreement of Guarantor to be duly executed as of December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[Acknowledgment and Agreement of Guarantor]</w:t>
      </w:r>
    </w:p>
    <w:p>
      <w:pPr>
        <w:sectPr>
          <w:pgSz w:w="11900" w:h="16838" w:orient="portrait"/>
          <w:cols w:equalWidth="0" w:num="1">
            <w:col w:w="11240"/>
          </w:cols>
          <w:pgMar w:left="320" w:top="1395" w:right="339" w:bottom="1440" w:gutter="0" w:footer="0" w:header="0"/>
        </w:sectPr>
      </w:pPr>
    </w:p>
    <w:bookmarkStart w:id="200" w:name="page201"/>
    <w:bookmarkEnd w:id="200"/>
    <w:p>
      <w:pPr>
        <w:spacing w:after="0"/>
        <w:rPr>
          <w:sz w:val="20"/>
          <w:szCs w:val="20"/>
          <w:color w:val="auto"/>
        </w:rPr>
      </w:pPr>
      <w:r>
        <w:rPr>
          <w:rFonts w:ascii="Arial" w:cs="Arial" w:eastAsia="Arial" w:hAnsi="Arial"/>
          <w:sz w:val="22"/>
          <w:szCs w:val="22"/>
          <w:b w:val="1"/>
          <w:bCs w:val="1"/>
          <w:color w:val="auto"/>
        </w:rPr>
        <w:t>CAESARS ENTERTAINMENT, INC.</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By: /s/ Bret D.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-5715</wp:posOffset>
            </wp:positionV>
            <wp:extent cx="130683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1">
                      <a:extLst>
                        <a:ext uri="{28A0092B-C50C-407E-A947-70E740481C1C}"/>
                      </a:extLst>
                    </a:blip>
                    <a:srcRect/>
                    <a:stretch>
                      <a:fillRect/>
                    </a:stretch>
                  </pic:blipFill>
                  <pic:spPr bwMode="auto">
                    <a:xfrm>
                      <a:off x="0" y="0"/>
                      <a:ext cx="1306830" cy="8255"/>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2"/>
          <w:szCs w:val="22"/>
          <w:color w:val="auto"/>
        </w:rPr>
        <w:t>Name: Bret D. Yunker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2399"/>
        <w:spacing w:after="0"/>
        <w:rPr>
          <w:sz w:val="20"/>
          <w:szCs w:val="20"/>
          <w:color w:val="auto"/>
        </w:rPr>
      </w:pPr>
      <w:r>
        <w:rPr>
          <w:rFonts w:ascii="Arial" w:cs="Arial" w:eastAsia="Arial" w:hAnsi="Arial"/>
          <w:sz w:val="22"/>
          <w:szCs w:val="22"/>
          <w:color w:val="auto"/>
        </w:rPr>
        <w:t>[Acknowledgment and Agreement of Guarantor]</w:t>
      </w:r>
    </w:p>
    <w:p>
      <w:pPr>
        <w:sectPr>
          <w:pgSz w:w="11900" w:h="16838" w:orient="portrait"/>
          <w:cols w:equalWidth="0" w:num="1">
            <w:col w:w="10139"/>
          </w:cols>
          <w:pgMar w:left="320" w:top="1395" w:right="1440" w:bottom="1440" w:gutter="0" w:footer="0" w:header="0"/>
        </w:sectPr>
      </w:pPr>
    </w:p>
    <w:bookmarkStart w:id="201" w:name="page202"/>
    <w:bookmarkEnd w:id="201"/>
    <w:p>
      <w:pPr>
        <w:jc w:val="center"/>
        <w:ind w:right="-1100"/>
        <w:spacing w:after="0"/>
        <w:rPr>
          <w:sz w:val="20"/>
          <w:szCs w:val="20"/>
          <w:color w:val="auto"/>
        </w:rPr>
      </w:pPr>
      <w:r>
        <w:rPr>
          <w:rFonts w:ascii="Arial" w:cs="Arial" w:eastAsia="Arial" w:hAnsi="Arial"/>
          <w:sz w:val="22"/>
          <w:szCs w:val="22"/>
          <w:u w:val="single" w:color="auto"/>
          <w:color w:val="auto"/>
        </w:rPr>
        <w:t>Schedule A</w:t>
      </w:r>
    </w:p>
    <w:p>
      <w:pPr>
        <w:spacing w:after="0" w:line="179"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LANDLORD ENTITIES</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auto"/>
        </w:rPr>
        <w:t>Horseshoe Council Bluffs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Harrah’s Council Bluffs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Harrah’s Metropolis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New Horseshoe Hammond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Horseshoe Bossier City Prop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New Harrah’s North Kansas City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Grand Biloxi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Horseshoe Tunica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New Tunica Roadhouse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Caesars Atlantic City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Bally’s Atlantic City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Harrah’s Lake Tahoe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Harvey’s Lake Tahoe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Harrah’s Reno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Vegas Development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Vegas Operating Property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Miscellaneous Land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Propco Gulfport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Philadelphia Propco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Harrah’s Atlantic City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New Laughlin Owner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Harrah’s New Orleans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Schedule A</w:t>
      </w:r>
    </w:p>
    <w:p>
      <w:pPr>
        <w:sectPr>
          <w:pgSz w:w="11900" w:h="16838" w:orient="portrait"/>
          <w:cols w:equalWidth="0" w:num="1">
            <w:col w:w="10139"/>
          </w:cols>
          <w:pgMar w:left="320" w:top="1401" w:right="1440" w:bottom="1440" w:gutter="0" w:footer="0" w:header="0"/>
        </w:sectPr>
      </w:pPr>
    </w:p>
    <w:bookmarkStart w:id="202" w:name="page203"/>
    <w:bookmarkEnd w:id="202"/>
    <w:p>
      <w:pPr>
        <w:jc w:val="center"/>
        <w:ind w:right="-1100"/>
        <w:spacing w:after="0"/>
        <w:rPr>
          <w:sz w:val="20"/>
          <w:szCs w:val="20"/>
          <w:color w:val="auto"/>
        </w:rPr>
      </w:pPr>
      <w:r>
        <w:rPr>
          <w:rFonts w:ascii="Arial" w:cs="Arial" w:eastAsia="Arial" w:hAnsi="Arial"/>
          <w:sz w:val="22"/>
          <w:szCs w:val="22"/>
          <w:u w:val="single" w:color="auto"/>
          <w:color w:val="auto"/>
        </w:rPr>
        <w:t>Schedule B</w:t>
      </w:r>
    </w:p>
    <w:p>
      <w:pPr>
        <w:spacing w:after="0" w:line="179"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TENANT ENTITIES</w:t>
      </w:r>
    </w:p>
    <w:p>
      <w:pPr>
        <w:spacing w:after="0" w:line="179" w:lineRule="exact"/>
        <w:rPr>
          <w:sz w:val="20"/>
          <w:szCs w:val="20"/>
          <w:color w:val="auto"/>
        </w:rPr>
      </w:pPr>
    </w:p>
    <w:p>
      <w:pPr>
        <w:ind w:right="1799"/>
        <w:spacing w:after="0" w:line="307" w:lineRule="auto"/>
        <w:rPr>
          <w:sz w:val="20"/>
          <w:szCs w:val="20"/>
          <w:color w:val="auto"/>
        </w:rPr>
      </w:pPr>
      <w:r>
        <w:rPr>
          <w:rFonts w:ascii="Arial" w:cs="Arial" w:eastAsia="Arial" w:hAnsi="Arial"/>
          <w:sz w:val="22"/>
          <w:szCs w:val="22"/>
          <w:color w:val="auto"/>
        </w:rPr>
        <w:t>CEOC, LLC, successor in interest by merger to Caesars Entertainment Operating Company, Inc. HBR Realty Company LLC</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Harveys Iowa Management Company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Southern Illinois Riverboat/Casino Cruises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Horseshoe Hammond,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Horseshoe Entertainment</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Harrah’s North Kansas City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Grand Casinos of Biloxi,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Robinson Property Group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Tunica Roadhouse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Boardwalk Regency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Caesars New Jersey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Harveys Tahoe Management Company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Casino Computer Programming, Inc.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Harveys BR Management Company, Inc.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Hole in the Wall,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Chester Downs and Marina,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Harrah’s Atlantic City Operating Company,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Harrah’s Laughlin, LLC</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Jazz Casino Company,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Schedule B</w:t>
      </w:r>
    </w:p>
    <w:p>
      <w:pPr>
        <w:sectPr>
          <w:pgSz w:w="11900" w:h="16838" w:orient="portrait"/>
          <w:cols w:equalWidth="0" w:num="1">
            <w:col w:w="10139"/>
          </w:cols>
          <w:pgMar w:left="320" w:top="1401" w:right="1440" w:bottom="1440" w:gutter="0" w:footer="0" w:header="0"/>
        </w:sectPr>
      </w:pPr>
    </w:p>
    <w:bookmarkStart w:id="203" w:name="page204"/>
    <w:bookmarkEnd w:id="203"/>
    <w:p>
      <w:pPr>
        <w:jc w:val="center"/>
        <w:spacing w:after="0"/>
        <w:rPr>
          <w:sz w:val="20"/>
          <w:szCs w:val="20"/>
          <w:color w:val="auto"/>
        </w:rPr>
      </w:pPr>
      <w:r>
        <w:rPr>
          <w:rFonts w:ascii="Arial" w:cs="Arial" w:eastAsia="Arial" w:hAnsi="Arial"/>
          <w:sz w:val="22"/>
          <w:szCs w:val="22"/>
          <w:u w:val="single" w:color="auto"/>
          <w:color w:val="auto"/>
        </w:rPr>
        <w:t>Annex 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Caesars Surface Parking</w:t>
      </w:r>
    </w:p>
    <w:p>
      <w:pPr>
        <w:spacing w:after="0" w:line="179" w:lineRule="exact"/>
        <w:rPr>
          <w:sz w:val="20"/>
          <w:szCs w:val="20"/>
          <w:color w:val="auto"/>
        </w:rPr>
      </w:pPr>
    </w:p>
    <w:p>
      <w:pPr>
        <w:jc w:val="both"/>
        <w:spacing w:after="0" w:line="229" w:lineRule="auto"/>
        <w:rPr>
          <w:sz w:val="20"/>
          <w:szCs w:val="20"/>
          <w:color w:val="auto"/>
        </w:rPr>
      </w:pPr>
      <w:r>
        <w:rPr>
          <w:rFonts w:ascii="Arial" w:cs="Arial" w:eastAsia="Arial" w:hAnsi="Arial"/>
          <w:sz w:val="21"/>
          <w:szCs w:val="21"/>
          <w:color w:val="auto"/>
        </w:rPr>
        <w:t>BEING KNOWN AND DESIGNATED AS LOT 21.02 IN BLOCK 157 AS SHOWN ON A MAP ENTITLED "MINOR SUBDIVISION PLAN, BLOCK 157, LOT 21, CITY OF ATLANTIC CITY, ATLANTIC COUNTY, NJ" PREPARED BY ARTHUR W. PONZIO COMPANY AND ASSOCIATES, INC, DATED JUNE 27, 2013, LAST REVISED DECEMBER 12, 2013 AND FILED IN THE ATLANTIC COUNTY CLERK'S OFFICE ON MAY 29, 2014 AS MAP NO 2014030575.</w:t>
      </w:r>
    </w:p>
    <w:p>
      <w:pPr>
        <w:spacing w:after="0" w:line="158"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TOGETHER WITH DEED OF EASEMENT FOR PARKING AND ACCESS FROM CASINO REINVESTMENT DEVELOPMENT AUTHORITY TO BOARDWALK REGENCY CORPORATION, DATED DECEMBER 27, 2013, RECORDED JANUARY 7, 2014 AS INSTRUMENT NO 2014001024.</w:t>
      </w:r>
    </w:p>
    <w:p>
      <w:pPr>
        <w:spacing w:after="0" w:line="159" w:lineRule="exact"/>
        <w:rPr>
          <w:sz w:val="20"/>
          <w:szCs w:val="20"/>
          <w:color w:val="auto"/>
        </w:rPr>
      </w:pPr>
    </w:p>
    <w:p>
      <w:pPr>
        <w:jc w:val="both"/>
        <w:ind w:right="20"/>
        <w:spacing w:after="0" w:line="232" w:lineRule="auto"/>
        <w:rPr>
          <w:sz w:val="20"/>
          <w:szCs w:val="20"/>
          <w:color w:val="auto"/>
        </w:rPr>
      </w:pPr>
      <w:r>
        <w:rPr>
          <w:rFonts w:ascii="Arial" w:cs="Arial" w:eastAsia="Arial" w:hAnsi="Arial"/>
          <w:sz w:val="22"/>
          <w:szCs w:val="22"/>
          <w:color w:val="auto"/>
        </w:rPr>
        <w:t>FOR INFORMATION PURPOSES ONLY: KNOWN AS LOT 21.01 IN BLOCK 157 AS SHOWN ON THE ATLANTIC CITY TAX MAP.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Annex A-1</w:t>
      </w:r>
    </w:p>
    <w:p>
      <w:pPr>
        <w:sectPr>
          <w:pgSz w:w="11900" w:h="16838" w:orient="portrait"/>
          <w:cols w:equalWidth="0" w:num="1">
            <w:col w:w="11240"/>
          </w:cols>
          <w:pgMar w:left="320" w:top="1401" w:right="339" w:bottom="1440" w:gutter="0" w:footer="0" w:header="0"/>
        </w:sectPr>
      </w:pPr>
    </w:p>
    <w:bookmarkStart w:id="204" w:name="page205"/>
    <w:bookmarkEnd w:id="204"/>
    <w:p>
      <w:pPr>
        <w:ind w:left="10020"/>
        <w:spacing w:after="0"/>
        <w:rPr>
          <w:sz w:val="20"/>
          <w:szCs w:val="20"/>
          <w:color w:val="auto"/>
        </w:rPr>
      </w:pPr>
      <w:r>
        <w:rPr>
          <w:rFonts w:ascii="Arial" w:cs="Arial" w:eastAsia="Arial" w:hAnsi="Arial"/>
          <w:sz w:val="19"/>
          <w:szCs w:val="19"/>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SIXTH AMENDMENT TO LEASE</w:t>
      </w:r>
    </w:p>
    <w:p>
      <w:pPr>
        <w:spacing w:after="0" w:line="179"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SIXTH AMENDMENT TO LEASE</w:t>
      </w:r>
      <w:r>
        <w:rPr>
          <w:rFonts w:ascii="Arial" w:cs="Arial" w:eastAsia="Arial" w:hAnsi="Arial"/>
          <w:sz w:val="22"/>
          <w:szCs w:val="22"/>
          <w:color w:val="auto"/>
        </w:rPr>
        <w:t xml:space="preserve"> (this “</w:t>
      </w:r>
      <w:r>
        <w:rPr>
          <w:rFonts w:ascii="Arial" w:cs="Arial" w:eastAsia="Arial" w:hAnsi="Arial"/>
          <w:sz w:val="22"/>
          <w:szCs w:val="22"/>
          <w:u w:val="single" w:color="auto"/>
          <w:color w:val="auto"/>
        </w:rPr>
        <w:t>Amendment</w:t>
      </w:r>
      <w:r>
        <w:rPr>
          <w:rFonts w:ascii="Arial" w:cs="Arial" w:eastAsia="Arial" w:hAnsi="Arial"/>
          <w:sz w:val="22"/>
          <w:szCs w:val="22"/>
          <w:color w:val="auto"/>
        </w:rPr>
        <w:t xml:space="preserve">”) is entered into as of November 1, 2021, by and among </w:t>
      </w:r>
      <w:r>
        <w:rPr>
          <w:rFonts w:ascii="Arial" w:cs="Arial" w:eastAsia="Arial" w:hAnsi="Arial"/>
          <w:sz w:val="22"/>
          <w:szCs w:val="22"/>
          <w:b w:val="1"/>
          <w:bCs w:val="1"/>
          <w:color w:val="auto"/>
        </w:rPr>
        <w:t>HARRAH’S JOLIET LANDCO LLC</w:t>
      </w:r>
      <w:r>
        <w:rPr>
          <w:rFonts w:ascii="Arial" w:cs="Arial" w:eastAsia="Arial" w:hAnsi="Arial"/>
          <w:sz w:val="22"/>
          <w:szCs w:val="22"/>
          <w:color w:val="auto"/>
        </w:rPr>
        <w:t>, a Delaware limited liability company (together with its successors and assigns,</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u w:val="single" w:color="auto"/>
          <w:color w:val="auto"/>
        </w:rPr>
        <w:t>Landlord</w:t>
      </w:r>
      <w:r>
        <w:rPr>
          <w:rFonts w:ascii="Arial" w:cs="Arial" w:eastAsia="Arial" w:hAnsi="Arial"/>
          <w:sz w:val="22"/>
          <w:szCs w:val="22"/>
          <w:color w:val="auto"/>
        </w:rPr>
        <w:t xml:space="preserve">”), </w:t>
      </w:r>
      <w:r>
        <w:rPr>
          <w:rFonts w:ascii="Arial" w:cs="Arial" w:eastAsia="Arial" w:hAnsi="Arial"/>
          <w:sz w:val="22"/>
          <w:szCs w:val="22"/>
          <w:b w:val="1"/>
          <w:bCs w:val="1"/>
          <w:color w:val="auto"/>
        </w:rPr>
        <w:t>DES PLAINES DEVELOPMENT LIMITED PARTNERSHIP</w:t>
      </w:r>
      <w:r>
        <w:rPr>
          <w:rFonts w:ascii="Arial" w:cs="Arial" w:eastAsia="Arial" w:hAnsi="Arial"/>
          <w:sz w:val="22"/>
          <w:szCs w:val="22"/>
          <w:color w:val="auto"/>
        </w:rPr>
        <w:t>, a Delaware limited partnership (together with its successors and assigns, “</w:t>
      </w:r>
      <w:r>
        <w:rPr>
          <w:rFonts w:ascii="Arial" w:cs="Arial" w:eastAsia="Arial" w:hAnsi="Arial"/>
          <w:sz w:val="22"/>
          <w:szCs w:val="22"/>
          <w:u w:val="single" w:color="auto"/>
          <w:color w:val="auto"/>
        </w:rPr>
        <w:t>Tenant</w:t>
      </w:r>
      <w:r>
        <w:rPr>
          <w:rFonts w:ascii="Arial" w:cs="Arial" w:eastAsia="Arial" w:hAnsi="Arial"/>
          <w:sz w:val="22"/>
          <w:szCs w:val="22"/>
          <w:color w:val="auto"/>
        </w:rPr>
        <w:t xml:space="preserve">”) and, solely for the purposes of the last paragraph of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of the Lease (as defined below), Propco TRS LLC, a Delaware limited liability company (“</w:t>
      </w:r>
      <w:r>
        <w:rPr>
          <w:rFonts w:ascii="Arial" w:cs="Arial" w:eastAsia="Arial" w:hAnsi="Arial"/>
          <w:sz w:val="22"/>
          <w:szCs w:val="22"/>
          <w:u w:val="single" w:color="auto"/>
          <w:color w:val="auto"/>
        </w:rPr>
        <w:t>Propco TRS</w:t>
      </w:r>
      <w:r>
        <w:rPr>
          <w:rFonts w:ascii="Arial" w:cs="Arial" w:eastAsia="Arial" w:hAnsi="Arial"/>
          <w:sz w:val="22"/>
          <w:szCs w:val="22"/>
          <w:color w:val="auto"/>
        </w:rPr>
        <w: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179"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Landlord, Tenant and, solely for the purposes of the last paragraph of</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1.1</w:t>
      </w:r>
      <w:r>
        <w:rPr>
          <w:rFonts w:ascii="Arial" w:cs="Arial" w:eastAsia="Arial" w:hAnsi="Arial"/>
          <w:sz w:val="21"/>
          <w:szCs w:val="21"/>
          <w:b w:val="1"/>
          <w:bCs w:val="1"/>
          <w:color w:val="auto"/>
        </w:rPr>
        <w:t xml:space="preserve"> </w:t>
      </w:r>
      <w:r>
        <w:rPr>
          <w:rFonts w:ascii="Arial" w:cs="Arial" w:eastAsia="Arial" w:hAnsi="Arial"/>
          <w:sz w:val="21"/>
          <w:szCs w:val="21"/>
          <w:color w:val="auto"/>
        </w:rPr>
        <w:t>of the Lease, Propco TRS</w:t>
      </w:r>
      <w:r>
        <w:rPr>
          <w:rFonts w:ascii="Arial" w:cs="Arial" w:eastAsia="Arial" w:hAnsi="Arial"/>
          <w:sz w:val="21"/>
          <w:szCs w:val="21"/>
          <w:b w:val="1"/>
          <w:bCs w:val="1"/>
          <w:color w:val="auto"/>
        </w:rPr>
        <w:t xml:space="preserve"> </w:t>
      </w:r>
      <w:r>
        <w:rPr>
          <w:rFonts w:ascii="Arial" w:cs="Arial" w:eastAsia="Arial" w:hAnsi="Arial"/>
          <w:sz w:val="21"/>
          <w:szCs w:val="21"/>
          <w:color w:val="auto"/>
        </w:rPr>
        <w:t>are parties to that certain Lease (Joliet), dated as of October 6, 2017, as amended by that certain First Amendment to Lease (Joliet), dated as of December 26, 2018, as amended by that certain Omnibus Amendment to Leases, dated as of June 1, 2020, as amended by that certain Second Amendment to Lease (Joliet), dated as of July 20, 2020, as amended by that certain Third Amendment to Lease, dated as of September 30, 2020, as amended by that certain Amended and Restated Omnibus Amendment to Leases, dated as of October 27, 2020, as amended by that certain Fourth Amendment to Lease, dated as of November 18, 2020, and as amended by that certain Fifth Amendment to Lease, dated as of September 3, 2021 (collectively, as amended, the “</w:t>
      </w:r>
      <w:r>
        <w:rPr>
          <w:rFonts w:ascii="Arial" w:cs="Arial" w:eastAsia="Arial" w:hAnsi="Arial"/>
          <w:sz w:val="21"/>
          <w:szCs w:val="21"/>
          <w:u w:val="single" w:color="auto"/>
          <w:color w:val="auto"/>
        </w:rPr>
        <w:t>Lease</w:t>
      </w:r>
      <w:r>
        <w:rPr>
          <w:rFonts w:ascii="Arial" w:cs="Arial" w:eastAsia="Arial" w:hAnsi="Arial"/>
          <w:sz w:val="21"/>
          <w:szCs w:val="21"/>
          <w:color w:val="auto"/>
        </w:rPr>
        <w:t>”), pursuant to which Landlord leases to Tenant, and Tenant leases from Landlord, certain real property as more particularly described in the Lease;</w:t>
      </w:r>
    </w:p>
    <w:p>
      <w:pPr>
        <w:spacing w:after="0" w:line="15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on June 30, 2021, Propco TRS conveyed to Arlington Turfway, LLC, an Alabama limited liability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certain real property located in Florence, Kentucky that was (prior to such conveyance) subject to the “Regional Lease” (as defined in the Lease) and a portion of the real property associated with the Turfway Park Facility (as defined in the amendment to the Regional Lease being entered into concurrently with this Amendment in connection with the Turfway Park Parcel Transaction (as defined below) and the LAD Transaction (as defined below)) (the “</w:t>
      </w:r>
      <w:r>
        <w:rPr>
          <w:rFonts w:ascii="Arial" w:cs="Arial" w:eastAsia="Arial" w:hAnsi="Arial"/>
          <w:sz w:val="19"/>
          <w:szCs w:val="19"/>
          <w:u w:val="single" w:color="auto"/>
          <w:color w:val="auto"/>
        </w:rPr>
        <w:t>Turfway Park Parcel Transaction</w:t>
      </w:r>
      <w:r>
        <w:rPr>
          <w:rFonts w:ascii="Arial" w:cs="Arial" w:eastAsia="Arial" w:hAnsi="Arial"/>
          <w:sz w:val="19"/>
          <w:szCs w:val="19"/>
          <w:color w:val="auto"/>
        </w:rPr>
        <w:t>”), and the Turfway Park Parcel (as defined in the amendment to the Regional Lease being entered into concurrently with this Amendment in connection with the Turfway Park Parcel Transaction and the LAD Transaction) was severed from the Regional Lease as of such date;</w:t>
      </w:r>
    </w:p>
    <w:p>
      <w:pPr>
        <w:spacing w:after="0" w:line="14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b w:val="1"/>
          <w:bCs w:val="1"/>
          <w:color w:val="auto"/>
        </w:rPr>
        <w:t xml:space="preserve">WHEREAS, </w:t>
      </w:r>
      <w:r>
        <w:rPr>
          <w:rFonts w:ascii="Arial" w:cs="Arial" w:eastAsia="Arial" w:hAnsi="Arial"/>
          <w:sz w:val="19"/>
          <w:szCs w:val="19"/>
          <w:color w:val="auto"/>
        </w:rPr>
        <w:t>on the date hereof, (x) Harrah’s Bossier City LLC, Harrah’s Shreveport/Bossier City Investment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LLC (“</w:t>
      </w:r>
      <w:r>
        <w:rPr>
          <w:rFonts w:ascii="Arial" w:cs="Arial" w:eastAsia="Arial" w:hAnsi="Arial"/>
          <w:sz w:val="19"/>
          <w:szCs w:val="19"/>
          <w:u w:val="single" w:color="auto"/>
          <w:color w:val="auto"/>
        </w:rPr>
        <w:t>Operator Parent</w:t>
      </w:r>
      <w:r>
        <w:rPr>
          <w:rFonts w:ascii="Arial" w:cs="Arial" w:eastAsia="Arial" w:hAnsi="Arial"/>
          <w:sz w:val="19"/>
          <w:szCs w:val="19"/>
          <w:color w:val="auto"/>
        </w:rPr>
        <w:t>”), Harrah’s Bossier City Investment Company, L.L.C. (“</w:t>
      </w:r>
      <w:r>
        <w:rPr>
          <w:rFonts w:ascii="Arial" w:cs="Arial" w:eastAsia="Arial" w:hAnsi="Arial"/>
          <w:sz w:val="19"/>
          <w:szCs w:val="19"/>
          <w:u w:val="single" w:color="auto"/>
          <w:color w:val="auto"/>
        </w:rPr>
        <w:t>Operator</w:t>
      </w:r>
      <w:r>
        <w:rPr>
          <w:rFonts w:ascii="Arial" w:cs="Arial" w:eastAsia="Arial" w:hAnsi="Arial"/>
          <w:sz w:val="19"/>
          <w:szCs w:val="19"/>
          <w:color w:val="auto"/>
        </w:rPr>
        <w:t>”), Rubico Gaming, LLC (“</w:t>
      </w:r>
      <w:r>
        <w:rPr>
          <w:rFonts w:ascii="Arial" w:cs="Arial" w:eastAsia="Arial" w:hAnsi="Arial"/>
          <w:sz w:val="19"/>
          <w:szCs w:val="19"/>
          <w:u w:val="single" w:color="auto"/>
          <w:color w:val="auto"/>
        </w:rPr>
        <w:t>Purchaser</w:t>
      </w:r>
      <w:r>
        <w:rPr>
          <w:rFonts w:ascii="Arial" w:cs="Arial" w:eastAsia="Arial" w:hAnsi="Arial"/>
          <w:sz w:val="19"/>
          <w:szCs w:val="19"/>
          <w:color w:val="auto"/>
        </w:rPr>
        <w:t>”) and Rubico Acquisition Corp (“</w:t>
      </w:r>
      <w:r>
        <w:rPr>
          <w:rFonts w:ascii="Arial" w:cs="Arial" w:eastAsia="Arial" w:hAnsi="Arial"/>
          <w:sz w:val="19"/>
          <w:szCs w:val="19"/>
          <w:u w:val="single" w:color="auto"/>
          <w:color w:val="auto"/>
        </w:rPr>
        <w:t>Purchaser Parent</w:t>
      </w:r>
      <w:r>
        <w:rPr>
          <w:rFonts w:ascii="Arial" w:cs="Arial" w:eastAsia="Arial" w:hAnsi="Arial"/>
          <w:sz w:val="19"/>
          <w:szCs w:val="19"/>
          <w:color w:val="auto"/>
        </w:rPr>
        <w:t>” and together with Purchaser, collectively, “</w:t>
      </w:r>
      <w:r>
        <w:rPr>
          <w:rFonts w:ascii="Arial" w:cs="Arial" w:eastAsia="Arial" w:hAnsi="Arial"/>
          <w:sz w:val="19"/>
          <w:szCs w:val="19"/>
          <w:u w:val="single" w:color="auto"/>
          <w:color w:val="auto"/>
        </w:rPr>
        <w:t>Rubico</w:t>
      </w:r>
      <w:r>
        <w:rPr>
          <w:rFonts w:ascii="Arial" w:cs="Arial" w:eastAsia="Arial" w:hAnsi="Arial"/>
          <w:sz w:val="19"/>
          <w:szCs w:val="19"/>
          <w:color w:val="auto"/>
        </w:rPr>
        <w:t>”) are closing a purchase and sale transaction under that certain Agreement of Sale, dated as of September 3, 2020, with respect to certain real property associated with the gaming and entertainment facility known as Harrah’s Bossier City (Louisiana Downs) located in Bossier City, Louisiana, and (y) Operator Parent, Operator and Rubico are closing a purchase and sale transaction under that certain Equity Purchase Agreement, dated as of September 3, 2020, with respect to Operator Parent’s one hundred percent (100%) equity interest in Operator, which entity operates the facility described in the immediately preceding clause (x) and, prior to the effectiveness of this Amendment, leased such facility pursuant to the terms of the Regional Lease (the transactions described in the preceding clauses (x) and (y) are referred to herein collectively as the “</w:t>
      </w:r>
      <w:r>
        <w:rPr>
          <w:rFonts w:ascii="Arial" w:cs="Arial" w:eastAsia="Arial" w:hAnsi="Arial"/>
          <w:sz w:val="19"/>
          <w:szCs w:val="19"/>
          <w:u w:val="single" w:color="auto"/>
          <w:color w:val="auto"/>
        </w:rPr>
        <w:t>LAD Transaction</w:t>
      </w:r>
      <w:r>
        <w:rPr>
          <w:rFonts w:ascii="Arial" w:cs="Arial" w:eastAsia="Arial" w:hAnsi="Arial"/>
          <w:sz w:val="19"/>
          <w:szCs w:val="19"/>
          <w:color w:val="auto"/>
        </w:rPr>
        <w:t>”); and</w:t>
      </w:r>
    </w:p>
    <w:p>
      <w:pPr>
        <w:spacing w:after="0" w:line="155"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in connection with the Turfway Park Parcel Transaction and the LAD Transaction, the parties hereto desire</w:t>
      </w:r>
      <w:r>
        <w:rPr>
          <w:rFonts w:ascii="Arial" w:cs="Arial" w:eastAsia="Arial" w:hAnsi="Arial"/>
          <w:sz w:val="22"/>
          <w:szCs w:val="22"/>
          <w:b w:val="1"/>
          <w:bCs w:val="1"/>
          <w:color w:val="auto"/>
        </w:rPr>
        <w:t xml:space="preserve"> </w:t>
      </w:r>
      <w:r>
        <w:rPr>
          <w:rFonts w:ascii="Arial" w:cs="Arial" w:eastAsia="Arial" w:hAnsi="Arial"/>
          <w:sz w:val="22"/>
          <w:szCs w:val="22"/>
          <w:color w:val="auto"/>
        </w:rPr>
        <w:t>to amend the Lease as set forth herein.</w:t>
      </w:r>
    </w:p>
    <w:p>
      <w:pPr>
        <w:sectPr>
          <w:pgSz w:w="11900" w:h="16838" w:orient="portrait"/>
          <w:cols w:equalWidth="0" w:num="1">
            <w:col w:w="11240"/>
          </w:cols>
          <w:pgMar w:left="320" w:top="98" w:right="339" w:bottom="1440" w:gutter="0" w:footer="0" w:header="0"/>
        </w:sectPr>
      </w:pPr>
    </w:p>
    <w:bookmarkStart w:id="205" w:name="page206"/>
    <w:bookmarkEnd w:id="205"/>
    <w:p>
      <w:pPr>
        <w:jc w:val="both"/>
        <w:ind w:firstLine="648"/>
        <w:spacing w:after="0" w:line="225"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covenants and agreements hereinafter set forth and for other good</w:t>
      </w:r>
      <w:r>
        <w:rPr>
          <w:rFonts w:ascii="Arial" w:cs="Arial" w:eastAsia="Arial" w:hAnsi="Arial"/>
          <w:sz w:val="22"/>
          <w:szCs w:val="22"/>
          <w:b w:val="1"/>
          <w:bCs w:val="1"/>
          <w:color w:val="auto"/>
        </w:rPr>
        <w:t xml:space="preserve"> </w:t>
      </w:r>
      <w:r>
        <w:rPr>
          <w:rFonts w:ascii="Arial" w:cs="Arial" w:eastAsia="Arial" w:hAnsi="Arial"/>
          <w:sz w:val="22"/>
          <w:szCs w:val="22"/>
          <w:color w:val="auto"/>
        </w:rPr>
        <w:t>and valuable consideration, the receipt and sufficiency of which are hereby acknowledged, the parties hereto, intending to be legally bound hereby, agree as follows:</w:t>
      </w:r>
    </w:p>
    <w:p>
      <w:pPr>
        <w:spacing w:after="0" w:line="153" w:lineRule="exact"/>
        <w:rPr>
          <w:sz w:val="20"/>
          <w:szCs w:val="20"/>
          <w:color w:val="auto"/>
        </w:rPr>
      </w:pPr>
    </w:p>
    <w:p>
      <w:pPr>
        <w:ind w:firstLine="656"/>
        <w:spacing w:after="0" w:line="235" w:lineRule="auto"/>
        <w:tabs>
          <w:tab w:leader="none" w:pos="1296" w:val="left"/>
        </w:tabs>
        <w:numPr>
          <w:ilvl w:val="0"/>
          <w:numId w:val="141"/>
        </w:numPr>
        <w:rPr>
          <w:rFonts w:ascii="Arial" w:cs="Arial" w:eastAsia="Arial" w:hAnsi="Arial"/>
          <w:sz w:val="22"/>
          <w:szCs w:val="22"/>
          <w:color w:val="auto"/>
        </w:rPr>
      </w:pPr>
      <w:r>
        <w:rPr>
          <w:rFonts w:ascii="Arial" w:cs="Arial" w:eastAsia="Arial" w:hAnsi="Arial"/>
          <w:sz w:val="22"/>
          <w:szCs w:val="22"/>
          <w:b w:val="1"/>
          <w:bCs w:val="1"/>
          <w:u w:val="single" w:color="auto"/>
          <w:color w:val="auto"/>
        </w:rPr>
        <w:t>Definitions</w:t>
      </w:r>
      <w:r>
        <w:rPr>
          <w:rFonts w:ascii="Arial" w:cs="Arial" w:eastAsia="Arial" w:hAnsi="Arial"/>
          <w:sz w:val="22"/>
          <w:szCs w:val="22"/>
          <w:color w:val="auto"/>
        </w:rPr>
        <w:t>. Except as otherwise defined herein, all capitalized terms used herein without definition shall have the</w:t>
      </w:r>
      <w:r>
        <w:rPr>
          <w:rFonts w:ascii="Arial" w:cs="Arial" w:eastAsia="Arial" w:hAnsi="Arial"/>
          <w:sz w:val="22"/>
          <w:szCs w:val="22"/>
          <w:b w:val="1"/>
          <w:bCs w:val="1"/>
          <w:color w:val="auto"/>
        </w:rPr>
        <w:t xml:space="preserve"> </w:t>
      </w:r>
      <w:r>
        <w:rPr>
          <w:rFonts w:ascii="Arial" w:cs="Arial" w:eastAsia="Arial" w:hAnsi="Arial"/>
          <w:sz w:val="22"/>
          <w:szCs w:val="22"/>
          <w:color w:val="auto"/>
        </w:rPr>
        <w:t>meanings applicable to such terms, respectively, as set forth in the Lease.</w:t>
      </w:r>
    </w:p>
    <w:p>
      <w:pPr>
        <w:spacing w:after="0" w:line="152" w:lineRule="exact"/>
        <w:rPr>
          <w:rFonts w:ascii="Arial" w:cs="Arial" w:eastAsia="Arial" w:hAnsi="Arial"/>
          <w:sz w:val="22"/>
          <w:szCs w:val="22"/>
          <w:color w:val="auto"/>
        </w:rPr>
      </w:pPr>
    </w:p>
    <w:p>
      <w:pPr>
        <w:ind w:left="1300" w:hanging="644"/>
        <w:spacing w:after="0"/>
        <w:tabs>
          <w:tab w:leader="none" w:pos="1300" w:val="left"/>
        </w:tabs>
        <w:numPr>
          <w:ilvl w:val="0"/>
          <w:numId w:val="141"/>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Amendments to the Lease.</w:t>
      </w:r>
    </w:p>
    <w:p>
      <w:pPr>
        <w:spacing w:after="0" w:line="185" w:lineRule="exact"/>
        <w:rPr>
          <w:sz w:val="20"/>
          <w:szCs w:val="20"/>
          <w:color w:val="auto"/>
        </w:rPr>
      </w:pPr>
    </w:p>
    <w:p>
      <w:pPr>
        <w:jc w:val="both"/>
        <w:ind w:left="980" w:hanging="324"/>
        <w:spacing w:after="0" w:line="229" w:lineRule="auto"/>
        <w:tabs>
          <w:tab w:leader="none" w:pos="968" w:val="left"/>
        </w:tabs>
        <w:numPr>
          <w:ilvl w:val="0"/>
          <w:numId w:val="142"/>
        </w:numPr>
        <w:rPr>
          <w:rFonts w:ascii="Arial" w:cs="Arial" w:eastAsia="Arial" w:hAnsi="Arial"/>
          <w:sz w:val="21"/>
          <w:szCs w:val="21"/>
          <w:color w:val="auto"/>
        </w:rPr>
      </w:pPr>
      <w:r>
        <w:rPr>
          <w:rFonts w:ascii="Arial" w:cs="Arial" w:eastAsia="Arial" w:hAnsi="Arial"/>
          <w:sz w:val="21"/>
          <w:szCs w:val="21"/>
          <w:u w:val="single" w:color="auto"/>
          <w:color w:val="auto"/>
        </w:rPr>
        <w:t>Annual Minimum Cap Ex Amount</w:t>
      </w:r>
      <w:r>
        <w:rPr>
          <w:rFonts w:ascii="Arial" w:cs="Arial" w:eastAsia="Arial" w:hAnsi="Arial"/>
          <w:sz w:val="21"/>
          <w:szCs w:val="21"/>
          <w:color w:val="auto"/>
        </w:rPr>
        <w:t xml:space="preserve">.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of the Lease is hereby amended such that the definition of “Annual Minimum Cap Ex Amount” is hereby revised and modified to replace the reference therein to “One Hundred Eight Million Six Hundred Thousand and No/100 Dollars ($108,600,000.00)” with a reference to “One Hundred Seven Million Five Hundred Thousand and No/100 Dollars ($107,500,000.00)”.</w:t>
      </w:r>
    </w:p>
    <w:p>
      <w:pPr>
        <w:spacing w:after="0" w:line="158" w:lineRule="exact"/>
        <w:rPr>
          <w:rFonts w:ascii="Arial" w:cs="Arial" w:eastAsia="Arial" w:hAnsi="Arial"/>
          <w:sz w:val="21"/>
          <w:szCs w:val="21"/>
          <w:color w:val="auto"/>
        </w:rPr>
      </w:pPr>
    </w:p>
    <w:p>
      <w:pPr>
        <w:jc w:val="both"/>
        <w:ind w:left="980" w:hanging="324"/>
        <w:spacing w:after="0" w:line="221" w:lineRule="auto"/>
        <w:tabs>
          <w:tab w:leader="none" w:pos="980" w:val="left"/>
        </w:tabs>
        <w:numPr>
          <w:ilvl w:val="0"/>
          <w:numId w:val="142"/>
        </w:numPr>
        <w:rPr>
          <w:rFonts w:ascii="Arial" w:cs="Arial" w:eastAsia="Arial" w:hAnsi="Arial"/>
          <w:sz w:val="21"/>
          <w:szCs w:val="21"/>
          <w:color w:val="auto"/>
        </w:rPr>
      </w:pPr>
      <w:r>
        <w:rPr>
          <w:rFonts w:ascii="Arial" w:cs="Arial" w:eastAsia="Arial" w:hAnsi="Arial"/>
          <w:sz w:val="21"/>
          <w:szCs w:val="21"/>
          <w:u w:val="single" w:color="auto"/>
          <w:color w:val="auto"/>
        </w:rPr>
        <w:t>Annual Minimum Per-Lease B&amp;I Cap Ex Requirement</w:t>
      </w:r>
      <w:r>
        <w:rPr>
          <w:rFonts w:ascii="Arial" w:cs="Arial" w:eastAsia="Arial" w:hAnsi="Arial"/>
          <w:sz w:val="21"/>
          <w:szCs w:val="21"/>
          <w:color w:val="auto"/>
        </w:rPr>
        <w:t xml:space="preserve">. The Annual Minimum Per-Lease B&amp;I Cap Ex Requirement shall be unchanged by this Amendment. Further, Landlord and Tenant hereby acknowledge, for the avoidance of doubt, that the Net Revenue attributable to the LAD Facility (as defined in the amendment to the Regional Lease being entered into concurrently with this Amendment in connection with the Turfway Park Parcel Transaction and the LAD Transaction) during the period the LAD Facility was included in the Regional Lease (i.e., during the period from the “Commencement Date” (as defined in the Regional Lease) until the date of this Amendment) shall be included for purposes of calculating the Capital Expenditures required under </w:t>
      </w:r>
      <w:r>
        <w:rPr>
          <w:rFonts w:ascii="Arial" w:cs="Arial" w:eastAsia="Arial" w:hAnsi="Arial"/>
          <w:sz w:val="21"/>
          <w:szCs w:val="21"/>
          <w:u w:val="single" w:color="auto"/>
          <w:color w:val="auto"/>
        </w:rPr>
        <w:t>Section 10.5(a)(ii)</w:t>
      </w:r>
      <w:r>
        <w:rPr>
          <w:rFonts w:ascii="Arial" w:cs="Arial" w:eastAsia="Arial" w:hAnsi="Arial"/>
          <w:sz w:val="21"/>
          <w:szCs w:val="21"/>
          <w:color w:val="auto"/>
        </w:rPr>
        <w:t xml:space="preserve"> of the Lease (i.e., the Annual Minimum Per-Lease B&amp;I Cap Ex Requirement).</w:t>
      </w:r>
    </w:p>
    <w:p>
      <w:pPr>
        <w:spacing w:after="0" w:line="165" w:lineRule="exact"/>
        <w:rPr>
          <w:rFonts w:ascii="Arial" w:cs="Arial" w:eastAsia="Arial" w:hAnsi="Arial"/>
          <w:sz w:val="21"/>
          <w:szCs w:val="21"/>
          <w:color w:val="auto"/>
        </w:rPr>
      </w:pPr>
    </w:p>
    <w:p>
      <w:pPr>
        <w:jc w:val="both"/>
        <w:ind w:left="980" w:hanging="324"/>
        <w:spacing w:after="0" w:line="218" w:lineRule="auto"/>
        <w:tabs>
          <w:tab w:leader="none" w:pos="968" w:val="left"/>
        </w:tabs>
        <w:numPr>
          <w:ilvl w:val="0"/>
          <w:numId w:val="142"/>
        </w:numPr>
        <w:rPr>
          <w:rFonts w:ascii="Arial" w:cs="Arial" w:eastAsia="Arial" w:hAnsi="Arial"/>
          <w:sz w:val="22"/>
          <w:szCs w:val="22"/>
          <w:color w:val="auto"/>
        </w:rPr>
      </w:pPr>
      <w:r>
        <w:rPr>
          <w:rFonts w:ascii="Arial" w:cs="Arial" w:eastAsia="Arial" w:hAnsi="Arial"/>
          <w:sz w:val="22"/>
          <w:szCs w:val="22"/>
          <w:u w:val="single" w:color="auto"/>
          <w:color w:val="auto"/>
        </w:rPr>
        <w:t>Triennial Allocated Minimum Cap Ex Amount B Floor</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of the Lease is hereby amended such that the definition of “Triennial Allocated Minimum Cap Ex Amount B Floor” is hereby revised and modified to replace the reference therein to “Two Hundred Ninety Million and No/100 Dollars ($290,000,000.00)” with a reference to “Two Hundred Eighty-Six Million and No/100 Dollars ($286,000,000.00)”.</w:t>
      </w:r>
    </w:p>
    <w:p>
      <w:pPr>
        <w:spacing w:after="0" w:line="160" w:lineRule="exact"/>
        <w:rPr>
          <w:rFonts w:ascii="Arial" w:cs="Arial" w:eastAsia="Arial" w:hAnsi="Arial"/>
          <w:sz w:val="22"/>
          <w:szCs w:val="22"/>
          <w:color w:val="auto"/>
        </w:rPr>
      </w:pPr>
    </w:p>
    <w:p>
      <w:pPr>
        <w:jc w:val="both"/>
        <w:ind w:left="980" w:hanging="324"/>
        <w:spacing w:after="0" w:line="257" w:lineRule="auto"/>
        <w:tabs>
          <w:tab w:leader="none" w:pos="980" w:val="left"/>
        </w:tabs>
        <w:numPr>
          <w:ilvl w:val="0"/>
          <w:numId w:val="142"/>
        </w:numPr>
        <w:rPr>
          <w:rFonts w:ascii="Arial" w:cs="Arial" w:eastAsia="Arial" w:hAnsi="Arial"/>
          <w:sz w:val="19"/>
          <w:szCs w:val="19"/>
          <w:color w:val="auto"/>
        </w:rPr>
      </w:pPr>
      <w:r>
        <w:rPr>
          <w:rFonts w:ascii="Arial" w:cs="Arial" w:eastAsia="Arial" w:hAnsi="Arial"/>
          <w:sz w:val="19"/>
          <w:szCs w:val="19"/>
          <w:u w:val="single" w:color="auto"/>
          <w:color w:val="auto"/>
        </w:rPr>
        <w:t>Triennial Minimum Cap Ex Amount A</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of the Lease is hereby amended such that the definition of “Triennial Minimum Cap Ex Amount A” is hereby revised and modified to replace the reference therein to “Five Hundred Thirty-Seven Million Five Hundred Thousand and No/100 Dollars ($537,500,000.00)” with a reference to “Five Hundred Thirty-One Million Nine Hundred Thousand and No/100 Dollars ($531,900,000.00)”.</w:t>
      </w:r>
    </w:p>
    <w:p>
      <w:pPr>
        <w:spacing w:after="0" w:line="144" w:lineRule="exact"/>
        <w:rPr>
          <w:rFonts w:ascii="Arial" w:cs="Arial" w:eastAsia="Arial" w:hAnsi="Arial"/>
          <w:sz w:val="19"/>
          <w:szCs w:val="19"/>
          <w:color w:val="auto"/>
        </w:rPr>
      </w:pPr>
    </w:p>
    <w:p>
      <w:pPr>
        <w:jc w:val="both"/>
        <w:ind w:left="980" w:hanging="324"/>
        <w:spacing w:after="0" w:line="229" w:lineRule="auto"/>
        <w:tabs>
          <w:tab w:leader="none" w:pos="968" w:val="left"/>
        </w:tabs>
        <w:numPr>
          <w:ilvl w:val="0"/>
          <w:numId w:val="142"/>
        </w:numPr>
        <w:rPr>
          <w:rFonts w:ascii="Arial" w:cs="Arial" w:eastAsia="Arial" w:hAnsi="Arial"/>
          <w:sz w:val="21"/>
          <w:szCs w:val="21"/>
          <w:color w:val="auto"/>
        </w:rPr>
      </w:pPr>
      <w:r>
        <w:rPr>
          <w:rFonts w:ascii="Arial" w:cs="Arial" w:eastAsia="Arial" w:hAnsi="Arial"/>
          <w:sz w:val="21"/>
          <w:szCs w:val="21"/>
          <w:u w:val="single" w:color="auto"/>
          <w:color w:val="auto"/>
        </w:rPr>
        <w:t>Triennial Minimum Cap Ex Amount B</w:t>
      </w:r>
      <w:r>
        <w:rPr>
          <w:rFonts w:ascii="Arial" w:cs="Arial" w:eastAsia="Arial" w:hAnsi="Arial"/>
          <w:sz w:val="21"/>
          <w:szCs w:val="21"/>
          <w:color w:val="auto"/>
        </w:rPr>
        <w:t xml:space="preserve">.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of the Lease is hereby amended such that the definition of “Triennial Minimum Cap Ex Amount B” is hereby revised and modified to replace the reference therein to “Three Hundred Eighty-Four Million Three Hundred Thousand and No/100 Dollars ($384,300,000.00)” with a reference to “Three Hundred Eighty Million Three Hundred Thousand and No/100 Dollars ($380,300,000.00)”.</w:t>
      </w:r>
    </w:p>
    <w:p>
      <w:pPr>
        <w:spacing w:after="0" w:line="158" w:lineRule="exact"/>
        <w:rPr>
          <w:rFonts w:ascii="Arial" w:cs="Arial" w:eastAsia="Arial" w:hAnsi="Arial"/>
          <w:sz w:val="21"/>
          <w:szCs w:val="21"/>
          <w:color w:val="auto"/>
        </w:rPr>
      </w:pPr>
    </w:p>
    <w:p>
      <w:pPr>
        <w:ind w:left="980" w:hanging="324"/>
        <w:spacing w:after="0"/>
        <w:tabs>
          <w:tab w:leader="none" w:pos="980" w:val="left"/>
        </w:tabs>
        <w:numPr>
          <w:ilvl w:val="0"/>
          <w:numId w:val="142"/>
        </w:numPr>
        <w:rPr>
          <w:rFonts w:ascii="Arial" w:cs="Arial" w:eastAsia="Arial" w:hAnsi="Arial"/>
          <w:sz w:val="22"/>
          <w:szCs w:val="22"/>
          <w:color w:val="auto"/>
        </w:rPr>
      </w:pPr>
      <w:r>
        <w:rPr>
          <w:rFonts w:ascii="Arial" w:cs="Arial" w:eastAsia="Arial" w:hAnsi="Arial"/>
          <w:sz w:val="22"/>
          <w:szCs w:val="22"/>
          <w:u w:val="single" w:color="auto"/>
          <w:color w:val="auto"/>
        </w:rPr>
        <w:t>Partial Periods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1620" w:hanging="316"/>
        <w:spacing w:after="0" w:line="232" w:lineRule="auto"/>
        <w:tabs>
          <w:tab w:leader="none" w:pos="1612" w:val="left"/>
        </w:tabs>
        <w:numPr>
          <w:ilvl w:val="1"/>
          <w:numId w:val="142"/>
        </w:numPr>
        <w:rPr>
          <w:rFonts w:ascii="Arial" w:cs="Arial" w:eastAsia="Arial" w:hAnsi="Arial"/>
          <w:sz w:val="22"/>
          <w:szCs w:val="22"/>
          <w:color w:val="auto"/>
        </w:rPr>
      </w:pPr>
      <w:r>
        <w:rPr>
          <w:rFonts w:ascii="Arial" w:cs="Arial" w:eastAsia="Arial" w:hAnsi="Arial"/>
          <w:sz w:val="22"/>
          <w:szCs w:val="22"/>
          <w:u w:val="single" w:color="auto"/>
          <w:color w:val="auto"/>
        </w:rPr>
        <w:t>Section 10.5(a)(v)(b)</w:t>
      </w:r>
      <w:r>
        <w:rPr>
          <w:rFonts w:ascii="Arial" w:cs="Arial" w:eastAsia="Arial" w:hAnsi="Arial"/>
          <w:sz w:val="22"/>
          <w:szCs w:val="22"/>
          <w:color w:val="auto"/>
        </w:rPr>
        <w:t xml:space="preserve"> of the Lease is hereby amended to (a) replace the reference therein to “Five Hundred Thirty-Seven Million Five Hundred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95" w:right="339" w:bottom="1440" w:gutter="0" w:footer="0" w:header="0"/>
        </w:sectPr>
      </w:pPr>
    </w:p>
    <w:bookmarkStart w:id="206" w:name="page207"/>
    <w:bookmarkEnd w:id="206"/>
    <w:p>
      <w:pPr>
        <w:jc w:val="both"/>
        <w:ind w:left="964"/>
        <w:spacing w:after="0" w:line="216" w:lineRule="auto"/>
        <w:rPr>
          <w:sz w:val="20"/>
          <w:szCs w:val="20"/>
          <w:color w:val="auto"/>
        </w:rPr>
      </w:pPr>
      <w:r>
        <w:rPr>
          <w:rFonts w:ascii="Arial" w:cs="Arial" w:eastAsia="Arial" w:hAnsi="Arial"/>
          <w:sz w:val="22"/>
          <w:szCs w:val="22"/>
          <w:color w:val="auto"/>
        </w:rPr>
        <w:t>Thousand and No/100 Dollars ($537,500,000.00)” with a reference to “Five Hundred Thirty-One Million Nine Hundred Thousand and No/100 Dollars ($531,900,000.00)” and (b) replace the reference therein to “One Hundred Seventy-Nine Million One Hundred Sixty-Six Thousand Six Hundred Sixty-Seven and No/100 Dollars ($179,166,667.00)” with a reference to “One Hundred Seventy-Seven Million Three Hundred Thousand and No/100 Dollars ($177,300,000.00)”,</w:t>
      </w:r>
    </w:p>
    <w:p>
      <w:pPr>
        <w:spacing w:after="0" w:line="158" w:lineRule="exact"/>
        <w:rPr>
          <w:sz w:val="20"/>
          <w:szCs w:val="20"/>
          <w:color w:val="auto"/>
        </w:rPr>
      </w:pPr>
    </w:p>
    <w:p>
      <w:pPr>
        <w:jc w:val="both"/>
        <w:ind w:left="964" w:hanging="316"/>
        <w:spacing w:after="0" w:line="249" w:lineRule="auto"/>
        <w:tabs>
          <w:tab w:leader="none" w:pos="963" w:val="left"/>
        </w:tabs>
        <w:numPr>
          <w:ilvl w:val="1"/>
          <w:numId w:val="143"/>
        </w:numPr>
        <w:rPr>
          <w:rFonts w:ascii="Arial" w:cs="Arial" w:eastAsia="Arial" w:hAnsi="Arial"/>
          <w:sz w:val="19"/>
          <w:szCs w:val="19"/>
          <w:color w:val="auto"/>
        </w:rPr>
      </w:pPr>
      <w:r>
        <w:rPr>
          <w:rFonts w:ascii="Arial" w:cs="Arial" w:eastAsia="Arial" w:hAnsi="Arial"/>
          <w:sz w:val="19"/>
          <w:szCs w:val="19"/>
          <w:u w:val="single" w:color="auto"/>
          <w:color w:val="auto"/>
        </w:rPr>
        <w:t>Section 10.5(a)(v)(c)</w:t>
      </w:r>
      <w:r>
        <w:rPr>
          <w:rFonts w:ascii="Arial" w:cs="Arial" w:eastAsia="Arial" w:hAnsi="Arial"/>
          <w:sz w:val="19"/>
          <w:szCs w:val="19"/>
          <w:color w:val="auto"/>
        </w:rPr>
        <w:t xml:space="preserve"> of the Lease is hereby amended to (a) replace the reference therein to “Three Hundred Eighty-Four Million Three Hundred Thousand and No/100 Dollars ($384,300,000.00)” with a reference to “Three Hundred Eighty Million Three Hundred Thousand and No/100 Dollars ($380,300,000.00)” and (b) replace the reference therein to “One Hundred Twenty-Eight Million One Hundred Thousand and No/100 Dollars ($128,100,000.00)” with a reference to “One Hundred Twenty-Six Million Seven Hundred Sixty-Six Thousand Six Hundred Sixty-Six and 67/100 Dollars ($126,766,666.67)”, and</w:t>
      </w:r>
    </w:p>
    <w:p>
      <w:pPr>
        <w:spacing w:after="0" w:line="151" w:lineRule="exact"/>
        <w:rPr>
          <w:rFonts w:ascii="Arial" w:cs="Arial" w:eastAsia="Arial" w:hAnsi="Arial"/>
          <w:sz w:val="19"/>
          <w:szCs w:val="19"/>
          <w:color w:val="auto"/>
        </w:rPr>
      </w:pPr>
    </w:p>
    <w:p>
      <w:pPr>
        <w:jc w:val="both"/>
        <w:ind w:left="964" w:hanging="316"/>
        <w:spacing w:after="0" w:line="219" w:lineRule="auto"/>
        <w:tabs>
          <w:tab w:leader="none" w:pos="955" w:val="left"/>
        </w:tabs>
        <w:numPr>
          <w:ilvl w:val="1"/>
          <w:numId w:val="143"/>
        </w:numPr>
        <w:rPr>
          <w:rFonts w:ascii="Arial" w:cs="Arial" w:eastAsia="Arial" w:hAnsi="Arial"/>
          <w:sz w:val="21"/>
          <w:szCs w:val="21"/>
          <w:color w:val="auto"/>
        </w:rPr>
      </w:pPr>
      <w:r>
        <w:rPr>
          <w:rFonts w:ascii="Arial" w:cs="Arial" w:eastAsia="Arial" w:hAnsi="Arial"/>
          <w:sz w:val="21"/>
          <w:szCs w:val="21"/>
          <w:color w:val="auto"/>
        </w:rPr>
        <w:t>The second sentence of Section 10.5(a)(v) of the Lease is hereby amended to (a) replace the reference therein to “Five Hundred Thirty-Seven Million Five Hundred Thousand and No/100 Dollars ($537,500,000.00)” with a reference to “Five Hundred Thirty-One Million Nine Hundred Thousand and No/100 Dollars ($531,900,000.00)”, (b) replace the reference therein to “One Hundred Seventy-Nine Million One Hundred Sixty-Six Thousand Six Hundred Sixty-Seven and No/100 Dollars ($179,166,667.00)” with a reference to “One Hundred Seventy-Seven Million Three Hundred Thousand and No/100 Dollars ($177,300,000.00)”, (c) replace the reference therein to “Three Hundred Eighty-Four Million Three Hundred Thousand and No/100 Dollars ($384,300,000.00)” with a reference to “Three Hundred Eighty Million Three Hundred Thousand and No/100 Dollars ($380,300,000.00)” and (d) replace the reference therein to “One Hundred Twenty-Eight Million One Hundred Thousand and No/100 Dollars ($128,100,000.00)” with a reference to “One Hundred Twenty-Six Million Seven Hundred Sixty-Six Thousand Six Hundred Sixty-Six and 67/100 Dollars ($126,766,666.67)”.</w:t>
      </w:r>
    </w:p>
    <w:p>
      <w:pPr>
        <w:spacing w:after="0" w:line="163" w:lineRule="exact"/>
        <w:rPr>
          <w:rFonts w:ascii="Arial" w:cs="Arial" w:eastAsia="Arial" w:hAnsi="Arial"/>
          <w:sz w:val="21"/>
          <w:szCs w:val="21"/>
          <w:color w:val="auto"/>
        </w:rPr>
      </w:pPr>
    </w:p>
    <w:p>
      <w:pPr>
        <w:ind w:left="324" w:hanging="324"/>
        <w:spacing w:after="0"/>
        <w:tabs>
          <w:tab w:leader="none" w:pos="324" w:val="left"/>
        </w:tabs>
        <w:numPr>
          <w:ilvl w:val="0"/>
          <w:numId w:val="144"/>
        </w:numPr>
        <w:rPr>
          <w:rFonts w:ascii="Arial" w:cs="Arial" w:eastAsia="Arial" w:hAnsi="Arial"/>
          <w:sz w:val="22"/>
          <w:szCs w:val="22"/>
          <w:color w:val="auto"/>
        </w:rPr>
      </w:pPr>
      <w:r>
        <w:rPr>
          <w:rFonts w:ascii="Arial" w:cs="Arial" w:eastAsia="Arial" w:hAnsi="Arial"/>
          <w:sz w:val="22"/>
          <w:szCs w:val="22"/>
          <w:u w:val="single" w:color="auto"/>
          <w:color w:val="auto"/>
        </w:rPr>
        <w:t>Regional Lease Section 22.2(ix) Transfer</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jc w:val="both"/>
        <w:ind w:left="964" w:right="40" w:hanging="316"/>
        <w:spacing w:after="0" w:line="297" w:lineRule="auto"/>
        <w:tabs>
          <w:tab w:leader="none" w:pos="956" w:val="left"/>
        </w:tabs>
        <w:numPr>
          <w:ilvl w:val="1"/>
          <w:numId w:val="144"/>
        </w:numPr>
        <w:rPr>
          <w:rFonts w:ascii="Arial" w:cs="Arial" w:eastAsia="Arial" w:hAnsi="Arial"/>
          <w:sz w:val="19"/>
          <w:szCs w:val="19"/>
          <w:color w:val="auto"/>
        </w:rPr>
      </w:pPr>
      <w:r>
        <w:rPr>
          <w:rFonts w:ascii="Arial" w:cs="Arial" w:eastAsia="Arial" w:hAnsi="Arial"/>
          <w:sz w:val="19"/>
          <w:szCs w:val="19"/>
          <w:color w:val="auto"/>
        </w:rPr>
        <w:t>Landlord and Tenant hereby acknowledge and agree that the LAD Transaction shall be deemed to be, and treated as, a transfer and sale of the entire “Leased Property” (as defined in the Regional Lease) with respect to a “Facility” (as defined in the Regional Lease) pursuant to Section 22.2(ix) of the Regional Lease.</w:t>
      </w:r>
    </w:p>
    <w:p>
      <w:pPr>
        <w:spacing w:after="0" w:line="133" w:lineRule="exact"/>
        <w:rPr>
          <w:rFonts w:ascii="Arial" w:cs="Arial" w:eastAsia="Arial" w:hAnsi="Arial"/>
          <w:sz w:val="19"/>
          <w:szCs w:val="19"/>
          <w:color w:val="auto"/>
        </w:rPr>
      </w:pPr>
    </w:p>
    <w:p>
      <w:pPr>
        <w:ind w:left="964" w:right="40" w:hanging="316"/>
        <w:spacing w:after="0" w:line="250" w:lineRule="auto"/>
        <w:tabs>
          <w:tab w:leader="none" w:pos="963" w:val="left"/>
        </w:tabs>
        <w:numPr>
          <w:ilvl w:val="1"/>
          <w:numId w:val="144"/>
        </w:numPr>
        <w:rPr>
          <w:rFonts w:ascii="Arial" w:cs="Arial" w:eastAsia="Arial" w:hAnsi="Arial"/>
          <w:sz w:val="22"/>
          <w:szCs w:val="22"/>
          <w:color w:val="auto"/>
        </w:rPr>
      </w:pPr>
      <w:r>
        <w:rPr>
          <w:rFonts w:ascii="Arial" w:cs="Arial" w:eastAsia="Arial" w:hAnsi="Arial"/>
          <w:sz w:val="22"/>
          <w:szCs w:val="22"/>
          <w:color w:val="auto"/>
        </w:rPr>
        <w:t xml:space="preserve">The 2018 Facility EBITDAR of Regional Tenant for the LAD Facility is as set forth on </w:t>
      </w:r>
      <w:r>
        <w:rPr>
          <w:rFonts w:ascii="Arial" w:cs="Arial" w:eastAsia="Arial" w:hAnsi="Arial"/>
          <w:sz w:val="22"/>
          <w:szCs w:val="22"/>
          <w:u w:val="single" w:color="auto"/>
          <w:color w:val="auto"/>
        </w:rPr>
        <w:t>Schedule C</w:t>
      </w:r>
      <w:r>
        <w:rPr>
          <w:rFonts w:ascii="Arial" w:cs="Arial" w:eastAsia="Arial" w:hAnsi="Arial"/>
          <w:sz w:val="22"/>
          <w:szCs w:val="22"/>
          <w:color w:val="auto"/>
        </w:rPr>
        <w:t xml:space="preserve"> annexed to the Eighth Amendment to the Regional Lease.</w:t>
      </w:r>
    </w:p>
    <w:p>
      <w:pPr>
        <w:spacing w:after="0" w:line="174" w:lineRule="exact"/>
        <w:rPr>
          <w:rFonts w:ascii="Arial" w:cs="Arial" w:eastAsia="Arial" w:hAnsi="Arial"/>
          <w:sz w:val="22"/>
          <w:szCs w:val="22"/>
          <w:color w:val="auto"/>
        </w:rPr>
      </w:pPr>
    </w:p>
    <w:p>
      <w:pPr>
        <w:jc w:val="both"/>
        <w:ind w:left="964" w:right="40" w:hanging="316"/>
        <w:spacing w:after="0" w:line="257" w:lineRule="auto"/>
        <w:tabs>
          <w:tab w:leader="none" w:pos="955" w:val="left"/>
        </w:tabs>
        <w:numPr>
          <w:ilvl w:val="1"/>
          <w:numId w:val="144"/>
        </w:numPr>
        <w:rPr>
          <w:rFonts w:ascii="Arial" w:cs="Arial" w:eastAsia="Arial" w:hAnsi="Arial"/>
          <w:sz w:val="21"/>
          <w:szCs w:val="21"/>
          <w:color w:val="auto"/>
        </w:rPr>
      </w:pPr>
      <w:r>
        <w:rPr>
          <w:rFonts w:ascii="Arial" w:cs="Arial" w:eastAsia="Arial" w:hAnsi="Arial"/>
          <w:sz w:val="21"/>
          <w:szCs w:val="21"/>
          <w:color w:val="auto"/>
        </w:rPr>
        <w:t>The amount of the 2018 EBITDAR Pool shall not be reduced as a result of the LAD Facility no longer being a Regional Facility under the Regional Lease, and the removal of the LAD Facility from the Regional Lease shall not constitute a L1 Transfer or a L2 Transfer under the Regional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584"/>
          </w:cols>
          <w:pgMar w:left="976" w:top="1401" w:right="339" w:bottom="1440" w:gutter="0" w:footer="0" w:header="0"/>
        </w:sectPr>
      </w:pPr>
    </w:p>
    <w:bookmarkStart w:id="207" w:name="page208"/>
    <w:bookmarkEnd w:id="207"/>
    <w:p>
      <w:pPr>
        <w:ind w:left="1620" w:hanging="316"/>
        <w:spacing w:after="0" w:line="328" w:lineRule="auto"/>
        <w:tabs>
          <w:tab w:leader="none" w:pos="1598" w:val="left"/>
        </w:tabs>
        <w:numPr>
          <w:ilvl w:val="1"/>
          <w:numId w:val="145"/>
        </w:numPr>
        <w:rPr>
          <w:rFonts w:ascii="Arial" w:cs="Arial" w:eastAsia="Arial" w:hAnsi="Arial"/>
          <w:sz w:val="19"/>
          <w:szCs w:val="19"/>
          <w:color w:val="auto"/>
        </w:rPr>
      </w:pPr>
      <w:r>
        <w:rPr>
          <w:rFonts w:ascii="Arial" w:cs="Arial" w:eastAsia="Arial" w:hAnsi="Arial"/>
          <w:sz w:val="19"/>
          <w:szCs w:val="19"/>
          <w:color w:val="auto"/>
        </w:rPr>
        <w:t>The treatment of the LAD Transaction hereunder is not intended to serve as a precedent for the treatment of future dispositions (if any) which may be effectuated under any applicable provision of the Regional Lease.</w:t>
      </w:r>
    </w:p>
    <w:p>
      <w:pPr>
        <w:spacing w:after="0" w:line="50" w:lineRule="exact"/>
        <w:rPr>
          <w:rFonts w:ascii="Arial" w:cs="Arial" w:eastAsia="Arial" w:hAnsi="Arial"/>
          <w:sz w:val="19"/>
          <w:szCs w:val="19"/>
          <w:color w:val="auto"/>
        </w:rPr>
      </w:pPr>
    </w:p>
    <w:p>
      <w:pPr>
        <w:ind w:left="980" w:hanging="324"/>
        <w:spacing w:after="0"/>
        <w:tabs>
          <w:tab w:leader="none" w:pos="980" w:val="left"/>
        </w:tabs>
        <w:numPr>
          <w:ilvl w:val="0"/>
          <w:numId w:val="146"/>
        </w:numPr>
        <w:rPr>
          <w:rFonts w:ascii="Arial" w:cs="Arial" w:eastAsia="Arial" w:hAnsi="Arial"/>
          <w:sz w:val="22"/>
          <w:szCs w:val="22"/>
          <w:color w:val="auto"/>
        </w:rPr>
      </w:pPr>
      <w:r>
        <w:rPr>
          <w:rFonts w:ascii="Arial" w:cs="Arial" w:eastAsia="Arial" w:hAnsi="Arial"/>
          <w:sz w:val="22"/>
          <w:szCs w:val="22"/>
          <w:u w:val="single" w:color="auto"/>
          <w:color w:val="auto"/>
        </w:rPr>
        <w:t>Turfway Park Parcel Transaction</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jc w:val="both"/>
        <w:ind w:left="1620" w:right="40" w:hanging="316"/>
        <w:spacing w:after="0"/>
        <w:tabs>
          <w:tab w:leader="none" w:pos="1612" w:val="left"/>
        </w:tabs>
        <w:numPr>
          <w:ilvl w:val="1"/>
          <w:numId w:val="146"/>
        </w:numPr>
        <w:rPr>
          <w:rFonts w:ascii="Arial" w:cs="Arial" w:eastAsia="Arial" w:hAnsi="Arial"/>
          <w:sz w:val="22"/>
          <w:szCs w:val="22"/>
          <w:color w:val="auto"/>
        </w:rPr>
      </w:pPr>
      <w:r>
        <w:rPr>
          <w:rFonts w:ascii="Arial" w:cs="Arial" w:eastAsia="Arial" w:hAnsi="Arial"/>
          <w:sz w:val="22"/>
          <w:szCs w:val="22"/>
          <w:color w:val="auto"/>
        </w:rPr>
        <w:t>Landlord and Tenant hereby acknowledge and agree that the removal of the Turfway Park Parcel from the Regional Lease was made in connection with Regional Landlord’s conveyance of the Turfway Park Parcel pursuant to Section 18.3 of the Regional Lease.</w:t>
      </w:r>
    </w:p>
    <w:p>
      <w:pPr>
        <w:spacing w:after="0" w:line="186" w:lineRule="exact"/>
        <w:rPr>
          <w:rFonts w:ascii="Arial" w:cs="Arial" w:eastAsia="Arial" w:hAnsi="Arial"/>
          <w:sz w:val="22"/>
          <w:szCs w:val="22"/>
          <w:color w:val="auto"/>
        </w:rPr>
      </w:pPr>
    </w:p>
    <w:p>
      <w:pPr>
        <w:jc w:val="both"/>
        <w:ind w:left="1620" w:right="40" w:hanging="316"/>
        <w:spacing w:after="0"/>
        <w:tabs>
          <w:tab w:leader="none" w:pos="1619" w:val="left"/>
        </w:tabs>
        <w:numPr>
          <w:ilvl w:val="1"/>
          <w:numId w:val="146"/>
        </w:numPr>
        <w:rPr>
          <w:rFonts w:ascii="Arial" w:cs="Arial" w:eastAsia="Arial" w:hAnsi="Arial"/>
          <w:sz w:val="22"/>
          <w:szCs w:val="22"/>
          <w:color w:val="auto"/>
        </w:rPr>
      </w:pPr>
      <w:r>
        <w:rPr>
          <w:rFonts w:ascii="Arial" w:cs="Arial" w:eastAsia="Arial" w:hAnsi="Arial"/>
          <w:sz w:val="22"/>
          <w:szCs w:val="22"/>
          <w:color w:val="auto"/>
        </w:rPr>
        <w:t>The treatment of the Turfway Park Parcel Transaction hereunder is not intended to serve as a precedent for the treatment of future dispositions (if any) which may be effectuated under any applicable provision of the Regional Lease.</w:t>
      </w:r>
    </w:p>
    <w:p>
      <w:pPr>
        <w:spacing w:after="0" w:line="167" w:lineRule="exact"/>
        <w:rPr>
          <w:sz w:val="20"/>
          <w:szCs w:val="20"/>
          <w:color w:val="auto"/>
        </w:rPr>
      </w:pPr>
    </w:p>
    <w:p>
      <w:pPr>
        <w:jc w:val="both"/>
        <w:ind w:firstLine="656"/>
        <w:spacing w:after="0" w:line="225" w:lineRule="auto"/>
        <w:tabs>
          <w:tab w:leader="none" w:pos="1296" w:val="left"/>
        </w:tabs>
        <w:numPr>
          <w:ilvl w:val="0"/>
          <w:numId w:val="147"/>
        </w:numPr>
        <w:rPr>
          <w:rFonts w:ascii="Arial" w:cs="Arial" w:eastAsia="Arial" w:hAnsi="Arial"/>
          <w:sz w:val="22"/>
          <w:szCs w:val="22"/>
          <w:color w:val="auto"/>
        </w:rPr>
      </w:pPr>
      <w:r>
        <w:rPr>
          <w:rFonts w:ascii="Arial" w:cs="Arial" w:eastAsia="Arial" w:hAnsi="Arial"/>
          <w:sz w:val="22"/>
          <w:szCs w:val="22"/>
          <w:b w:val="1"/>
          <w:bCs w:val="1"/>
          <w:u w:val="single" w:color="auto"/>
          <w:color w:val="auto"/>
        </w:rPr>
        <w:t>No Other Modification or Amendment to the Lease</w:t>
      </w:r>
      <w:r>
        <w:rPr>
          <w:rFonts w:ascii="Arial" w:cs="Arial" w:eastAsia="Arial" w:hAnsi="Arial"/>
          <w:sz w:val="22"/>
          <w:szCs w:val="22"/>
          <w:color w:val="auto"/>
        </w:rPr>
        <w:t>. The Lease shall remain in full force and effect except as</w:t>
      </w:r>
      <w:r>
        <w:rPr>
          <w:rFonts w:ascii="Arial" w:cs="Arial" w:eastAsia="Arial" w:hAnsi="Arial"/>
          <w:sz w:val="22"/>
          <w:szCs w:val="22"/>
          <w:b w:val="1"/>
          <w:bCs w:val="1"/>
          <w:color w:val="auto"/>
        </w:rPr>
        <w:t xml:space="preserve"> </w:t>
      </w:r>
      <w:r>
        <w:rPr>
          <w:rFonts w:ascii="Arial" w:cs="Arial" w:eastAsia="Arial" w:hAnsi="Arial"/>
          <w:sz w:val="22"/>
          <w:szCs w:val="22"/>
          <w:color w:val="auto"/>
        </w:rPr>
        <w:t>expressly amended or modified by this Amendment. From and after the date of this Amendment, all references in the Lease to the “Lease” shall be deemed to refer to the Lease as amended by this Amendment.</w:t>
      </w:r>
    </w:p>
    <w:p>
      <w:pPr>
        <w:spacing w:after="0" w:line="152" w:lineRule="exact"/>
        <w:rPr>
          <w:rFonts w:ascii="Arial" w:cs="Arial" w:eastAsia="Arial" w:hAnsi="Arial"/>
          <w:sz w:val="22"/>
          <w:szCs w:val="22"/>
          <w:color w:val="auto"/>
        </w:rPr>
      </w:pPr>
    </w:p>
    <w:p>
      <w:pPr>
        <w:jc w:val="both"/>
        <w:ind w:firstLine="656"/>
        <w:spacing w:after="0" w:line="220" w:lineRule="auto"/>
        <w:tabs>
          <w:tab w:leader="none" w:pos="1296" w:val="left"/>
        </w:tabs>
        <w:numPr>
          <w:ilvl w:val="0"/>
          <w:numId w:val="147"/>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 Jurisdiction</w:t>
      </w:r>
      <w:r>
        <w:rPr>
          <w:rFonts w:ascii="Arial" w:cs="Arial" w:eastAsia="Arial" w:hAnsi="Arial"/>
          <w:sz w:val="22"/>
          <w:szCs w:val="22"/>
          <w:color w:val="auto"/>
        </w:rPr>
        <w:t>. This Amendment shall be construed according to and governed by the laws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jurisdiction(s) specified by the Lease without regard to its or their conflicts of law principles. The parties hereto hereby irrevocably submit to the jurisdiction of any court of competent jurisdiction located in such applicable jurisdiction in connection with any proceeding arising out of or relating to this Amendment.</w:t>
      </w:r>
    </w:p>
    <w:p>
      <w:pPr>
        <w:spacing w:after="0" w:line="152" w:lineRule="exact"/>
        <w:rPr>
          <w:rFonts w:ascii="Arial" w:cs="Arial" w:eastAsia="Arial" w:hAnsi="Arial"/>
          <w:sz w:val="22"/>
          <w:szCs w:val="22"/>
          <w:color w:val="auto"/>
        </w:rPr>
      </w:pPr>
    </w:p>
    <w:p>
      <w:pPr>
        <w:jc w:val="both"/>
        <w:ind w:firstLine="656"/>
        <w:spacing w:after="0" w:line="225" w:lineRule="auto"/>
        <w:tabs>
          <w:tab w:leader="none" w:pos="1296" w:val="left"/>
        </w:tabs>
        <w:numPr>
          <w:ilvl w:val="0"/>
          <w:numId w:val="147"/>
        </w:numPr>
        <w:rPr>
          <w:rFonts w:ascii="Arial" w:cs="Arial" w:eastAsia="Arial" w:hAnsi="Arial"/>
          <w:sz w:val="22"/>
          <w:szCs w:val="22"/>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Amendment may be executed by one or more of the parties hereto on any number of separate</w:t>
      </w:r>
      <w:r>
        <w:rPr>
          <w:rFonts w:ascii="Arial" w:cs="Arial" w:eastAsia="Arial" w:hAnsi="Arial"/>
          <w:sz w:val="22"/>
          <w:szCs w:val="22"/>
          <w:b w:val="1"/>
          <w:bCs w:val="1"/>
          <w:color w:val="auto"/>
        </w:rPr>
        <w:t xml:space="preserve"> </w:t>
      </w:r>
      <w:r>
        <w:rPr>
          <w:rFonts w:ascii="Arial" w:cs="Arial" w:eastAsia="Arial" w:hAnsi="Arial"/>
          <w:sz w:val="22"/>
          <w:szCs w:val="22"/>
          <w:color w:val="auto"/>
        </w:rPr>
        <w:t>counterparts, and all of such counterparts taken together shall be deemed to constitute one and the same instrument. Facsimile and/or .pdf signatures shall be deemed to be originals for all purposes.</w:t>
      </w:r>
    </w:p>
    <w:p>
      <w:pPr>
        <w:spacing w:after="0" w:line="152" w:lineRule="exact"/>
        <w:rPr>
          <w:rFonts w:ascii="Arial" w:cs="Arial" w:eastAsia="Arial" w:hAnsi="Arial"/>
          <w:sz w:val="22"/>
          <w:szCs w:val="22"/>
          <w:color w:val="auto"/>
        </w:rPr>
      </w:pPr>
    </w:p>
    <w:p>
      <w:pPr>
        <w:ind w:firstLine="656"/>
        <w:spacing w:after="0" w:line="235" w:lineRule="auto"/>
        <w:tabs>
          <w:tab w:leader="none" w:pos="1296" w:val="left"/>
        </w:tabs>
        <w:numPr>
          <w:ilvl w:val="0"/>
          <w:numId w:val="147"/>
        </w:numPr>
        <w:rPr>
          <w:rFonts w:ascii="Arial" w:cs="Arial" w:eastAsia="Arial" w:hAnsi="Arial"/>
          <w:sz w:val="22"/>
          <w:szCs w:val="22"/>
          <w:color w:val="auto"/>
        </w:rPr>
      </w:pPr>
      <w:r>
        <w:rPr>
          <w:rFonts w:ascii="Arial" w:cs="Arial" w:eastAsia="Arial" w:hAnsi="Arial"/>
          <w:sz w:val="22"/>
          <w:szCs w:val="22"/>
          <w:b w:val="1"/>
          <w:bCs w:val="1"/>
          <w:u w:val="single" w:color="auto"/>
          <w:color w:val="auto"/>
        </w:rPr>
        <w:t>Effectiveness</w:t>
      </w:r>
      <w:r>
        <w:rPr>
          <w:rFonts w:ascii="Arial" w:cs="Arial" w:eastAsia="Arial" w:hAnsi="Arial"/>
          <w:sz w:val="22"/>
          <w:szCs w:val="22"/>
          <w:color w:val="auto"/>
        </w:rPr>
        <w:t>. This Amendment shall be effective, as of the date hereof, only upon execution and delivery by each</w:t>
      </w:r>
      <w:r>
        <w:rPr>
          <w:rFonts w:ascii="Arial" w:cs="Arial" w:eastAsia="Arial" w:hAnsi="Arial"/>
          <w:sz w:val="22"/>
          <w:szCs w:val="22"/>
          <w:b w:val="1"/>
          <w:bCs w:val="1"/>
          <w:color w:val="auto"/>
        </w:rPr>
        <w:t xml:space="preserve"> </w:t>
      </w:r>
      <w:r>
        <w:rPr>
          <w:rFonts w:ascii="Arial" w:cs="Arial" w:eastAsia="Arial" w:hAnsi="Arial"/>
          <w:sz w:val="22"/>
          <w:szCs w:val="22"/>
          <w:color w:val="auto"/>
        </w:rPr>
        <w:t>of the parties hereto.</w:t>
      </w:r>
    </w:p>
    <w:p>
      <w:pPr>
        <w:spacing w:after="0" w:line="152" w:lineRule="exact"/>
        <w:rPr>
          <w:rFonts w:ascii="Arial" w:cs="Arial" w:eastAsia="Arial" w:hAnsi="Arial"/>
          <w:sz w:val="22"/>
          <w:szCs w:val="22"/>
          <w:color w:val="auto"/>
        </w:rPr>
      </w:pPr>
    </w:p>
    <w:p>
      <w:pPr>
        <w:jc w:val="both"/>
        <w:ind w:firstLine="656"/>
        <w:spacing w:after="0" w:line="222" w:lineRule="auto"/>
        <w:tabs>
          <w:tab w:leader="none" w:pos="1296" w:val="left"/>
        </w:tabs>
        <w:numPr>
          <w:ilvl w:val="0"/>
          <w:numId w:val="147"/>
        </w:numPr>
        <w:rPr>
          <w:rFonts w:ascii="Arial" w:cs="Arial" w:eastAsia="Arial" w:hAnsi="Arial"/>
          <w:sz w:val="19"/>
          <w:szCs w:val="19"/>
          <w:color w:val="auto"/>
        </w:rPr>
      </w:pPr>
      <w:r>
        <w:rPr>
          <w:rFonts w:ascii="Arial" w:cs="Arial" w:eastAsia="Arial" w:hAnsi="Arial"/>
          <w:sz w:val="21"/>
          <w:szCs w:val="21"/>
          <w:b w:val="1"/>
          <w:bCs w:val="1"/>
          <w:u w:val="single" w:color="auto"/>
          <w:color w:val="auto"/>
        </w:rPr>
        <w:t>Miscellaneous</w:t>
      </w:r>
      <w:r>
        <w:rPr>
          <w:rFonts w:ascii="Arial" w:cs="Arial" w:eastAsia="Arial" w:hAnsi="Arial"/>
          <w:sz w:val="21"/>
          <w:szCs w:val="21"/>
          <w:color w:val="auto"/>
        </w:rPr>
        <w:t>. If any provision of this Amendment is adjudicated to be invalid, illegal or unenforceable, in whole</w:t>
      </w:r>
      <w:r>
        <w:rPr>
          <w:rFonts w:ascii="Arial" w:cs="Arial" w:eastAsia="Arial" w:hAnsi="Arial"/>
          <w:sz w:val="21"/>
          <w:szCs w:val="21"/>
          <w:b w:val="1"/>
          <w:bCs w:val="1"/>
          <w:color w:val="auto"/>
        </w:rPr>
        <w:t xml:space="preserve"> </w:t>
      </w:r>
      <w:r>
        <w:rPr>
          <w:rFonts w:ascii="Arial" w:cs="Arial" w:eastAsia="Arial" w:hAnsi="Arial"/>
          <w:sz w:val="21"/>
          <w:szCs w:val="21"/>
          <w:color w:val="auto"/>
        </w:rPr>
        <w:t>or in part, it will be deemed omitted to that extent and all other provisions of this Amendment will remain in full force and effect. Neither this Amendment nor any provision hereof may be changed, modified, waived, discharged or terminated orally, but only by an instrument in writing signed by the party against whom enforcement of such change, modification, waiver, discharge or termination is sought. The paragraph headings and captions contained in this Amendment are for convenience of reference only and in no event define, describe or limit the scope or intent of this Amendment or any of the provisions or terms hereof. This Amendment shall be binding upon and inure to the benefit of the parties and their respective heirs, legal representatives, successors and permitted assigns.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14" w:right="339" w:bottom="1440" w:gutter="0" w:footer="0" w:header="0"/>
        </w:sectPr>
      </w:pPr>
    </w:p>
    <w:bookmarkStart w:id="208" w:name="page209"/>
    <w:bookmarkEnd w:id="208"/>
    <w:p>
      <w:pPr>
        <w:ind w:firstLine="648"/>
        <w:spacing w:after="0" w:line="232" w:lineRule="auto"/>
        <w:rPr>
          <w:sz w:val="20"/>
          <w:szCs w:val="20"/>
          <w:color w:val="auto"/>
        </w:rPr>
      </w:pPr>
      <w:r>
        <w:rPr>
          <w:rFonts w:ascii="Arial" w:cs="Arial" w:eastAsia="Arial" w:hAnsi="Arial"/>
          <w:sz w:val="22"/>
          <w:szCs w:val="22"/>
          <w:color w:val="auto"/>
        </w:rPr>
        <w:t>IN WITNESS WHEREOF, the parties hereto have caused this Amendment to be duly executed by their duly authorized representatives, all as of the date hereof.</w:t>
      </w: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LANDLORD:</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HARRAH’S JOLIET LANDCO LLC,</w:t>
      </w:r>
    </w:p>
    <w:p>
      <w:pPr>
        <w:spacing w:after="0"/>
        <w:rPr>
          <w:sz w:val="20"/>
          <w:szCs w:val="20"/>
          <w:color w:val="auto"/>
        </w:rPr>
      </w:pPr>
      <w:r>
        <w:rPr>
          <w:rFonts w:ascii="Arial" w:cs="Arial" w:eastAsia="Arial" w:hAnsi="Arial"/>
          <w:sz w:val="22"/>
          <w:szCs w:val="22"/>
          <w:color w:val="auto"/>
        </w:rPr>
        <w:t>a Delaware limited liability company</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By: /s/ David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-5715</wp:posOffset>
            </wp:positionV>
            <wp:extent cx="108585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2">
                      <a:extLst>
                        <a:ext uri="{28A0092B-C50C-407E-A947-70E740481C1C}"/>
                      </a:extLst>
                    </a:blip>
                    <a:srcRect/>
                    <a:stretch>
                      <a:fillRect/>
                    </a:stretch>
                  </pic:blipFill>
                  <pic:spPr bwMode="auto">
                    <a:xfrm>
                      <a:off x="0" y="0"/>
                      <a:ext cx="1085850" cy="8890"/>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2"/>
          <w:szCs w:val="22"/>
          <w:color w:val="auto"/>
        </w:rPr>
        <w:t>Name: David Kieske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[Signatures Continue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Sixth Amendment to Joliet Lease]</w:t>
      </w:r>
    </w:p>
    <w:p>
      <w:pPr>
        <w:sectPr>
          <w:pgSz w:w="11900" w:h="16838" w:orient="portrait"/>
          <w:cols w:equalWidth="0" w:num="1">
            <w:col w:w="11240"/>
          </w:cols>
          <w:pgMar w:left="320" w:top="1401" w:right="339" w:bottom="1440" w:gutter="0" w:footer="0" w:header="0"/>
        </w:sectPr>
      </w:pPr>
    </w:p>
    <w:bookmarkStart w:id="209" w:name="page210"/>
    <w:bookmarkEnd w:id="209"/>
    <w:p>
      <w:pPr>
        <w:spacing w:after="0"/>
        <w:rPr>
          <w:sz w:val="20"/>
          <w:szCs w:val="20"/>
          <w:color w:val="auto"/>
        </w:rPr>
      </w:pPr>
      <w:r>
        <w:rPr>
          <w:rFonts w:ascii="Arial" w:cs="Arial" w:eastAsia="Arial" w:hAnsi="Arial"/>
          <w:sz w:val="22"/>
          <w:szCs w:val="22"/>
          <w:b w:val="1"/>
          <w:bCs w:val="1"/>
          <w:color w:val="auto"/>
        </w:rPr>
        <w:t>TENANT:</w:t>
      </w:r>
    </w:p>
    <w:p>
      <w:pPr>
        <w:spacing w:after="0" w:line="179" w:lineRule="exact"/>
        <w:rPr>
          <w:sz w:val="20"/>
          <w:szCs w:val="20"/>
          <w:color w:val="auto"/>
        </w:rPr>
      </w:pPr>
    </w:p>
    <w:p>
      <w:pPr>
        <w:ind w:right="4339"/>
        <w:spacing w:after="0" w:line="235" w:lineRule="auto"/>
        <w:rPr>
          <w:sz w:val="20"/>
          <w:szCs w:val="20"/>
          <w:color w:val="auto"/>
        </w:rPr>
      </w:pPr>
      <w:r>
        <w:rPr>
          <w:rFonts w:ascii="Arial" w:cs="Arial" w:eastAsia="Arial" w:hAnsi="Arial"/>
          <w:sz w:val="22"/>
          <w:szCs w:val="22"/>
          <w:b w:val="1"/>
          <w:bCs w:val="1"/>
          <w:color w:val="auto"/>
        </w:rPr>
        <w:t xml:space="preserve">DES PLAINES DEVELOPMENT LIMITED PARTNERSHIP, </w:t>
      </w:r>
      <w:r>
        <w:rPr>
          <w:rFonts w:ascii="Arial" w:cs="Arial" w:eastAsia="Arial" w:hAnsi="Arial"/>
          <w:sz w:val="22"/>
          <w:szCs w:val="22"/>
          <w:color w:val="auto"/>
        </w:rPr>
        <w:t>a Delaware limited partnership</w:t>
      </w:r>
    </w:p>
    <w:p>
      <w:pPr>
        <w:spacing w:after="0" w:line="167"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By:</w:t>
        <w:tab/>
        <w:t>Harrah’s Illinois LLC,</w:t>
      </w:r>
    </w:p>
    <w:p>
      <w:pPr>
        <w:ind w:left="220"/>
        <w:spacing w:after="0" w:line="204" w:lineRule="auto"/>
        <w:rPr>
          <w:sz w:val="20"/>
          <w:szCs w:val="20"/>
          <w:color w:val="auto"/>
        </w:rPr>
      </w:pPr>
      <w:r>
        <w:rPr>
          <w:rFonts w:ascii="Arial" w:cs="Arial" w:eastAsia="Arial" w:hAnsi="Arial"/>
          <w:sz w:val="22"/>
          <w:szCs w:val="22"/>
          <w:color w:val="auto"/>
        </w:rPr>
        <w:t>a Nevada limited liability company,</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its general partner</w:t>
      </w: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By: /s/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-5715</wp:posOffset>
            </wp:positionV>
            <wp:extent cx="127635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3">
                      <a:extLst>
                        <a:ext uri="{28A0092B-C50C-407E-A947-70E740481C1C}"/>
                      </a:extLst>
                    </a:blip>
                    <a:srcRect/>
                    <a:stretch>
                      <a:fillRect/>
                    </a:stretch>
                  </pic:blipFill>
                  <pic:spPr bwMode="auto">
                    <a:xfrm>
                      <a:off x="0" y="0"/>
                      <a:ext cx="1276350" cy="8255"/>
                    </a:xfrm>
                    <a:prstGeom prst="rect">
                      <a:avLst/>
                    </a:prstGeom>
                    <a:noFill/>
                  </pic:spPr>
                </pic:pic>
              </a:graphicData>
            </a:graphic>
          </wp:anchor>
        </w:drawing>
      </w:r>
    </w:p>
    <w:p>
      <w:pPr>
        <w:ind w:left="220"/>
        <w:spacing w:after="0" w:line="204" w:lineRule="auto"/>
        <w:rPr>
          <w:sz w:val="20"/>
          <w:szCs w:val="20"/>
          <w:color w:val="auto"/>
        </w:rPr>
      </w:pPr>
      <w:r>
        <w:rPr>
          <w:rFonts w:ascii="Arial" w:cs="Arial" w:eastAsia="Arial" w:hAnsi="Arial"/>
          <w:sz w:val="22"/>
          <w:szCs w:val="22"/>
          <w:color w:val="auto"/>
        </w:rPr>
        <w:t>Name: Bret D. Yunker</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720"/>
        <w:spacing w:after="0"/>
        <w:rPr>
          <w:sz w:val="20"/>
          <w:szCs w:val="20"/>
          <w:color w:val="auto"/>
        </w:rPr>
      </w:pPr>
      <w:r>
        <w:rPr>
          <w:rFonts w:ascii="Arial" w:cs="Arial" w:eastAsia="Arial" w:hAnsi="Arial"/>
          <w:sz w:val="18"/>
          <w:szCs w:val="18"/>
          <w:b w:val="1"/>
          <w:bCs w:val="1"/>
          <w:i w:val="1"/>
          <w:iCs w:val="1"/>
          <w:color w:val="auto"/>
        </w:rPr>
        <w:t>[Signatures Continue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ind w:right="2599"/>
        <w:spacing w:after="0"/>
        <w:rPr>
          <w:sz w:val="20"/>
          <w:szCs w:val="20"/>
          <w:color w:val="auto"/>
        </w:rPr>
      </w:pPr>
      <w:r>
        <w:rPr>
          <w:rFonts w:ascii="Arial" w:cs="Arial" w:eastAsia="Arial" w:hAnsi="Arial"/>
          <w:sz w:val="18"/>
          <w:szCs w:val="18"/>
          <w:color w:val="auto"/>
        </w:rPr>
        <w:t>[Signature Page to Sixth Amendment to Joliet Lease]</w:t>
      </w:r>
    </w:p>
    <w:p>
      <w:pPr>
        <w:sectPr>
          <w:pgSz w:w="11900" w:h="16838" w:orient="portrait"/>
          <w:cols w:equalWidth="0" w:num="1">
            <w:col w:w="10139"/>
          </w:cols>
          <w:pgMar w:left="320" w:top="1395" w:right="1440" w:bottom="1440" w:gutter="0" w:footer="0" w:header="0"/>
        </w:sectPr>
      </w:pPr>
    </w:p>
    <w:bookmarkStart w:id="210" w:name="page211"/>
    <w:bookmarkEnd w:id="210"/>
    <w:p>
      <w:pPr>
        <w:spacing w:after="0"/>
        <w:rPr>
          <w:sz w:val="20"/>
          <w:szCs w:val="20"/>
          <w:color w:val="auto"/>
        </w:rPr>
      </w:pPr>
      <w:r>
        <w:rPr>
          <w:rFonts w:ascii="Arial" w:cs="Arial" w:eastAsia="Arial" w:hAnsi="Arial"/>
          <w:sz w:val="19"/>
          <w:szCs w:val="19"/>
          <w:color w:val="auto"/>
        </w:rPr>
        <w:t>Acknowledged and agreed, solely for the purposes of the last paragraph of Section 1.1 of the Lease:</w:t>
      </w: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PROPCO TRS LLC,</w:t>
      </w:r>
    </w:p>
    <w:p>
      <w:pPr>
        <w:spacing w:after="0"/>
        <w:rPr>
          <w:sz w:val="20"/>
          <w:szCs w:val="20"/>
          <w:color w:val="auto"/>
        </w:rPr>
      </w:pPr>
      <w:r>
        <w:rPr>
          <w:rFonts w:ascii="Arial" w:cs="Arial" w:eastAsia="Arial" w:hAnsi="Arial"/>
          <w:sz w:val="22"/>
          <w:szCs w:val="22"/>
          <w:color w:val="auto"/>
        </w:rPr>
        <w:t>a Delaware limited liability company</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By: /s/ David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-5715</wp:posOffset>
            </wp:positionV>
            <wp:extent cx="108585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4">
                      <a:extLst>
                        <a:ext uri="{28A0092B-C50C-407E-A947-70E740481C1C}"/>
                      </a:extLst>
                    </a:blip>
                    <a:srcRect/>
                    <a:stretch>
                      <a:fillRect/>
                    </a:stretch>
                  </pic:blipFill>
                  <pic:spPr bwMode="auto">
                    <a:xfrm>
                      <a:off x="0" y="0"/>
                      <a:ext cx="1085850" cy="8890"/>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2"/>
          <w:szCs w:val="22"/>
          <w:color w:val="auto"/>
        </w:rPr>
        <w:t>Name: David Kieske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312" w:lineRule="exact"/>
        <w:rPr>
          <w:sz w:val="20"/>
          <w:szCs w:val="20"/>
          <w:color w:val="auto"/>
        </w:rPr>
      </w:pPr>
    </w:p>
    <w:p>
      <w:pPr>
        <w:ind w:left="3720"/>
        <w:spacing w:after="0"/>
        <w:rPr>
          <w:sz w:val="20"/>
          <w:szCs w:val="20"/>
          <w:color w:val="auto"/>
        </w:rPr>
      </w:pPr>
      <w:r>
        <w:rPr>
          <w:rFonts w:ascii="Arial" w:cs="Arial" w:eastAsia="Arial" w:hAnsi="Arial"/>
          <w:sz w:val="22"/>
          <w:szCs w:val="22"/>
          <w:b w:val="1"/>
          <w:bCs w:val="1"/>
          <w:i w:val="1"/>
          <w:iCs w:val="1"/>
          <w:color w:val="auto"/>
        </w:rPr>
        <w:t>[Signatures Continue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[Signature Page to Sixth Amendment to Joliet Lease]</w:t>
      </w:r>
    </w:p>
    <w:p>
      <w:pPr>
        <w:sectPr>
          <w:pgSz w:w="11900" w:h="16838" w:orient="portrait"/>
          <w:cols w:equalWidth="0" w:num="1">
            <w:col w:w="10139"/>
          </w:cols>
          <w:pgMar w:left="320" w:top="1401" w:right="1440" w:bottom="1440" w:gutter="0" w:footer="0" w:header="0"/>
        </w:sectPr>
      </w:pPr>
    </w:p>
    <w:bookmarkStart w:id="211" w:name="page212"/>
    <w:bookmarkEnd w:id="211"/>
    <w:p>
      <w:pPr>
        <w:spacing w:after="0"/>
        <w:rPr>
          <w:sz w:val="20"/>
          <w:szCs w:val="20"/>
          <w:color w:val="auto"/>
        </w:rPr>
      </w:pPr>
      <w:r>
        <w:rPr>
          <w:rFonts w:ascii="Arial" w:cs="Arial" w:eastAsia="Arial" w:hAnsi="Arial"/>
          <w:sz w:val="19"/>
          <w:szCs w:val="19"/>
          <w:b w:val="1"/>
          <w:bCs w:val="1"/>
          <w:color w:val="auto"/>
        </w:rPr>
        <w:t xml:space="preserve">CEOC, LLC </w:t>
      </w:r>
      <w:r>
        <w:rPr>
          <w:rFonts w:ascii="Arial" w:cs="Arial" w:eastAsia="Arial" w:hAnsi="Arial"/>
          <w:sz w:val="19"/>
          <w:szCs w:val="19"/>
          <w:color w:val="auto"/>
        </w:rPr>
        <w:t>hereby acknowledges this Amendment and reaffirms its joinder attached to the Lease.</w:t>
      </w:r>
    </w:p>
    <w:p>
      <w:pPr>
        <w:spacing w:after="0" w:line="3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CEOC, LLC,</w:t>
      </w:r>
    </w:p>
    <w:p>
      <w:pPr>
        <w:spacing w:after="0"/>
        <w:rPr>
          <w:sz w:val="20"/>
          <w:szCs w:val="20"/>
          <w:color w:val="auto"/>
        </w:rPr>
      </w:pPr>
      <w:r>
        <w:rPr>
          <w:rFonts w:ascii="Arial" w:cs="Arial" w:eastAsia="Arial" w:hAnsi="Arial"/>
          <w:sz w:val="22"/>
          <w:szCs w:val="22"/>
          <w:color w:val="auto"/>
        </w:rPr>
        <w:t>a Delaware limited liability company</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By: /s/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-5715</wp:posOffset>
            </wp:positionV>
            <wp:extent cx="11391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5">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2"/>
          <w:szCs w:val="22"/>
          <w:color w:val="auto"/>
        </w:rPr>
        <w:t>Name: Bret D. Yunker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[Signature Page to Sixth Amendment to Joliet Lease]</w:t>
      </w:r>
    </w:p>
    <w:p>
      <w:pPr>
        <w:sectPr>
          <w:pgSz w:w="11900" w:h="16838" w:orient="portrait"/>
          <w:cols w:equalWidth="0" w:num="1">
            <w:col w:w="10139"/>
          </w:cols>
          <w:pgMar w:left="320" w:top="1395" w:right="1440" w:bottom="1440" w:gutter="0" w:footer="0" w:header="0"/>
        </w:sectPr>
      </w:pPr>
    </w:p>
    <w:bookmarkStart w:id="212" w:name="page213"/>
    <w:bookmarkEnd w:id="212"/>
    <w:p>
      <w:pPr>
        <w:jc w:val="center"/>
        <w:spacing w:after="0"/>
        <w:rPr>
          <w:sz w:val="20"/>
          <w:szCs w:val="20"/>
          <w:color w:val="auto"/>
        </w:rPr>
      </w:pPr>
      <w:r>
        <w:rPr>
          <w:rFonts w:ascii="Arial" w:cs="Arial" w:eastAsia="Arial" w:hAnsi="Arial"/>
          <w:sz w:val="22"/>
          <w:szCs w:val="22"/>
          <w:b w:val="1"/>
          <w:bCs w:val="1"/>
          <w:color w:val="auto"/>
        </w:rPr>
        <w:t>ACKNOWLEDGMENT AND AGREEMENT OF GUARANTOR</w:t>
      </w:r>
    </w:p>
    <w:p>
      <w:pPr>
        <w:spacing w:after="0" w:line="293"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The undersigned (“</w:t>
      </w:r>
      <w:r>
        <w:rPr>
          <w:rFonts w:ascii="Arial" w:cs="Arial" w:eastAsia="Arial" w:hAnsi="Arial"/>
          <w:sz w:val="19"/>
          <w:szCs w:val="19"/>
          <w:u w:val="single" w:color="auto"/>
          <w:color w:val="auto"/>
        </w:rPr>
        <w:t>Guarantor</w:t>
      </w:r>
      <w:r>
        <w:rPr>
          <w:rFonts w:ascii="Arial" w:cs="Arial" w:eastAsia="Arial" w:hAnsi="Arial"/>
          <w:sz w:val="19"/>
          <w:szCs w:val="19"/>
          <w:color w:val="auto"/>
        </w:rPr>
        <w:t>”) hereby: (a) acknowledges receipt of the Sixth Amendment to Lease (the “</w:t>
      </w:r>
      <w:r>
        <w:rPr>
          <w:rFonts w:ascii="Arial" w:cs="Arial" w:eastAsia="Arial" w:hAnsi="Arial"/>
          <w:sz w:val="19"/>
          <w:szCs w:val="19"/>
          <w:u w:val="single" w:color="auto"/>
          <w:color w:val="auto"/>
        </w:rPr>
        <w:t>Amendment</w:t>
      </w:r>
      <w:r>
        <w:rPr>
          <w:rFonts w:ascii="Arial" w:cs="Arial" w:eastAsia="Arial" w:hAnsi="Arial"/>
          <w:sz w:val="19"/>
          <w:szCs w:val="19"/>
          <w:color w:val="auto"/>
        </w:rPr>
        <w:t>”; capitalized terms used herein without definition having the meanings set forth in the Amendment), dated as of November 1, 2021, by and among Harrah’s Joliet Landco LLC, a Delaware limited liability company, as Landlord, Des Plaines Development Limited Partnership, a Delaware limited partnership, as Tenant, and the other parties party thereto; (b) consents to the terms and execution thereof; (c) ratifies and reaffirms Guarantor’s obligations to Landlord pursuant to the terms of that certain Guaranty of Lease, dated as of July 20, 2020 (the “</w:t>
      </w:r>
      <w:r>
        <w:rPr>
          <w:rFonts w:ascii="Arial" w:cs="Arial" w:eastAsia="Arial" w:hAnsi="Arial"/>
          <w:sz w:val="19"/>
          <w:szCs w:val="19"/>
          <w:u w:val="single" w:color="auto"/>
          <w:color w:val="auto"/>
        </w:rPr>
        <w:t>Guaranty</w:t>
      </w:r>
      <w:r>
        <w:rPr>
          <w:rFonts w:ascii="Arial" w:cs="Arial" w:eastAsia="Arial" w:hAnsi="Arial"/>
          <w:sz w:val="19"/>
          <w:szCs w:val="19"/>
          <w:color w:val="auto"/>
        </w:rPr>
        <w:t>”), by and between Guarantor and Landlord, and agrees that nothing in the Amendment in any way impairs or lessens the Guarantor’s obligations under the Guaranty; and (d) acknowledges and agrees that the Guaranty is in full force and effect and is valid, binding and enforceable in accordance with its terms.</w:t>
      </w:r>
    </w:p>
    <w:p>
      <w:pPr>
        <w:spacing w:after="0" w:line="260" w:lineRule="exact"/>
        <w:rPr>
          <w:sz w:val="20"/>
          <w:szCs w:val="20"/>
          <w:color w:val="auto"/>
        </w:rPr>
      </w:pPr>
    </w:p>
    <w:p>
      <w:pPr>
        <w:jc w:val="both"/>
        <w:ind w:firstLine="219"/>
        <w:spacing w:after="0" w:line="232" w:lineRule="auto"/>
        <w:rPr>
          <w:sz w:val="20"/>
          <w:szCs w:val="20"/>
          <w:color w:val="auto"/>
        </w:rPr>
      </w:pPr>
      <w:r>
        <w:rPr>
          <w:rFonts w:ascii="Arial" w:cs="Arial" w:eastAsia="Arial" w:hAnsi="Arial"/>
          <w:sz w:val="22"/>
          <w:szCs w:val="22"/>
          <w:color w:val="auto"/>
        </w:rPr>
        <w:t>IN WITNESS WHEREOF, the undersigned has caused this Acknowledgment and Agreement of Guarantor to be duly executed as of November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[Acknowledgment and Agreement of Guarantor]</w:t>
      </w:r>
    </w:p>
    <w:p>
      <w:pPr>
        <w:sectPr>
          <w:pgSz w:w="11900" w:h="16838" w:orient="portrait"/>
          <w:cols w:equalWidth="0" w:num="1">
            <w:col w:w="11240"/>
          </w:cols>
          <w:pgMar w:left="320" w:top="1395" w:right="339" w:bottom="1440" w:gutter="0" w:footer="0" w:header="0"/>
        </w:sectPr>
      </w:pPr>
    </w:p>
    <w:bookmarkStart w:id="213" w:name="page214"/>
    <w:bookmarkEnd w:id="213"/>
    <w:p>
      <w:pPr>
        <w:spacing w:after="0"/>
        <w:rPr>
          <w:sz w:val="20"/>
          <w:szCs w:val="20"/>
          <w:color w:val="auto"/>
        </w:rPr>
      </w:pPr>
      <w:r>
        <w:rPr>
          <w:rFonts w:ascii="Arial" w:cs="Arial" w:eastAsia="Arial" w:hAnsi="Arial"/>
          <w:sz w:val="22"/>
          <w:szCs w:val="22"/>
          <w:b w:val="1"/>
          <w:bCs w:val="1"/>
          <w:color w:val="auto"/>
        </w:rPr>
        <w:t>CAESARS ENTERTAINMENT, INC.</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By: /s/ 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-5715</wp:posOffset>
            </wp:positionV>
            <wp:extent cx="127635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6">
                      <a:extLst>
                        <a:ext uri="{28A0092B-C50C-407E-A947-70E740481C1C}"/>
                      </a:extLst>
                    </a:blip>
                    <a:srcRect/>
                    <a:stretch>
                      <a:fillRect/>
                    </a:stretch>
                  </pic:blipFill>
                  <pic:spPr bwMode="auto">
                    <a:xfrm>
                      <a:off x="0" y="0"/>
                      <a:ext cx="1276350" cy="8255"/>
                    </a:xfrm>
                    <a:prstGeom prst="rect">
                      <a:avLst/>
                    </a:prstGeom>
                    <a:noFill/>
                  </pic:spPr>
                </pic:pic>
              </a:graphicData>
            </a:graphic>
          </wp:anchor>
        </w:drawing>
      </w:r>
    </w:p>
    <w:p>
      <w:pPr>
        <w:spacing w:after="0" w:line="204" w:lineRule="auto"/>
        <w:rPr>
          <w:sz w:val="20"/>
          <w:szCs w:val="20"/>
          <w:color w:val="auto"/>
        </w:rPr>
      </w:pPr>
      <w:r>
        <w:rPr>
          <w:rFonts w:ascii="Arial" w:cs="Arial" w:eastAsia="Arial" w:hAnsi="Arial"/>
          <w:sz w:val="22"/>
          <w:szCs w:val="22"/>
          <w:color w:val="auto"/>
        </w:rPr>
        <w:t>Name: Bret D. Yunker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2099"/>
        <w:spacing w:after="0"/>
        <w:rPr>
          <w:sz w:val="20"/>
          <w:szCs w:val="20"/>
          <w:color w:val="auto"/>
        </w:rPr>
      </w:pPr>
      <w:r>
        <w:rPr>
          <w:rFonts w:ascii="Arial" w:cs="Arial" w:eastAsia="Arial" w:hAnsi="Arial"/>
          <w:sz w:val="18"/>
          <w:szCs w:val="18"/>
          <w:color w:val="auto"/>
        </w:rPr>
        <w:t>[Signature Page to Acknowledgment and Agreement of Guarantor]</w:t>
      </w:r>
    </w:p>
    <w:p>
      <w:pPr>
        <w:sectPr>
          <w:pgSz w:w="11900" w:h="16838" w:orient="portrait"/>
          <w:cols w:equalWidth="0" w:num="1">
            <w:col w:w="10139"/>
          </w:cols>
          <w:pgMar w:left="320" w:top="1395" w:right="1440" w:bottom="1440" w:gutter="0" w:footer="0" w:header="0"/>
        </w:sectPr>
      </w:pPr>
    </w:p>
    <w:bookmarkStart w:id="214" w:name="page215"/>
    <w:bookmarkEnd w:id="214"/>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0" w:type="dxa"/>
            <w:vAlign w:val="bottom"/>
            <w:gridSpan w:val="4"/>
          </w:tcPr>
          <w:p>
            <w:pPr>
              <w:spacing w:after="0"/>
              <w:rPr>
                <w:sz w:val="20"/>
                <w:szCs w:val="20"/>
                <w:color w:val="auto"/>
              </w:rPr>
            </w:pPr>
            <w:r>
              <w:rPr>
                <w:rFonts w:ascii="Arial" w:cs="Arial" w:eastAsia="Arial" w:hAnsi="Arial"/>
                <w:sz w:val="18"/>
                <w:szCs w:val="18"/>
                <w:b w:val="1"/>
                <w:bCs w:val="1"/>
                <w:color w:val="auto"/>
              </w:rPr>
              <w:t>Subsidiaries of VICI Properties Inc.</w:t>
            </w:r>
          </w:p>
        </w:tc>
      </w:tr>
      <w:tr>
        <w:trPr>
          <w:trHeight w:val="20"/>
        </w:trPr>
        <w:tc>
          <w:tcPr>
            <w:tcW w:w="3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838"/>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of Entity</w:t>
            </w:r>
          </w:p>
        </w:tc>
        <w:tc>
          <w:tcPr>
            <w:tcW w:w="6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5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State of Incorporation or Organization</w:t>
            </w:r>
          </w:p>
        </w:tc>
      </w:tr>
      <w:tr>
        <w:trPr>
          <w:trHeight w:val="229"/>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Biloxi Hammond LLC</w:t>
            </w:r>
          </w:p>
        </w:tc>
        <w:tc>
          <w:tcPr>
            <w:tcW w:w="6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Delaware</w:t>
            </w:r>
          </w:p>
        </w:tc>
      </w:tr>
      <w:tr>
        <w:trPr>
          <w:trHeight w:val="229"/>
        </w:trPr>
        <w:tc>
          <w:tcPr>
            <w:tcW w:w="3580" w:type="dxa"/>
            <w:vAlign w:val="bottom"/>
          </w:tcPr>
          <w:p>
            <w:pPr>
              <w:ind w:left="60"/>
              <w:spacing w:after="0"/>
              <w:rPr>
                <w:sz w:val="20"/>
                <w:szCs w:val="20"/>
                <w:color w:val="auto"/>
              </w:rPr>
            </w:pPr>
            <w:r>
              <w:rPr>
                <w:rFonts w:ascii="Arial" w:cs="Arial" w:eastAsia="Arial" w:hAnsi="Arial"/>
                <w:sz w:val="18"/>
                <w:szCs w:val="18"/>
                <w:color w:val="auto"/>
              </w:rPr>
              <w:t>Bluegrass Downs Property Owner LLC</w:t>
            </w:r>
          </w:p>
        </w:tc>
        <w:tc>
          <w:tcPr>
            <w:tcW w:w="6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Arial" w:cs="Arial" w:eastAsia="Arial" w:hAnsi="Arial"/>
                <w:sz w:val="18"/>
                <w:szCs w:val="18"/>
                <w:color w:val="auto"/>
              </w:rPr>
              <w:t>Delaware</w:t>
            </w:r>
          </w:p>
        </w:tc>
      </w:tr>
      <w:tr>
        <w:trPr>
          <w:trHeight w:val="230"/>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Caesars Atlantic City LLC</w:t>
            </w:r>
          </w:p>
        </w:tc>
        <w:tc>
          <w:tcPr>
            <w:tcW w:w="6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Delaware</w:t>
            </w:r>
          </w:p>
        </w:tc>
      </w:tr>
      <w:tr>
        <w:trPr>
          <w:trHeight w:val="229"/>
        </w:trPr>
        <w:tc>
          <w:tcPr>
            <w:tcW w:w="3580" w:type="dxa"/>
            <w:vAlign w:val="bottom"/>
          </w:tcPr>
          <w:p>
            <w:pPr>
              <w:ind w:left="60"/>
              <w:spacing w:after="0"/>
              <w:rPr>
                <w:sz w:val="20"/>
                <w:szCs w:val="20"/>
                <w:color w:val="auto"/>
              </w:rPr>
            </w:pPr>
            <w:r>
              <w:rPr>
                <w:rFonts w:ascii="Arial" w:cs="Arial" w:eastAsia="Arial" w:hAnsi="Arial"/>
                <w:sz w:val="18"/>
                <w:szCs w:val="18"/>
                <w:color w:val="auto"/>
              </w:rPr>
              <w:t>Caesars Southern Indiana Propco LLC</w:t>
            </w:r>
          </w:p>
        </w:tc>
        <w:tc>
          <w:tcPr>
            <w:tcW w:w="6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Arial" w:cs="Arial" w:eastAsia="Arial" w:hAnsi="Arial"/>
                <w:sz w:val="18"/>
                <w:szCs w:val="18"/>
                <w:color w:val="auto"/>
              </w:rPr>
              <w:t>Delaware</w:t>
            </w:r>
          </w:p>
        </w:tc>
      </w:tr>
      <w:tr>
        <w:trPr>
          <w:trHeight w:val="229"/>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Cape G LLC</w:t>
            </w:r>
          </w:p>
        </w:tc>
        <w:tc>
          <w:tcPr>
            <w:tcW w:w="6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Delaware</w:t>
            </w:r>
          </w:p>
        </w:tc>
      </w:tr>
      <w:tr>
        <w:trPr>
          <w:trHeight w:val="230"/>
        </w:trPr>
        <w:tc>
          <w:tcPr>
            <w:tcW w:w="3580" w:type="dxa"/>
            <w:vAlign w:val="bottom"/>
          </w:tcPr>
          <w:p>
            <w:pPr>
              <w:ind w:left="60"/>
              <w:spacing w:after="0"/>
              <w:rPr>
                <w:sz w:val="20"/>
                <w:szCs w:val="20"/>
                <w:color w:val="auto"/>
              </w:rPr>
            </w:pPr>
            <w:r>
              <w:rPr>
                <w:rFonts w:ascii="Arial" w:cs="Arial" w:eastAsia="Arial" w:hAnsi="Arial"/>
                <w:sz w:val="18"/>
                <w:szCs w:val="18"/>
                <w:color w:val="auto"/>
              </w:rPr>
              <w:t>Cascata LLC</w:t>
            </w:r>
          </w:p>
        </w:tc>
        <w:tc>
          <w:tcPr>
            <w:tcW w:w="6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Arial" w:cs="Arial" w:eastAsia="Arial" w:hAnsi="Arial"/>
                <w:sz w:val="18"/>
                <w:szCs w:val="18"/>
                <w:color w:val="auto"/>
              </w:rPr>
              <w:t>Delaware</w:t>
            </w:r>
          </w:p>
        </w:tc>
      </w:tr>
      <w:tr>
        <w:trPr>
          <w:trHeight w:val="229"/>
        </w:trPr>
        <w:tc>
          <w:tcPr>
            <w:tcW w:w="3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Centaur Propco LLC</w:t>
            </w:r>
          </w:p>
        </w:tc>
        <w:tc>
          <w:tcPr>
            <w:tcW w:w="6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Delaware</w:t>
            </w:r>
          </w:p>
        </w:tc>
      </w:tr>
      <w:tr>
        <w:trPr>
          <w:trHeight w:val="229"/>
        </w:trPr>
        <w:tc>
          <w:tcPr>
            <w:tcW w:w="3580" w:type="dxa"/>
            <w:vAlign w:val="bottom"/>
          </w:tcPr>
          <w:p>
            <w:pPr>
              <w:ind w:left="60"/>
              <w:spacing w:after="0"/>
              <w:rPr>
                <w:sz w:val="20"/>
                <w:szCs w:val="20"/>
                <w:color w:val="auto"/>
              </w:rPr>
            </w:pPr>
            <w:r>
              <w:rPr>
                <w:rFonts w:ascii="Arial" w:cs="Arial" w:eastAsia="Arial" w:hAnsi="Arial"/>
                <w:sz w:val="18"/>
                <w:szCs w:val="18"/>
                <w:color w:val="auto"/>
              </w:rPr>
              <w:t>Chariot Run LLC</w:t>
            </w:r>
          </w:p>
        </w:tc>
        <w:tc>
          <w:tcPr>
            <w:tcW w:w="6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Arial" w:cs="Arial" w:eastAsia="Arial" w:hAnsi="Arial"/>
                <w:sz w:val="18"/>
                <w:szCs w:val="18"/>
                <w:color w:val="auto"/>
              </w:rPr>
              <w:t>Delaware</w:t>
            </w:r>
          </w:p>
        </w:tc>
      </w:tr>
      <w:tr>
        <w:trPr>
          <w:trHeight w:val="230"/>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Cincinnati Propco LLC</w:t>
            </w:r>
          </w:p>
        </w:tc>
        <w:tc>
          <w:tcPr>
            <w:tcW w:w="6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Delaware</w:t>
            </w:r>
          </w:p>
        </w:tc>
      </w:tr>
      <w:tr>
        <w:trPr>
          <w:trHeight w:val="229"/>
        </w:trPr>
        <w:tc>
          <w:tcPr>
            <w:tcW w:w="3580" w:type="dxa"/>
            <w:vAlign w:val="bottom"/>
          </w:tcPr>
          <w:p>
            <w:pPr>
              <w:ind w:left="60"/>
              <w:spacing w:after="0"/>
              <w:rPr>
                <w:sz w:val="20"/>
                <w:szCs w:val="20"/>
                <w:color w:val="auto"/>
              </w:rPr>
            </w:pPr>
            <w:r>
              <w:rPr>
                <w:rFonts w:ascii="Arial" w:cs="Arial" w:eastAsia="Arial" w:hAnsi="Arial"/>
                <w:sz w:val="18"/>
                <w:szCs w:val="18"/>
                <w:color w:val="auto"/>
              </w:rPr>
              <w:t>Claudine Propco LLC</w:t>
            </w:r>
          </w:p>
        </w:tc>
        <w:tc>
          <w:tcPr>
            <w:tcW w:w="6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Arial" w:cs="Arial" w:eastAsia="Arial" w:hAnsi="Arial"/>
                <w:sz w:val="18"/>
                <w:szCs w:val="18"/>
                <w:color w:val="auto"/>
              </w:rPr>
              <w:t>Delaware</w:t>
            </w:r>
          </w:p>
        </w:tc>
      </w:tr>
      <w:tr>
        <w:trPr>
          <w:trHeight w:val="230"/>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Claudine Property Owner LLC</w:t>
            </w:r>
          </w:p>
        </w:tc>
        <w:tc>
          <w:tcPr>
            <w:tcW w:w="6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Delaware</w:t>
            </w:r>
          </w:p>
        </w:tc>
      </w:tr>
      <w:tr>
        <w:trPr>
          <w:trHeight w:val="229"/>
        </w:trPr>
        <w:tc>
          <w:tcPr>
            <w:tcW w:w="3580" w:type="dxa"/>
            <w:vAlign w:val="bottom"/>
          </w:tcPr>
          <w:p>
            <w:pPr>
              <w:ind w:left="60"/>
              <w:spacing w:after="0"/>
              <w:rPr>
                <w:sz w:val="20"/>
                <w:szCs w:val="20"/>
                <w:color w:val="auto"/>
              </w:rPr>
            </w:pPr>
            <w:r>
              <w:rPr>
                <w:rFonts w:ascii="Arial" w:cs="Arial" w:eastAsia="Arial" w:hAnsi="Arial"/>
                <w:sz w:val="18"/>
                <w:szCs w:val="18"/>
                <w:color w:val="auto"/>
              </w:rPr>
              <w:t>Cleveland Propco LLC</w:t>
            </w:r>
          </w:p>
        </w:tc>
        <w:tc>
          <w:tcPr>
            <w:tcW w:w="6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Arial" w:cs="Arial" w:eastAsia="Arial" w:hAnsi="Arial"/>
                <w:sz w:val="18"/>
                <w:szCs w:val="18"/>
                <w:color w:val="auto"/>
              </w:rPr>
              <w:t>Delaware</w:t>
            </w:r>
          </w:p>
        </w:tc>
      </w:tr>
      <w:tr>
        <w:trPr>
          <w:trHeight w:val="229"/>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CPLV Property Owner LLC</w:t>
            </w:r>
          </w:p>
        </w:tc>
        <w:tc>
          <w:tcPr>
            <w:tcW w:w="6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Delaware</w:t>
            </w:r>
          </w:p>
        </w:tc>
      </w:tr>
      <w:tr>
        <w:trPr>
          <w:trHeight w:val="230"/>
        </w:trPr>
        <w:tc>
          <w:tcPr>
            <w:tcW w:w="3580" w:type="dxa"/>
            <w:vAlign w:val="bottom"/>
          </w:tcPr>
          <w:p>
            <w:pPr>
              <w:ind w:left="60"/>
              <w:spacing w:after="0"/>
              <w:rPr>
                <w:sz w:val="20"/>
                <w:szCs w:val="20"/>
                <w:color w:val="auto"/>
              </w:rPr>
            </w:pPr>
            <w:r>
              <w:rPr>
                <w:rFonts w:ascii="Arial" w:cs="Arial" w:eastAsia="Arial" w:hAnsi="Arial"/>
                <w:sz w:val="18"/>
                <w:szCs w:val="18"/>
                <w:color w:val="auto"/>
              </w:rPr>
              <w:t>Grand Bear LLC</w:t>
            </w:r>
          </w:p>
        </w:tc>
        <w:tc>
          <w:tcPr>
            <w:tcW w:w="6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Arial" w:cs="Arial" w:eastAsia="Arial" w:hAnsi="Arial"/>
                <w:sz w:val="18"/>
                <w:szCs w:val="18"/>
                <w:color w:val="auto"/>
              </w:rPr>
              <w:t>Delaware</w:t>
            </w:r>
          </w:p>
        </w:tc>
      </w:tr>
      <w:tr>
        <w:trPr>
          <w:trHeight w:val="229"/>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Grand Biloxi LLC</w:t>
            </w:r>
          </w:p>
        </w:tc>
        <w:tc>
          <w:tcPr>
            <w:tcW w:w="6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Delaware</w:t>
            </w:r>
          </w:p>
        </w:tc>
      </w:tr>
      <w:tr>
        <w:trPr>
          <w:trHeight w:val="230"/>
        </w:trPr>
        <w:tc>
          <w:tcPr>
            <w:tcW w:w="3580" w:type="dxa"/>
            <w:vAlign w:val="bottom"/>
          </w:tcPr>
          <w:p>
            <w:pPr>
              <w:ind w:left="60"/>
              <w:spacing w:after="0"/>
              <w:rPr>
                <w:sz w:val="20"/>
                <w:szCs w:val="20"/>
                <w:color w:val="auto"/>
              </w:rPr>
            </w:pPr>
            <w:r>
              <w:rPr>
                <w:rFonts w:ascii="Arial" w:cs="Arial" w:eastAsia="Arial" w:hAnsi="Arial"/>
                <w:sz w:val="18"/>
                <w:szCs w:val="18"/>
                <w:color w:val="auto"/>
              </w:rPr>
              <w:t>Greektown Propco LLC</w:t>
            </w:r>
          </w:p>
        </w:tc>
        <w:tc>
          <w:tcPr>
            <w:tcW w:w="6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Arial" w:cs="Arial" w:eastAsia="Arial" w:hAnsi="Arial"/>
                <w:sz w:val="18"/>
                <w:szCs w:val="18"/>
                <w:color w:val="auto"/>
              </w:rPr>
              <w:t>Delaware</w:t>
            </w:r>
          </w:p>
        </w:tc>
      </w:tr>
      <w:tr>
        <w:trPr>
          <w:trHeight w:val="229"/>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Harrah's Atlantic City LLC</w:t>
            </w:r>
          </w:p>
        </w:tc>
        <w:tc>
          <w:tcPr>
            <w:tcW w:w="6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Delaware</w:t>
            </w:r>
          </w:p>
        </w:tc>
      </w:tr>
      <w:tr>
        <w:trPr>
          <w:trHeight w:val="229"/>
        </w:trPr>
        <w:tc>
          <w:tcPr>
            <w:tcW w:w="3580" w:type="dxa"/>
            <w:vAlign w:val="bottom"/>
          </w:tcPr>
          <w:p>
            <w:pPr>
              <w:ind w:left="60"/>
              <w:spacing w:after="0"/>
              <w:rPr>
                <w:sz w:val="20"/>
                <w:szCs w:val="20"/>
                <w:color w:val="auto"/>
              </w:rPr>
            </w:pPr>
            <w:r>
              <w:rPr>
                <w:rFonts w:ascii="Arial" w:cs="Arial" w:eastAsia="Arial" w:hAnsi="Arial"/>
                <w:sz w:val="18"/>
                <w:szCs w:val="18"/>
                <w:color w:val="auto"/>
              </w:rPr>
              <w:t>Harrah’s Bossier City LLC</w:t>
            </w:r>
          </w:p>
        </w:tc>
        <w:tc>
          <w:tcPr>
            <w:tcW w:w="6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Arial" w:cs="Arial" w:eastAsia="Arial" w:hAnsi="Arial"/>
                <w:sz w:val="18"/>
                <w:szCs w:val="18"/>
                <w:color w:val="auto"/>
              </w:rPr>
              <w:t>Louisiana</w:t>
            </w:r>
          </w:p>
        </w:tc>
      </w:tr>
      <w:tr>
        <w:trPr>
          <w:trHeight w:val="230"/>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Harrah’s Council Bluffs LLC</w:t>
            </w:r>
          </w:p>
        </w:tc>
        <w:tc>
          <w:tcPr>
            <w:tcW w:w="6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Delaware</w:t>
            </w:r>
          </w:p>
        </w:tc>
      </w:tr>
      <w:tr>
        <w:trPr>
          <w:trHeight w:val="230"/>
        </w:trPr>
        <w:tc>
          <w:tcPr>
            <w:tcW w:w="3580" w:type="dxa"/>
            <w:vAlign w:val="bottom"/>
          </w:tcPr>
          <w:p>
            <w:pPr>
              <w:ind w:left="60"/>
              <w:spacing w:after="0"/>
              <w:rPr>
                <w:sz w:val="20"/>
                <w:szCs w:val="20"/>
                <w:color w:val="auto"/>
              </w:rPr>
            </w:pPr>
            <w:r>
              <w:rPr>
                <w:rFonts w:ascii="Arial" w:cs="Arial" w:eastAsia="Arial" w:hAnsi="Arial"/>
                <w:sz w:val="18"/>
                <w:szCs w:val="18"/>
                <w:color w:val="auto"/>
              </w:rPr>
              <w:t>Harrah’s Joliet LandCo LLC</w:t>
            </w:r>
          </w:p>
        </w:tc>
        <w:tc>
          <w:tcPr>
            <w:tcW w:w="6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Arial" w:cs="Arial" w:eastAsia="Arial" w:hAnsi="Arial"/>
                <w:sz w:val="18"/>
                <w:szCs w:val="18"/>
                <w:color w:val="auto"/>
              </w:rPr>
              <w:t>Delaware</w:t>
            </w:r>
          </w:p>
        </w:tc>
      </w:tr>
      <w:tr>
        <w:trPr>
          <w:trHeight w:val="230"/>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Harrah’s Lake Tahoe LLC</w:t>
            </w:r>
          </w:p>
        </w:tc>
        <w:tc>
          <w:tcPr>
            <w:tcW w:w="6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Delaware</w:t>
            </w:r>
          </w:p>
        </w:tc>
      </w:tr>
      <w:tr>
        <w:trPr>
          <w:trHeight w:val="230"/>
        </w:trPr>
        <w:tc>
          <w:tcPr>
            <w:tcW w:w="3580" w:type="dxa"/>
            <w:vAlign w:val="bottom"/>
          </w:tcPr>
          <w:p>
            <w:pPr>
              <w:ind w:left="60"/>
              <w:spacing w:after="0"/>
              <w:rPr>
                <w:sz w:val="20"/>
                <w:szCs w:val="20"/>
                <w:color w:val="auto"/>
              </w:rPr>
            </w:pPr>
            <w:r>
              <w:rPr>
                <w:rFonts w:ascii="Arial" w:cs="Arial" w:eastAsia="Arial" w:hAnsi="Arial"/>
                <w:sz w:val="18"/>
                <w:szCs w:val="18"/>
                <w:color w:val="auto"/>
              </w:rPr>
              <w:t>Harrah’s Metropolis LLC</w:t>
            </w:r>
          </w:p>
        </w:tc>
        <w:tc>
          <w:tcPr>
            <w:tcW w:w="6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Arial" w:cs="Arial" w:eastAsia="Arial" w:hAnsi="Arial"/>
                <w:sz w:val="18"/>
                <w:szCs w:val="18"/>
                <w:color w:val="auto"/>
              </w:rPr>
              <w:t>Delaware</w:t>
            </w:r>
          </w:p>
        </w:tc>
      </w:tr>
      <w:tr>
        <w:trPr>
          <w:trHeight w:val="229"/>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Harrah's New Orleans LLC</w:t>
            </w:r>
          </w:p>
        </w:tc>
        <w:tc>
          <w:tcPr>
            <w:tcW w:w="6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Delaware</w:t>
            </w:r>
          </w:p>
        </w:tc>
      </w:tr>
      <w:tr>
        <w:trPr>
          <w:trHeight w:val="230"/>
        </w:trPr>
        <w:tc>
          <w:tcPr>
            <w:tcW w:w="3580" w:type="dxa"/>
            <w:vAlign w:val="bottom"/>
          </w:tcPr>
          <w:p>
            <w:pPr>
              <w:ind w:left="60"/>
              <w:spacing w:after="0"/>
              <w:rPr>
                <w:sz w:val="20"/>
                <w:szCs w:val="20"/>
                <w:color w:val="auto"/>
              </w:rPr>
            </w:pPr>
            <w:r>
              <w:rPr>
                <w:rFonts w:ascii="Arial" w:cs="Arial" w:eastAsia="Arial" w:hAnsi="Arial"/>
                <w:sz w:val="18"/>
                <w:szCs w:val="18"/>
                <w:color w:val="auto"/>
              </w:rPr>
              <w:t>Harrah’s Reno LLC</w:t>
            </w:r>
          </w:p>
        </w:tc>
        <w:tc>
          <w:tcPr>
            <w:tcW w:w="6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Arial" w:cs="Arial" w:eastAsia="Arial" w:hAnsi="Arial"/>
                <w:sz w:val="18"/>
                <w:szCs w:val="18"/>
                <w:color w:val="auto"/>
              </w:rPr>
              <w:t>Delaware</w:t>
            </w:r>
          </w:p>
        </w:tc>
      </w:tr>
      <w:tr>
        <w:trPr>
          <w:trHeight w:val="230"/>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Harvey’s Lake Tahoe LLC</w:t>
            </w:r>
          </w:p>
        </w:tc>
        <w:tc>
          <w:tcPr>
            <w:tcW w:w="6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Delaware</w:t>
            </w:r>
          </w:p>
        </w:tc>
      </w:tr>
      <w:tr>
        <w:trPr>
          <w:trHeight w:val="230"/>
        </w:trPr>
        <w:tc>
          <w:tcPr>
            <w:tcW w:w="3580" w:type="dxa"/>
            <w:vAlign w:val="bottom"/>
          </w:tcPr>
          <w:p>
            <w:pPr>
              <w:ind w:left="60"/>
              <w:spacing w:after="0"/>
              <w:rPr>
                <w:sz w:val="20"/>
                <w:szCs w:val="20"/>
                <w:color w:val="auto"/>
              </w:rPr>
            </w:pPr>
            <w:r>
              <w:rPr>
                <w:rFonts w:ascii="Arial" w:cs="Arial" w:eastAsia="Arial" w:hAnsi="Arial"/>
                <w:sz w:val="18"/>
                <w:szCs w:val="18"/>
                <w:color w:val="auto"/>
              </w:rPr>
              <w:t>Horseshoe Bossier City Prop LLC</w:t>
            </w:r>
          </w:p>
        </w:tc>
        <w:tc>
          <w:tcPr>
            <w:tcW w:w="6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Arial" w:cs="Arial" w:eastAsia="Arial" w:hAnsi="Arial"/>
                <w:sz w:val="18"/>
                <w:szCs w:val="18"/>
                <w:color w:val="auto"/>
              </w:rPr>
              <w:t>Louisiana</w:t>
            </w:r>
          </w:p>
        </w:tc>
      </w:tr>
      <w:tr>
        <w:trPr>
          <w:trHeight w:val="229"/>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Horseshoe Council Bluffs LLC</w:t>
            </w:r>
          </w:p>
        </w:tc>
        <w:tc>
          <w:tcPr>
            <w:tcW w:w="6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Delaware</w:t>
            </w:r>
          </w:p>
        </w:tc>
      </w:tr>
      <w:tr>
        <w:trPr>
          <w:trHeight w:val="230"/>
        </w:trPr>
        <w:tc>
          <w:tcPr>
            <w:tcW w:w="3580" w:type="dxa"/>
            <w:vAlign w:val="bottom"/>
          </w:tcPr>
          <w:p>
            <w:pPr>
              <w:ind w:left="60"/>
              <w:spacing w:after="0"/>
              <w:rPr>
                <w:sz w:val="20"/>
                <w:szCs w:val="20"/>
                <w:color w:val="auto"/>
              </w:rPr>
            </w:pPr>
            <w:r>
              <w:rPr>
                <w:rFonts w:ascii="Arial" w:cs="Arial" w:eastAsia="Arial" w:hAnsi="Arial"/>
                <w:sz w:val="18"/>
                <w:szCs w:val="18"/>
                <w:color w:val="auto"/>
              </w:rPr>
              <w:t>Horseshoe Tunica LLC</w:t>
            </w:r>
          </w:p>
        </w:tc>
        <w:tc>
          <w:tcPr>
            <w:tcW w:w="6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Arial" w:cs="Arial" w:eastAsia="Arial" w:hAnsi="Arial"/>
                <w:sz w:val="18"/>
                <w:szCs w:val="18"/>
                <w:color w:val="auto"/>
              </w:rPr>
              <w:t>Delaware</w:t>
            </w:r>
          </w:p>
        </w:tc>
      </w:tr>
      <w:tr>
        <w:trPr>
          <w:trHeight w:val="230"/>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Lady Luck C LLC</w:t>
            </w:r>
          </w:p>
        </w:tc>
        <w:tc>
          <w:tcPr>
            <w:tcW w:w="6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Delaware</w:t>
            </w:r>
          </w:p>
        </w:tc>
      </w:tr>
      <w:tr>
        <w:trPr>
          <w:trHeight w:val="230"/>
        </w:trPr>
        <w:tc>
          <w:tcPr>
            <w:tcW w:w="3580" w:type="dxa"/>
            <w:vAlign w:val="bottom"/>
          </w:tcPr>
          <w:p>
            <w:pPr>
              <w:ind w:left="60"/>
              <w:spacing w:after="0"/>
              <w:rPr>
                <w:sz w:val="20"/>
                <w:szCs w:val="20"/>
                <w:color w:val="auto"/>
              </w:rPr>
            </w:pPr>
            <w:r>
              <w:rPr>
                <w:rFonts w:ascii="Arial" w:cs="Arial" w:eastAsia="Arial" w:hAnsi="Arial"/>
                <w:sz w:val="18"/>
                <w:szCs w:val="18"/>
                <w:color w:val="auto"/>
              </w:rPr>
              <w:t>Laughlin Propco LLC</w:t>
            </w:r>
          </w:p>
        </w:tc>
        <w:tc>
          <w:tcPr>
            <w:tcW w:w="6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Arial" w:cs="Arial" w:eastAsia="Arial" w:hAnsi="Arial"/>
                <w:sz w:val="18"/>
                <w:szCs w:val="18"/>
                <w:color w:val="auto"/>
              </w:rPr>
              <w:t>Delaware</w:t>
            </w:r>
          </w:p>
        </w:tc>
      </w:tr>
      <w:tr>
        <w:trPr>
          <w:trHeight w:val="229"/>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Margaritaville Propco LLC</w:t>
            </w:r>
          </w:p>
        </w:tc>
        <w:tc>
          <w:tcPr>
            <w:tcW w:w="6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Delaware</w:t>
            </w:r>
          </w:p>
        </w:tc>
      </w:tr>
      <w:tr>
        <w:trPr>
          <w:trHeight w:val="230"/>
        </w:trPr>
        <w:tc>
          <w:tcPr>
            <w:tcW w:w="3580" w:type="dxa"/>
            <w:vAlign w:val="bottom"/>
          </w:tcPr>
          <w:p>
            <w:pPr>
              <w:ind w:left="60"/>
              <w:spacing w:after="0"/>
              <w:rPr>
                <w:sz w:val="20"/>
                <w:szCs w:val="20"/>
                <w:color w:val="auto"/>
              </w:rPr>
            </w:pPr>
            <w:r>
              <w:rPr>
                <w:rFonts w:ascii="Arial" w:cs="Arial" w:eastAsia="Arial" w:hAnsi="Arial"/>
                <w:sz w:val="18"/>
                <w:szCs w:val="18"/>
                <w:color w:val="auto"/>
              </w:rPr>
              <w:t>Miscellaneous Land LLC</w:t>
            </w:r>
          </w:p>
        </w:tc>
        <w:tc>
          <w:tcPr>
            <w:tcW w:w="6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Arial" w:cs="Arial" w:eastAsia="Arial" w:hAnsi="Arial"/>
                <w:sz w:val="18"/>
                <w:szCs w:val="18"/>
                <w:color w:val="auto"/>
              </w:rPr>
              <w:t>Delaware</w:t>
            </w:r>
          </w:p>
        </w:tc>
      </w:tr>
      <w:tr>
        <w:trPr>
          <w:trHeight w:val="230"/>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Mountaineer CRR LLC</w:t>
            </w:r>
          </w:p>
        </w:tc>
        <w:tc>
          <w:tcPr>
            <w:tcW w:w="6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Delaware</w:t>
            </w:r>
          </w:p>
        </w:tc>
      </w:tr>
      <w:tr>
        <w:trPr>
          <w:trHeight w:val="230"/>
        </w:trPr>
        <w:tc>
          <w:tcPr>
            <w:tcW w:w="3580" w:type="dxa"/>
            <w:vAlign w:val="bottom"/>
          </w:tcPr>
          <w:p>
            <w:pPr>
              <w:ind w:left="60"/>
              <w:spacing w:after="0"/>
              <w:rPr>
                <w:sz w:val="20"/>
                <w:szCs w:val="20"/>
                <w:color w:val="auto"/>
              </w:rPr>
            </w:pPr>
            <w:r>
              <w:rPr>
                <w:rFonts w:ascii="Arial" w:cs="Arial" w:eastAsia="Arial" w:hAnsi="Arial"/>
                <w:sz w:val="18"/>
                <w:szCs w:val="18"/>
                <w:color w:val="auto"/>
              </w:rPr>
              <w:t>New Harrah’s North Kansas City LLC</w:t>
            </w:r>
          </w:p>
        </w:tc>
        <w:tc>
          <w:tcPr>
            <w:tcW w:w="6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Arial" w:cs="Arial" w:eastAsia="Arial" w:hAnsi="Arial"/>
                <w:sz w:val="18"/>
                <w:szCs w:val="18"/>
                <w:color w:val="auto"/>
              </w:rPr>
              <w:t>Delaware</w:t>
            </w:r>
          </w:p>
        </w:tc>
      </w:tr>
      <w:tr>
        <w:trPr>
          <w:trHeight w:val="229"/>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New Horseshoe Hammond LLC</w:t>
            </w:r>
          </w:p>
        </w:tc>
        <w:tc>
          <w:tcPr>
            <w:tcW w:w="6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Delaware</w:t>
            </w:r>
          </w:p>
        </w:tc>
      </w:tr>
      <w:tr>
        <w:trPr>
          <w:trHeight w:val="230"/>
        </w:trPr>
        <w:tc>
          <w:tcPr>
            <w:tcW w:w="3580" w:type="dxa"/>
            <w:vAlign w:val="bottom"/>
          </w:tcPr>
          <w:p>
            <w:pPr>
              <w:ind w:left="80"/>
              <w:spacing w:after="0"/>
              <w:rPr>
                <w:sz w:val="20"/>
                <w:szCs w:val="20"/>
                <w:color w:val="auto"/>
              </w:rPr>
            </w:pPr>
            <w:r>
              <w:rPr>
                <w:rFonts w:ascii="Arial" w:cs="Arial" w:eastAsia="Arial" w:hAnsi="Arial"/>
                <w:sz w:val="18"/>
                <w:szCs w:val="18"/>
                <w:color w:val="auto"/>
              </w:rPr>
              <w:t>New Laughlin Owner LLC</w:t>
            </w:r>
          </w:p>
        </w:tc>
        <w:tc>
          <w:tcPr>
            <w:tcW w:w="6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Arial" w:cs="Arial" w:eastAsia="Arial" w:hAnsi="Arial"/>
                <w:sz w:val="18"/>
                <w:szCs w:val="18"/>
                <w:color w:val="auto"/>
              </w:rPr>
              <w:t>Delaware</w:t>
            </w:r>
          </w:p>
        </w:tc>
      </w:tr>
      <w:tr>
        <w:trPr>
          <w:trHeight w:val="230"/>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New Tunica Roadhouse LLC</w:t>
            </w:r>
          </w:p>
        </w:tc>
        <w:tc>
          <w:tcPr>
            <w:tcW w:w="6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Delaware</w:t>
            </w:r>
          </w:p>
        </w:tc>
      </w:tr>
      <w:tr>
        <w:trPr>
          <w:trHeight w:val="230"/>
        </w:trPr>
        <w:tc>
          <w:tcPr>
            <w:tcW w:w="3580" w:type="dxa"/>
            <w:vAlign w:val="bottom"/>
          </w:tcPr>
          <w:p>
            <w:pPr>
              <w:ind w:left="60"/>
              <w:spacing w:after="0"/>
              <w:rPr>
                <w:sz w:val="20"/>
                <w:szCs w:val="20"/>
                <w:color w:val="auto"/>
              </w:rPr>
            </w:pPr>
            <w:r>
              <w:rPr>
                <w:rFonts w:ascii="Arial" w:cs="Arial" w:eastAsia="Arial" w:hAnsi="Arial"/>
                <w:sz w:val="18"/>
                <w:szCs w:val="18"/>
                <w:color w:val="auto"/>
              </w:rPr>
              <w:t>Philadelphia Propco LLC</w:t>
            </w:r>
          </w:p>
        </w:tc>
        <w:tc>
          <w:tcPr>
            <w:tcW w:w="6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Arial" w:cs="Arial" w:eastAsia="Arial" w:hAnsi="Arial"/>
                <w:sz w:val="18"/>
                <w:szCs w:val="18"/>
                <w:color w:val="auto"/>
              </w:rPr>
              <w:t>Delaware</w:t>
            </w:r>
          </w:p>
        </w:tc>
      </w:tr>
      <w:tr>
        <w:trPr>
          <w:trHeight w:val="229"/>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Propco Gulfport LLC</w:t>
            </w:r>
          </w:p>
        </w:tc>
        <w:tc>
          <w:tcPr>
            <w:tcW w:w="6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Delaware</w:t>
            </w:r>
          </w:p>
        </w:tc>
      </w:tr>
      <w:tr>
        <w:trPr>
          <w:trHeight w:val="230"/>
        </w:trPr>
        <w:tc>
          <w:tcPr>
            <w:tcW w:w="3580" w:type="dxa"/>
            <w:vAlign w:val="bottom"/>
          </w:tcPr>
          <w:p>
            <w:pPr>
              <w:ind w:left="60"/>
              <w:spacing w:after="0"/>
              <w:rPr>
                <w:sz w:val="20"/>
                <w:szCs w:val="20"/>
                <w:color w:val="auto"/>
              </w:rPr>
            </w:pPr>
            <w:r>
              <w:rPr>
                <w:rFonts w:ascii="Arial" w:cs="Arial" w:eastAsia="Arial" w:hAnsi="Arial"/>
                <w:sz w:val="18"/>
                <w:szCs w:val="18"/>
                <w:color w:val="auto"/>
              </w:rPr>
              <w:t>Propco TRS LLC</w:t>
            </w:r>
          </w:p>
        </w:tc>
        <w:tc>
          <w:tcPr>
            <w:tcW w:w="6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Arial" w:cs="Arial" w:eastAsia="Arial" w:hAnsi="Arial"/>
                <w:sz w:val="18"/>
                <w:szCs w:val="18"/>
                <w:color w:val="auto"/>
              </w:rPr>
              <w:t>Delaware</w:t>
            </w:r>
          </w:p>
        </w:tc>
      </w:tr>
      <w:tr>
        <w:trPr>
          <w:trHeight w:val="230"/>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Rio Secco LLC</w:t>
            </w:r>
          </w:p>
        </w:tc>
        <w:tc>
          <w:tcPr>
            <w:tcW w:w="6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Delaware</w:t>
            </w:r>
          </w:p>
        </w:tc>
      </w:tr>
      <w:tr>
        <w:trPr>
          <w:trHeight w:val="229"/>
        </w:trPr>
        <w:tc>
          <w:tcPr>
            <w:tcW w:w="3580" w:type="dxa"/>
            <w:vAlign w:val="bottom"/>
          </w:tcPr>
          <w:p>
            <w:pPr>
              <w:ind w:left="60"/>
              <w:spacing w:after="0"/>
              <w:rPr>
                <w:sz w:val="20"/>
                <w:szCs w:val="20"/>
                <w:color w:val="auto"/>
              </w:rPr>
            </w:pPr>
            <w:r>
              <w:rPr>
                <w:rFonts w:ascii="Arial" w:cs="Arial" w:eastAsia="Arial" w:hAnsi="Arial"/>
                <w:sz w:val="18"/>
                <w:szCs w:val="18"/>
                <w:color w:val="auto"/>
              </w:rPr>
              <w:t>Riverview Properties 1 LLC</w:t>
            </w:r>
          </w:p>
        </w:tc>
        <w:tc>
          <w:tcPr>
            <w:tcW w:w="6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60" w:type="dxa"/>
            <w:vAlign w:val="bottom"/>
            <w:gridSpan w:val="2"/>
          </w:tcPr>
          <w:p>
            <w:pPr>
              <w:ind w:left="60"/>
              <w:spacing w:after="0"/>
              <w:rPr>
                <w:sz w:val="20"/>
                <w:szCs w:val="20"/>
                <w:color w:val="auto"/>
              </w:rPr>
            </w:pPr>
            <w:r>
              <w:rPr>
                <w:rFonts w:ascii="Arial" w:cs="Arial" w:eastAsia="Arial" w:hAnsi="Arial"/>
                <w:sz w:val="18"/>
                <w:szCs w:val="18"/>
                <w:color w:val="auto"/>
              </w:rPr>
              <w:t>Delaware</w:t>
            </w:r>
          </w:p>
        </w:tc>
      </w:tr>
      <w:tr>
        <w:trPr>
          <w:trHeight w:val="230"/>
        </w:trPr>
        <w:tc>
          <w:tcPr>
            <w:tcW w:w="3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Thistledown Propco LLC</w:t>
            </w:r>
          </w:p>
        </w:tc>
        <w:tc>
          <w:tcPr>
            <w:tcW w:w="6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40"/>
          </w:cols>
          <w:pgMar w:left="320" w:top="121" w:right="339" w:bottom="1440" w:gutter="0" w:footer="0" w:header="0"/>
        </w:sectPr>
      </w:pPr>
    </w:p>
    <w:bookmarkStart w:id="215" w:name="page216"/>
    <w:bookmarkEnd w:id="2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ind w:left="60"/>
              <w:spacing w:after="0"/>
              <w:rPr>
                <w:sz w:val="20"/>
                <w:szCs w:val="20"/>
                <w:color w:val="auto"/>
              </w:rPr>
            </w:pPr>
            <w:r>
              <w:rPr>
                <w:rFonts w:ascii="Arial" w:cs="Arial" w:eastAsia="Arial" w:hAnsi="Arial"/>
                <w:sz w:val="18"/>
                <w:szCs w:val="18"/>
                <w:color w:val="auto"/>
              </w:rPr>
              <w:t>Vegas Development LLC</w:t>
            </w:r>
          </w:p>
        </w:tc>
        <w:tc>
          <w:tcPr>
            <w:tcW w:w="7060" w:type="dxa"/>
            <w:vAlign w:val="bottom"/>
          </w:tcPr>
          <w:p>
            <w:pPr>
              <w:ind w:left="1860"/>
              <w:spacing w:after="0"/>
              <w:rPr>
                <w:sz w:val="20"/>
                <w:szCs w:val="20"/>
                <w:color w:val="auto"/>
              </w:rPr>
            </w:pPr>
            <w:r>
              <w:rPr>
                <w:rFonts w:ascii="Arial" w:cs="Arial" w:eastAsia="Arial" w:hAnsi="Arial"/>
                <w:sz w:val="18"/>
                <w:szCs w:val="18"/>
                <w:color w:val="auto"/>
              </w:rPr>
              <w:t>Delaware</w:t>
            </w:r>
          </w:p>
        </w:tc>
      </w:tr>
      <w:tr>
        <w:trPr>
          <w:trHeight w:val="229"/>
        </w:trPr>
        <w:tc>
          <w:tcPr>
            <w:tcW w:w="4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Vegas Operating Property LLC</w:t>
            </w:r>
          </w:p>
        </w:tc>
        <w:tc>
          <w:tcPr>
            <w:tcW w:w="706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Delaware</w:t>
            </w:r>
          </w:p>
        </w:tc>
      </w:tr>
      <w:tr>
        <w:trPr>
          <w:trHeight w:val="230"/>
        </w:trPr>
        <w:tc>
          <w:tcPr>
            <w:tcW w:w="4180" w:type="dxa"/>
            <w:vAlign w:val="bottom"/>
          </w:tcPr>
          <w:p>
            <w:pPr>
              <w:ind w:left="60"/>
              <w:spacing w:after="0"/>
              <w:rPr>
                <w:sz w:val="20"/>
                <w:szCs w:val="20"/>
                <w:color w:val="auto"/>
              </w:rPr>
            </w:pPr>
            <w:r>
              <w:rPr>
                <w:rFonts w:ascii="Arial" w:cs="Arial" w:eastAsia="Arial" w:hAnsi="Arial"/>
                <w:sz w:val="18"/>
                <w:szCs w:val="18"/>
                <w:color w:val="auto"/>
              </w:rPr>
              <w:t>Venus Sub LLC</w:t>
            </w:r>
          </w:p>
        </w:tc>
        <w:tc>
          <w:tcPr>
            <w:tcW w:w="7060" w:type="dxa"/>
            <w:vAlign w:val="bottom"/>
          </w:tcPr>
          <w:p>
            <w:pPr>
              <w:ind w:left="1860"/>
              <w:spacing w:after="0"/>
              <w:rPr>
                <w:sz w:val="20"/>
                <w:szCs w:val="20"/>
                <w:color w:val="auto"/>
              </w:rPr>
            </w:pPr>
            <w:r>
              <w:rPr>
                <w:rFonts w:ascii="Arial" w:cs="Arial" w:eastAsia="Arial" w:hAnsi="Arial"/>
                <w:sz w:val="18"/>
                <w:szCs w:val="18"/>
                <w:color w:val="auto"/>
              </w:rPr>
              <w:t>Delaware</w:t>
            </w:r>
          </w:p>
        </w:tc>
      </w:tr>
      <w:tr>
        <w:trPr>
          <w:trHeight w:val="229"/>
        </w:trPr>
        <w:tc>
          <w:tcPr>
            <w:tcW w:w="4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VICI CP Lendco LLC</w:t>
            </w:r>
          </w:p>
        </w:tc>
        <w:tc>
          <w:tcPr>
            <w:tcW w:w="706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Delaware</w:t>
            </w:r>
          </w:p>
        </w:tc>
      </w:tr>
      <w:tr>
        <w:trPr>
          <w:trHeight w:val="229"/>
        </w:trPr>
        <w:tc>
          <w:tcPr>
            <w:tcW w:w="4180" w:type="dxa"/>
            <w:vAlign w:val="bottom"/>
          </w:tcPr>
          <w:p>
            <w:pPr>
              <w:ind w:left="60"/>
              <w:spacing w:after="0"/>
              <w:rPr>
                <w:sz w:val="20"/>
                <w:szCs w:val="20"/>
                <w:color w:val="auto"/>
              </w:rPr>
            </w:pPr>
            <w:r>
              <w:rPr>
                <w:rFonts w:ascii="Arial" w:cs="Arial" w:eastAsia="Arial" w:hAnsi="Arial"/>
                <w:sz w:val="18"/>
                <w:szCs w:val="18"/>
                <w:color w:val="auto"/>
              </w:rPr>
              <w:t>VICI Golf LLC</w:t>
            </w:r>
          </w:p>
        </w:tc>
        <w:tc>
          <w:tcPr>
            <w:tcW w:w="7060" w:type="dxa"/>
            <w:vAlign w:val="bottom"/>
          </w:tcPr>
          <w:p>
            <w:pPr>
              <w:ind w:left="1860"/>
              <w:spacing w:after="0"/>
              <w:rPr>
                <w:sz w:val="20"/>
                <w:szCs w:val="20"/>
                <w:color w:val="auto"/>
              </w:rPr>
            </w:pPr>
            <w:r>
              <w:rPr>
                <w:rFonts w:ascii="Arial" w:cs="Arial" w:eastAsia="Arial" w:hAnsi="Arial"/>
                <w:sz w:val="18"/>
                <w:szCs w:val="18"/>
                <w:color w:val="auto"/>
              </w:rPr>
              <w:t>Delaware</w:t>
            </w:r>
          </w:p>
        </w:tc>
      </w:tr>
      <w:tr>
        <w:trPr>
          <w:trHeight w:val="230"/>
        </w:trPr>
        <w:tc>
          <w:tcPr>
            <w:tcW w:w="4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VICI Greenfield LLC</w:t>
            </w:r>
          </w:p>
        </w:tc>
        <w:tc>
          <w:tcPr>
            <w:tcW w:w="706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Delaware</w:t>
            </w:r>
          </w:p>
        </w:tc>
      </w:tr>
      <w:tr>
        <w:trPr>
          <w:trHeight w:val="229"/>
        </w:trPr>
        <w:tc>
          <w:tcPr>
            <w:tcW w:w="4180" w:type="dxa"/>
            <w:vAlign w:val="bottom"/>
          </w:tcPr>
          <w:p>
            <w:pPr>
              <w:ind w:left="60"/>
              <w:spacing w:after="0"/>
              <w:rPr>
                <w:sz w:val="20"/>
                <w:szCs w:val="20"/>
                <w:color w:val="auto"/>
              </w:rPr>
            </w:pPr>
            <w:r>
              <w:rPr>
                <w:rFonts w:ascii="Arial" w:cs="Arial" w:eastAsia="Arial" w:hAnsi="Arial"/>
                <w:sz w:val="18"/>
                <w:szCs w:val="18"/>
                <w:color w:val="auto"/>
              </w:rPr>
              <w:t>VICI Lendco LLC</w:t>
            </w:r>
          </w:p>
        </w:tc>
        <w:tc>
          <w:tcPr>
            <w:tcW w:w="7060" w:type="dxa"/>
            <w:vAlign w:val="bottom"/>
          </w:tcPr>
          <w:p>
            <w:pPr>
              <w:ind w:left="1860"/>
              <w:spacing w:after="0"/>
              <w:rPr>
                <w:sz w:val="20"/>
                <w:szCs w:val="20"/>
                <w:color w:val="auto"/>
              </w:rPr>
            </w:pPr>
            <w:r>
              <w:rPr>
                <w:rFonts w:ascii="Arial" w:cs="Arial" w:eastAsia="Arial" w:hAnsi="Arial"/>
                <w:sz w:val="18"/>
                <w:szCs w:val="18"/>
                <w:color w:val="auto"/>
              </w:rPr>
              <w:t>Delaware</w:t>
            </w:r>
          </w:p>
        </w:tc>
      </w:tr>
      <w:tr>
        <w:trPr>
          <w:trHeight w:val="229"/>
        </w:trPr>
        <w:tc>
          <w:tcPr>
            <w:tcW w:w="4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VICI Note Co. Inc.</w:t>
            </w:r>
          </w:p>
        </w:tc>
        <w:tc>
          <w:tcPr>
            <w:tcW w:w="706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Delaware</w:t>
            </w:r>
          </w:p>
        </w:tc>
      </w:tr>
      <w:tr>
        <w:trPr>
          <w:trHeight w:val="230"/>
        </w:trPr>
        <w:tc>
          <w:tcPr>
            <w:tcW w:w="4180" w:type="dxa"/>
            <w:vAlign w:val="bottom"/>
          </w:tcPr>
          <w:p>
            <w:pPr>
              <w:ind w:left="60"/>
              <w:spacing w:after="0"/>
              <w:rPr>
                <w:sz w:val="20"/>
                <w:szCs w:val="20"/>
                <w:color w:val="auto"/>
              </w:rPr>
            </w:pPr>
            <w:r>
              <w:rPr>
                <w:rFonts w:ascii="Arial" w:cs="Arial" w:eastAsia="Arial" w:hAnsi="Arial"/>
                <w:sz w:val="18"/>
                <w:szCs w:val="18"/>
                <w:color w:val="auto"/>
              </w:rPr>
              <w:t>VICI Properties 1 LLC</w:t>
            </w:r>
          </w:p>
        </w:tc>
        <w:tc>
          <w:tcPr>
            <w:tcW w:w="7060" w:type="dxa"/>
            <w:vAlign w:val="bottom"/>
          </w:tcPr>
          <w:p>
            <w:pPr>
              <w:ind w:left="1860"/>
              <w:spacing w:after="0"/>
              <w:rPr>
                <w:sz w:val="20"/>
                <w:szCs w:val="20"/>
                <w:color w:val="auto"/>
              </w:rPr>
            </w:pPr>
            <w:r>
              <w:rPr>
                <w:rFonts w:ascii="Arial" w:cs="Arial" w:eastAsia="Arial" w:hAnsi="Arial"/>
                <w:sz w:val="18"/>
                <w:szCs w:val="18"/>
                <w:color w:val="auto"/>
              </w:rPr>
              <w:t>Delaware</w:t>
            </w:r>
          </w:p>
        </w:tc>
      </w:tr>
      <w:tr>
        <w:trPr>
          <w:trHeight w:val="229"/>
        </w:trPr>
        <w:tc>
          <w:tcPr>
            <w:tcW w:w="4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VICI Properties GP LLC</w:t>
            </w:r>
          </w:p>
        </w:tc>
        <w:tc>
          <w:tcPr>
            <w:tcW w:w="706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Delaware</w:t>
            </w:r>
          </w:p>
        </w:tc>
      </w:tr>
      <w:tr>
        <w:trPr>
          <w:trHeight w:val="230"/>
        </w:trPr>
        <w:tc>
          <w:tcPr>
            <w:tcW w:w="4180" w:type="dxa"/>
            <w:vAlign w:val="bottom"/>
          </w:tcPr>
          <w:p>
            <w:pPr>
              <w:ind w:left="80"/>
              <w:spacing w:after="0"/>
              <w:rPr>
                <w:sz w:val="20"/>
                <w:szCs w:val="20"/>
                <w:color w:val="auto"/>
              </w:rPr>
            </w:pPr>
            <w:r>
              <w:rPr>
                <w:rFonts w:ascii="Arial" w:cs="Arial" w:eastAsia="Arial" w:hAnsi="Arial"/>
                <w:sz w:val="18"/>
                <w:szCs w:val="18"/>
                <w:color w:val="auto"/>
              </w:rPr>
              <w:t>VICI Properties Holdco LLC</w:t>
            </w:r>
          </w:p>
        </w:tc>
        <w:tc>
          <w:tcPr>
            <w:tcW w:w="7060" w:type="dxa"/>
            <w:vAlign w:val="bottom"/>
          </w:tcPr>
          <w:p>
            <w:pPr>
              <w:ind w:left="1860"/>
              <w:spacing w:after="0"/>
              <w:rPr>
                <w:sz w:val="20"/>
                <w:szCs w:val="20"/>
                <w:color w:val="auto"/>
              </w:rPr>
            </w:pPr>
            <w:r>
              <w:rPr>
                <w:rFonts w:ascii="Arial" w:cs="Arial" w:eastAsia="Arial" w:hAnsi="Arial"/>
                <w:sz w:val="18"/>
                <w:szCs w:val="18"/>
                <w:color w:val="auto"/>
              </w:rPr>
              <w:t>Delaware</w:t>
            </w:r>
          </w:p>
        </w:tc>
      </w:tr>
      <w:tr>
        <w:trPr>
          <w:trHeight w:val="229"/>
        </w:trPr>
        <w:tc>
          <w:tcPr>
            <w:tcW w:w="4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VICI Properties L.P.</w:t>
            </w:r>
          </w:p>
        </w:tc>
        <w:tc>
          <w:tcPr>
            <w:tcW w:w="706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Delaware</w:t>
            </w:r>
          </w:p>
        </w:tc>
      </w:tr>
      <w:tr>
        <w:trPr>
          <w:trHeight w:val="229"/>
        </w:trPr>
        <w:tc>
          <w:tcPr>
            <w:tcW w:w="4180" w:type="dxa"/>
            <w:vAlign w:val="bottom"/>
          </w:tcPr>
          <w:p>
            <w:pPr>
              <w:ind w:left="60"/>
              <w:spacing w:after="0"/>
              <w:rPr>
                <w:sz w:val="20"/>
                <w:szCs w:val="20"/>
                <w:color w:val="auto"/>
              </w:rPr>
            </w:pPr>
            <w:r>
              <w:rPr>
                <w:rFonts w:ascii="Arial" w:cs="Arial" w:eastAsia="Arial" w:hAnsi="Arial"/>
                <w:sz w:val="18"/>
                <w:szCs w:val="18"/>
                <w:color w:val="auto"/>
              </w:rPr>
              <w:t>VICI Properties OP LLC</w:t>
            </w:r>
          </w:p>
        </w:tc>
        <w:tc>
          <w:tcPr>
            <w:tcW w:w="7060" w:type="dxa"/>
            <w:vAlign w:val="bottom"/>
          </w:tcPr>
          <w:p>
            <w:pPr>
              <w:ind w:left="1860"/>
              <w:spacing w:after="0"/>
              <w:rPr>
                <w:sz w:val="20"/>
                <w:szCs w:val="20"/>
                <w:color w:val="auto"/>
              </w:rPr>
            </w:pPr>
            <w:r>
              <w:rPr>
                <w:rFonts w:ascii="Arial" w:cs="Arial" w:eastAsia="Arial" w:hAnsi="Arial"/>
                <w:sz w:val="18"/>
                <w:szCs w:val="18"/>
                <w:color w:val="auto"/>
              </w:rPr>
              <w:t>Delaware</w:t>
            </w:r>
          </w:p>
        </w:tc>
      </w:tr>
      <w:tr>
        <w:trPr>
          <w:trHeight w:val="230"/>
        </w:trPr>
        <w:tc>
          <w:tcPr>
            <w:tcW w:w="4180" w:type="dxa"/>
            <w:vAlign w:val="bottom"/>
            <w:shd w:val="clear" w:color="auto" w:fill="CCEEFF"/>
          </w:tcPr>
          <w:p>
            <w:pPr>
              <w:ind w:left="60"/>
              <w:spacing w:after="0"/>
              <w:rPr>
                <w:sz w:val="20"/>
                <w:szCs w:val="20"/>
                <w:color w:val="auto"/>
              </w:rPr>
            </w:pPr>
            <w:r>
              <w:rPr>
                <w:rFonts w:ascii="Arial" w:cs="Arial" w:eastAsia="Arial" w:hAnsi="Arial"/>
                <w:sz w:val="18"/>
                <w:szCs w:val="18"/>
                <w:color w:val="auto"/>
              </w:rPr>
              <w:t>VICI Revolving Lendco LLC</w:t>
            </w:r>
          </w:p>
        </w:tc>
        <w:tc>
          <w:tcPr>
            <w:tcW w:w="7060" w:type="dxa"/>
            <w:vAlign w:val="bottom"/>
            <w:shd w:val="clear" w:color="auto" w:fill="CCEEFF"/>
          </w:tcPr>
          <w:p>
            <w:pPr>
              <w:ind w:left="1860"/>
              <w:spacing w:after="0"/>
              <w:rPr>
                <w:sz w:val="20"/>
                <w:szCs w:val="20"/>
                <w:color w:val="auto"/>
              </w:rPr>
            </w:pPr>
            <w:r>
              <w:rPr>
                <w:rFonts w:ascii="Arial" w:cs="Arial" w:eastAsia="Arial" w:hAnsi="Arial"/>
                <w:sz w:val="18"/>
                <w:szCs w:val="18"/>
                <w:color w:val="auto"/>
              </w:rPr>
              <w:t>Delaware</w:t>
            </w:r>
          </w:p>
        </w:tc>
      </w:tr>
      <w:tr>
        <w:trPr>
          <w:trHeight w:val="230"/>
        </w:trPr>
        <w:tc>
          <w:tcPr>
            <w:tcW w:w="4180" w:type="dxa"/>
            <w:vAlign w:val="bottom"/>
          </w:tcPr>
          <w:p>
            <w:pPr>
              <w:ind w:left="80"/>
              <w:spacing w:after="0"/>
              <w:rPr>
                <w:sz w:val="20"/>
                <w:szCs w:val="20"/>
                <w:color w:val="auto"/>
              </w:rPr>
            </w:pPr>
            <w:r>
              <w:rPr>
                <w:rFonts w:ascii="Arial" w:cs="Arial" w:eastAsia="Arial" w:hAnsi="Arial"/>
                <w:sz w:val="18"/>
                <w:szCs w:val="18"/>
                <w:color w:val="auto"/>
              </w:rPr>
              <w:t>WWW Propco LLC</w:t>
            </w:r>
          </w:p>
        </w:tc>
        <w:tc>
          <w:tcPr>
            <w:tcW w:w="7060" w:type="dxa"/>
            <w:vAlign w:val="bottom"/>
          </w:tcPr>
          <w:p>
            <w:pPr>
              <w:ind w:left="186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40"/>
          </w:cols>
          <w:pgMar w:left="320" w:top="908" w:right="33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consent to the incorporation by reference in Registration Statement No. 333-220949 on Form S-8 and Registration Statement No. 333-261180 on Form S-3 of our reports dated February 23, 2022, relating to the financial statements of VICI Properties Inc. and the effectiveness of VICI Properties Inc.’s internal control over financial reporting, appearing in this Annual Report on Form 10-K for the year ended December 31, 2021.</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2022</w:t>
      </w:r>
    </w:p>
    <w:p>
      <w:pPr>
        <w:sectPr>
          <w:pgSz w:w="11900" w:h="16838" w:orient="portrait"/>
          <w:cols w:equalWidth="0" w:num="1">
            <w:col w:w="11240"/>
          </w:cols>
          <w:pgMar w:left="320" w:top="891" w:right="339" w:bottom="1440" w:gutter="0" w:footer="0" w:header="0"/>
        </w:sectPr>
      </w:pPr>
    </w:p>
    <w:bookmarkStart w:id="217" w:name="page218"/>
    <w:bookmarkEnd w:id="217"/>
    <w:p>
      <w:pPr>
        <w:jc w:val="right"/>
        <w:spacing w:after="0"/>
        <w:rPr>
          <w:sz w:val="20"/>
          <w:szCs w:val="20"/>
          <w:color w:val="auto"/>
        </w:rPr>
      </w:pPr>
      <w:r>
        <w:rPr>
          <w:rFonts w:ascii="Arial" w:cs="Arial" w:eastAsia="Arial" w:hAnsi="Arial"/>
          <w:sz w:val="20"/>
          <w:szCs w:val="20"/>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I, Edward B. Pitoniak, certify that:</w:t>
      </w:r>
    </w:p>
    <w:p>
      <w:pPr>
        <w:spacing w:after="0" w:line="171" w:lineRule="exact"/>
        <w:rPr>
          <w:sz w:val="20"/>
          <w:szCs w:val="20"/>
          <w:color w:val="auto"/>
        </w:rPr>
      </w:pPr>
    </w:p>
    <w:p>
      <w:pPr>
        <w:ind w:left="660" w:hanging="328"/>
        <w:spacing w:after="0"/>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VICI Properties Inc.;</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291" w:val="left"/>
        </w:tabs>
        <w:numPr>
          <w:ilvl w:val="1"/>
          <w:numId w:val="1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288" w:val="left"/>
        </w:tabs>
        <w:numPr>
          <w:ilvl w:val="1"/>
          <w:numId w:val="1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300" w:hanging="320"/>
        <w:spacing w:after="0" w:line="342" w:lineRule="auto"/>
        <w:tabs>
          <w:tab w:leader="none" w:pos="1291" w:val="left"/>
        </w:tabs>
        <w:numPr>
          <w:ilvl w:val="1"/>
          <w:numId w:val="1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320"/>
        <w:spacing w:after="0" w:line="263" w:lineRule="auto"/>
        <w:tabs>
          <w:tab w:leader="none" w:pos="1288" w:val="left"/>
        </w:tabs>
        <w:numPr>
          <w:ilvl w:val="1"/>
          <w:numId w:val="1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20" w:hanging="320"/>
        <w:spacing w:after="0" w:line="308" w:lineRule="auto"/>
        <w:tabs>
          <w:tab w:leader="none" w:pos="1291" w:val="left"/>
        </w:tabs>
        <w:numPr>
          <w:ilvl w:val="1"/>
          <w:numId w:val="14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320"/>
        <w:spacing w:after="0" w:line="277" w:lineRule="auto"/>
        <w:tabs>
          <w:tab w:leader="none" w:pos="1288"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February 23, 2022</w:t>
      </w:r>
    </w:p>
    <w:p>
      <w:pPr>
        <w:spacing w:after="0" w:line="23" w:lineRule="exact"/>
        <w:rPr>
          <w:sz w:val="20"/>
          <w:szCs w:val="20"/>
          <w:color w:val="auto"/>
        </w:rPr>
      </w:pPr>
    </w:p>
    <w:p>
      <w:pPr>
        <w:ind w:left="4580"/>
        <w:spacing w:after="0"/>
        <w:tabs>
          <w:tab w:leader="none" w:pos="7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393446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7">
                      <a:extLst>
                        <a:ext uri="{28A0092B-C50C-407E-A947-70E740481C1C}"/>
                      </a:extLst>
                    </a:blip>
                    <a:srcRect/>
                    <a:stretch>
                      <a:fillRect/>
                    </a:stretch>
                  </pic:blipFill>
                  <pic:spPr bwMode="auto">
                    <a:xfrm>
                      <a:off x="0" y="0"/>
                      <a:ext cx="3934460" cy="8890"/>
                    </a:xfrm>
                    <a:prstGeom prst="rect">
                      <a:avLst/>
                    </a:prstGeom>
                    <a:noFill/>
                  </pic:spPr>
                </pic:pic>
              </a:graphicData>
            </a:graphic>
          </wp:anchor>
        </w:drawing>
      </w:r>
    </w:p>
    <w:p>
      <w:pPr>
        <w:spacing w:after="0" w:line="11"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Edward B. Pitoniak</w:t>
      </w:r>
    </w:p>
    <w:p>
      <w:pPr>
        <w:spacing w:after="0" w:line="27"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18" w:right="339" w:bottom="1440" w:gutter="0" w:footer="0" w:header="0"/>
        </w:sectPr>
      </w:pPr>
    </w:p>
    <w:bookmarkStart w:id="218" w:name="page219"/>
    <w:bookmarkEnd w:id="218"/>
    <w:p>
      <w:pPr>
        <w:jc w:val="right"/>
        <w:spacing w:after="0"/>
        <w:rPr>
          <w:sz w:val="20"/>
          <w:szCs w:val="20"/>
          <w:color w:val="auto"/>
        </w:rPr>
      </w:pPr>
      <w:r>
        <w:rPr>
          <w:rFonts w:ascii="Arial" w:cs="Arial" w:eastAsia="Arial" w:hAnsi="Arial"/>
          <w:sz w:val="20"/>
          <w:szCs w:val="20"/>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I, David Kieske, certify that:</w:t>
      </w:r>
    </w:p>
    <w:p>
      <w:pPr>
        <w:spacing w:after="0" w:line="171" w:lineRule="exact"/>
        <w:rPr>
          <w:sz w:val="20"/>
          <w:szCs w:val="20"/>
          <w:color w:val="auto"/>
        </w:rPr>
      </w:pPr>
    </w:p>
    <w:p>
      <w:pPr>
        <w:ind w:left="660" w:hanging="328"/>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VICI Properties Inc.;</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291" w:val="left"/>
        </w:tabs>
        <w:numPr>
          <w:ilvl w:val="1"/>
          <w:numId w:val="1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288" w:val="left"/>
        </w:tabs>
        <w:numPr>
          <w:ilvl w:val="1"/>
          <w:numId w:val="1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300" w:hanging="320"/>
        <w:spacing w:after="0" w:line="342" w:lineRule="auto"/>
        <w:tabs>
          <w:tab w:leader="none" w:pos="1291" w:val="left"/>
        </w:tabs>
        <w:numPr>
          <w:ilvl w:val="1"/>
          <w:numId w:val="1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320"/>
        <w:spacing w:after="0" w:line="263" w:lineRule="auto"/>
        <w:tabs>
          <w:tab w:leader="none" w:pos="1288" w:val="left"/>
        </w:tabs>
        <w:numPr>
          <w:ilvl w:val="1"/>
          <w:numId w:val="1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20" w:hanging="320"/>
        <w:spacing w:after="0" w:line="308" w:lineRule="auto"/>
        <w:tabs>
          <w:tab w:leader="none" w:pos="1291" w:val="left"/>
        </w:tabs>
        <w:numPr>
          <w:ilvl w:val="1"/>
          <w:numId w:val="14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320"/>
        <w:spacing w:after="0" w:line="277" w:lineRule="auto"/>
        <w:tabs>
          <w:tab w:leader="none" w:pos="1288"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February 23, 2022</w:t>
      </w:r>
    </w:p>
    <w:p>
      <w:pPr>
        <w:spacing w:after="0" w:line="23" w:lineRule="exact"/>
        <w:rPr>
          <w:sz w:val="20"/>
          <w:szCs w:val="20"/>
          <w:color w:val="auto"/>
        </w:rPr>
      </w:pPr>
    </w:p>
    <w:p>
      <w:pPr>
        <w:ind w:left="4580"/>
        <w:spacing w:after="0"/>
        <w:tabs>
          <w:tab w:leader="none" w:pos="7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393446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8">
                      <a:extLst>
                        <a:ext uri="{28A0092B-C50C-407E-A947-70E740481C1C}"/>
                      </a:extLst>
                    </a:blip>
                    <a:srcRect/>
                    <a:stretch>
                      <a:fillRect/>
                    </a:stretch>
                  </pic:blipFill>
                  <pic:spPr bwMode="auto">
                    <a:xfrm>
                      <a:off x="0" y="0"/>
                      <a:ext cx="3934460" cy="8890"/>
                    </a:xfrm>
                    <a:prstGeom prst="rect">
                      <a:avLst/>
                    </a:prstGeom>
                    <a:noFill/>
                  </pic:spPr>
                </pic:pic>
              </a:graphicData>
            </a:graphic>
          </wp:anchor>
        </w:drawing>
      </w:r>
    </w:p>
    <w:p>
      <w:pPr>
        <w:spacing w:after="0" w:line="11"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David A. Kieske</w:t>
      </w:r>
    </w:p>
    <w:p>
      <w:pPr>
        <w:spacing w:after="0" w:line="27"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18" w:right="339" w:bottom="1440" w:gutter="0" w:footer="0" w:header="0"/>
        </w:sectPr>
      </w:pPr>
    </w:p>
    <w:bookmarkStart w:id="219" w:name="page220"/>
    <w:bookmarkEnd w:id="219"/>
    <w:p>
      <w:pPr>
        <w:jc w:val="right"/>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VICI Properties Inc. (the “Company”), hereby certifies, to such officer's knowledge, that:</w:t>
      </w:r>
    </w:p>
    <w:p>
      <w:pPr>
        <w:spacing w:after="0" w:line="116" w:lineRule="exact"/>
        <w:rPr>
          <w:sz w:val="20"/>
          <w:szCs w:val="20"/>
          <w:color w:val="auto"/>
        </w:rPr>
      </w:pPr>
    </w:p>
    <w:p>
      <w:pPr>
        <w:ind w:left="340" w:hanging="332"/>
        <w:spacing w:after="0" w:line="277" w:lineRule="auto"/>
        <w:tabs>
          <w:tab w:leader="none" w:pos="334"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accompanying Annual Report on Form 10-K of the Company for the year ended December 31, 2021 (the “Report”) fully complies with the requirements of Section 13(a) or Section 15(d), as applicable, of the Securities Exchange Act of 1934, as amended; and</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23"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February 23, 2022</w:t>
      </w:r>
    </w:p>
    <w:p>
      <w:pPr>
        <w:spacing w:after="0" w:line="23" w:lineRule="exact"/>
        <w:rPr>
          <w:sz w:val="20"/>
          <w:szCs w:val="20"/>
          <w:color w:val="auto"/>
        </w:rPr>
      </w:pPr>
    </w:p>
    <w:p>
      <w:pPr>
        <w:ind w:left="4580"/>
        <w:spacing w:after="0"/>
        <w:tabs>
          <w:tab w:leader="none" w:pos="7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39344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9">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11"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Edward B. Pitoniak</w:t>
      </w:r>
    </w:p>
    <w:p>
      <w:pPr>
        <w:spacing w:after="0" w:line="27"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Chief Executive Officer</w:t>
      </w:r>
    </w:p>
    <w:p>
      <w:pPr>
        <w:spacing w:after="0" w:line="2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240"/>
          </w:cols>
          <w:pgMar w:left="320" w:top="118" w:right="339" w:bottom="1440" w:gutter="0" w:footer="0" w:header="0"/>
        </w:sectPr>
      </w:pPr>
    </w:p>
    <w:bookmarkStart w:id="220" w:name="page221"/>
    <w:bookmarkEnd w:id="220"/>
    <w:p>
      <w:pPr>
        <w:jc w:val="right"/>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VICI Properties Inc. (the “Company”), hereby certifies, to such officer's knowledge, that:</w:t>
      </w:r>
    </w:p>
    <w:p>
      <w:pPr>
        <w:spacing w:after="0" w:line="116" w:lineRule="exact"/>
        <w:rPr>
          <w:sz w:val="20"/>
          <w:szCs w:val="20"/>
          <w:color w:val="auto"/>
        </w:rPr>
      </w:pPr>
    </w:p>
    <w:p>
      <w:pPr>
        <w:ind w:left="340" w:hanging="332"/>
        <w:spacing w:after="0" w:line="277" w:lineRule="auto"/>
        <w:tabs>
          <w:tab w:leader="none" w:pos="334"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accompanying Annual Report on Form 10-K of the Company for the year ended December 31, 2021 (the “Report”) fully complies with the requirements of Section 13(a) or Section 15(d), as applicable, of the Securities Exchange Act of 1934, as amended; and</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23"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February 23, 2022</w:t>
      </w:r>
    </w:p>
    <w:p>
      <w:pPr>
        <w:spacing w:after="0" w:line="23" w:lineRule="exact"/>
        <w:rPr>
          <w:sz w:val="20"/>
          <w:szCs w:val="20"/>
          <w:color w:val="auto"/>
        </w:rPr>
      </w:pPr>
    </w:p>
    <w:p>
      <w:pPr>
        <w:ind w:left="4580"/>
        <w:spacing w:after="0"/>
        <w:tabs>
          <w:tab w:leader="none" w:pos="7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39344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0">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11"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David A. Kieske</w:t>
      </w:r>
    </w:p>
    <w:p>
      <w:pPr>
        <w:spacing w:after="0" w:line="27"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Chief Financial Officer</w:t>
      </w:r>
    </w:p>
    <w:p>
      <w:pPr>
        <w:spacing w:after="0" w:line="2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3EFDC5"/>
    <w:multiLevelType w:val="hybridMultilevel"/>
    <w:lvl w:ilvl="0">
      <w:lvlJc w:val="left"/>
      <w:lvlText w:val="☒"/>
      <w:numFmt w:val="bullet"/>
      <w:start w:val="1"/>
    </w:lvl>
  </w:abstractNum>
  <w:abstractNum w:abstractNumId="1">
    <w:nsid w:val="BF72B14"/>
    <w:multiLevelType w:val="hybridMultilevel"/>
    <w:lvl w:ilvl="0">
      <w:lvlJc w:val="left"/>
      <w:lvlText w:val="☐"/>
      <w:numFmt w:val="bullet"/>
      <w:start w:val="1"/>
    </w:lvl>
  </w:abstractNum>
  <w:abstractNum w:abstractNumId="2">
    <w:nsid w:val="11447B73"/>
    <w:multiLevelType w:val="hybridMultilevel"/>
    <w:lvl w:ilvl="0">
      <w:lvlJc w:val="left"/>
      <w:lvlText w:val="•"/>
      <w:numFmt w:val="bullet"/>
      <w:start w:val="1"/>
    </w:lvl>
  </w:abstractNum>
  <w:abstractNum w:abstractNumId="3">
    <w:nsid w:val="42963E5A"/>
    <w:multiLevelType w:val="hybridMultilevel"/>
    <w:lvl w:ilvl="0">
      <w:lvlJc w:val="left"/>
      <w:lvlText w:val="•"/>
      <w:numFmt w:val="bullet"/>
      <w:start w:val="1"/>
    </w:lvl>
  </w:abstractNum>
  <w:abstractNum w:abstractNumId="4">
    <w:nsid w:val="A0382C5"/>
    <w:multiLevelType w:val="hybridMultilevel"/>
    <w:lvl w:ilvl="0">
      <w:lvlJc w:val="left"/>
      <w:lvlText w:val="•"/>
      <w:numFmt w:val="bullet"/>
      <w:start w:val="1"/>
    </w:lvl>
  </w:abstractNum>
  <w:abstractNum w:abstractNumId="5">
    <w:nsid w:val="8F2B15E"/>
    <w:multiLevelType w:val="hybridMultilevel"/>
    <w:lvl w:ilvl="0">
      <w:lvlJc w:val="left"/>
      <w:lvlText w:val="•"/>
      <w:numFmt w:val="bullet"/>
      <w:start w:val="1"/>
    </w:lvl>
  </w:abstractNum>
  <w:abstractNum w:abstractNumId="6">
    <w:nsid w:val="1A32234B"/>
    <w:multiLevelType w:val="hybridMultilevel"/>
    <w:lvl w:ilvl="0">
      <w:lvlJc w:val="left"/>
      <w:lvlText w:val="•"/>
      <w:numFmt w:val="bullet"/>
      <w:start w:val="1"/>
    </w:lvl>
  </w:abstractNum>
  <w:abstractNum w:abstractNumId="7">
    <w:nsid w:val="3B0FD379"/>
    <w:multiLevelType w:val="hybridMultilevel"/>
    <w:lvl w:ilvl="0">
      <w:lvlJc w:val="left"/>
      <w:lvlText w:val="•"/>
      <w:numFmt w:val="bullet"/>
      <w:start w:val="1"/>
    </w:lvl>
  </w:abstractNum>
  <w:abstractNum w:abstractNumId="8">
    <w:nsid w:val="68EB2F63"/>
    <w:multiLevelType w:val="hybridMultilevel"/>
    <w:lvl w:ilvl="0">
      <w:lvlJc w:val="left"/>
      <w:lvlText w:val="•"/>
      <w:numFmt w:val="bullet"/>
      <w:start w:val="1"/>
    </w:lvl>
  </w:abstractNum>
  <w:abstractNum w:abstractNumId="9">
    <w:nsid w:val="4962813B"/>
    <w:multiLevelType w:val="hybridMultilevel"/>
    <w:lvl w:ilvl="0">
      <w:lvlJc w:val="left"/>
      <w:lvlText w:val="•"/>
      <w:numFmt w:val="bullet"/>
      <w:start w:val="1"/>
    </w:lvl>
  </w:abstractNum>
  <w:abstractNum w:abstractNumId="10">
    <w:nsid w:val="60B6DF70"/>
    <w:multiLevelType w:val="hybridMultilevel"/>
    <w:lvl w:ilvl="0">
      <w:lvlJc w:val="left"/>
      <w:lvlText w:val="•"/>
      <w:numFmt w:val="bullet"/>
      <w:start w:val="1"/>
    </w:lvl>
  </w:abstractNum>
  <w:abstractNum w:abstractNumId="11">
    <w:nsid w:val="6A5EE64"/>
    <w:multiLevelType w:val="hybridMultilevel"/>
    <w:lvl w:ilvl="0">
      <w:lvlJc w:val="left"/>
      <w:lvlText w:val="(%1)"/>
      <w:numFmt w:val="decimal"/>
      <w:start w:val="1"/>
    </w:lvl>
  </w:abstractNum>
  <w:abstractNum w:abstractNumId="12">
    <w:nsid w:val="14330624"/>
    <w:multiLevelType w:val="hybridMultilevel"/>
    <w:lvl w:ilvl="0">
      <w:lvlJc w:val="left"/>
      <w:lvlText w:val="(%1)"/>
      <w:numFmt w:val="decimal"/>
      <w:start w:val="1"/>
    </w:lvl>
  </w:abstractNum>
  <w:abstractNum w:abstractNumId="13">
    <w:nsid w:val="7FFFCA11"/>
    <w:multiLevelType w:val="hybridMultilevel"/>
    <w:lvl w:ilvl="0">
      <w:lvlJc w:val="left"/>
      <w:lvlText w:val="•"/>
      <w:numFmt w:val="bullet"/>
      <w:start w:val="1"/>
    </w:lvl>
  </w:abstractNum>
  <w:abstractNum w:abstractNumId="14">
    <w:nsid w:val="1A27709E"/>
    <w:multiLevelType w:val="hybridMultilevel"/>
    <w:lvl w:ilvl="0">
      <w:lvlJc w:val="left"/>
      <w:lvlText w:val="•"/>
      <w:numFmt w:val="bullet"/>
      <w:start w:val="1"/>
    </w:lvl>
  </w:abstractNum>
  <w:abstractNum w:abstractNumId="15">
    <w:nsid w:val="71EA1109"/>
    <w:multiLevelType w:val="hybridMultilevel"/>
    <w:lvl w:ilvl="0">
      <w:lvlJc w:val="left"/>
      <w:lvlText w:val="•"/>
      <w:numFmt w:val="bullet"/>
      <w:start w:val="1"/>
    </w:lvl>
  </w:abstractNum>
  <w:abstractNum w:abstractNumId="16">
    <w:nsid w:val="100F59DC"/>
    <w:multiLevelType w:val="hybridMultilevel"/>
    <w:lvl w:ilvl="0">
      <w:lvlJc w:val="left"/>
      <w:lvlText w:val="•"/>
      <w:numFmt w:val="bullet"/>
      <w:start w:val="1"/>
    </w:lvl>
  </w:abstractNum>
  <w:abstractNum w:abstractNumId="17">
    <w:nsid w:val="7FB7E0AA"/>
    <w:multiLevelType w:val="hybridMultilevel"/>
    <w:lvl w:ilvl="0">
      <w:lvlJc w:val="left"/>
      <w:lvlText w:val="•"/>
      <w:numFmt w:val="bullet"/>
      <w:start w:val="1"/>
    </w:lvl>
  </w:abstractNum>
  <w:abstractNum w:abstractNumId="18">
    <w:nsid w:val="6EB5BD4"/>
    <w:multiLevelType w:val="hybridMultilevel"/>
    <w:lvl w:ilvl="0">
      <w:lvlJc w:val="left"/>
      <w:lvlText w:val="•"/>
      <w:numFmt w:val="bullet"/>
      <w:start w:val="1"/>
    </w:lvl>
  </w:abstractNum>
  <w:abstractNum w:abstractNumId="19">
    <w:nsid w:val="6F6DD9AC"/>
    <w:multiLevelType w:val="hybridMultilevel"/>
    <w:lvl w:ilvl="0">
      <w:lvlJc w:val="left"/>
      <w:lvlText w:val="•"/>
      <w:numFmt w:val="bullet"/>
      <w:start w:val="1"/>
    </w:lvl>
  </w:abstractNum>
  <w:abstractNum w:abstractNumId="20">
    <w:nsid w:val="94211F2"/>
    <w:multiLevelType w:val="hybridMultilevel"/>
    <w:lvl w:ilvl="0">
      <w:lvlJc w:val="left"/>
      <w:lvlText w:val="•"/>
      <w:numFmt w:val="bullet"/>
      <w:start w:val="1"/>
    </w:lvl>
  </w:abstractNum>
  <w:abstractNum w:abstractNumId="21">
    <w:nsid w:val="885E1B"/>
    <w:multiLevelType w:val="hybridMultilevel"/>
    <w:lvl w:ilvl="0">
      <w:lvlJc w:val="left"/>
      <w:lvlText w:val="•"/>
      <w:numFmt w:val="bullet"/>
      <w:start w:val="1"/>
    </w:lvl>
  </w:abstractNum>
  <w:abstractNum w:abstractNumId="22">
    <w:nsid w:val="76272110"/>
    <w:multiLevelType w:val="hybridMultilevel"/>
    <w:lvl w:ilvl="0">
      <w:lvlJc w:val="left"/>
      <w:lvlText w:val="•"/>
      <w:numFmt w:val="bullet"/>
      <w:start w:val="1"/>
    </w:lvl>
  </w:abstractNum>
  <w:abstractNum w:abstractNumId="23">
    <w:nsid w:val="4C04A8AF"/>
    <w:multiLevelType w:val="hybridMultilevel"/>
    <w:lvl w:ilvl="0">
      <w:lvlJc w:val="left"/>
      <w:lvlText w:val="•"/>
      <w:numFmt w:val="bullet"/>
      <w:start w:val="1"/>
    </w:lvl>
  </w:abstractNum>
  <w:abstractNum w:abstractNumId="24">
    <w:nsid w:val="1716703B"/>
    <w:multiLevelType w:val="hybridMultilevel"/>
    <w:lvl w:ilvl="0">
      <w:lvlJc w:val="left"/>
      <w:lvlText w:val="•"/>
      <w:numFmt w:val="bullet"/>
      <w:start w:val="1"/>
    </w:lvl>
  </w:abstractNum>
  <w:abstractNum w:abstractNumId="25">
    <w:nsid w:val="14E17E33"/>
    <w:multiLevelType w:val="hybridMultilevel"/>
    <w:lvl w:ilvl="0">
      <w:lvlJc w:val="left"/>
      <w:lvlText w:val="•"/>
      <w:numFmt w:val="bullet"/>
      <w:start w:val="1"/>
    </w:lvl>
  </w:abstractNum>
  <w:abstractNum w:abstractNumId="26">
    <w:nsid w:val="3222E7CD"/>
    <w:multiLevelType w:val="hybridMultilevel"/>
    <w:lvl w:ilvl="0">
      <w:lvlJc w:val="left"/>
      <w:lvlText w:val="•"/>
      <w:numFmt w:val="bullet"/>
      <w:start w:val="1"/>
    </w:lvl>
  </w:abstractNum>
  <w:abstractNum w:abstractNumId="27">
    <w:nsid w:val="74DE0EE3"/>
    <w:multiLevelType w:val="hybridMultilevel"/>
    <w:lvl w:ilvl="0">
      <w:lvlJc w:val="left"/>
      <w:lvlText w:val="•"/>
      <w:numFmt w:val="bullet"/>
      <w:start w:val="1"/>
    </w:lvl>
  </w:abstractNum>
  <w:abstractNum w:abstractNumId="28">
    <w:nsid w:val="68EBC550"/>
    <w:multiLevelType w:val="hybridMultilevel"/>
    <w:lvl w:ilvl="0">
      <w:lvlJc w:val="left"/>
      <w:lvlText w:val="•"/>
      <w:numFmt w:val="bullet"/>
      <w:start w:val="1"/>
    </w:lvl>
  </w:abstractNum>
  <w:abstractNum w:abstractNumId="29">
    <w:nsid w:val="2DF6D648"/>
    <w:multiLevelType w:val="hybridMultilevel"/>
    <w:lvl w:ilvl="0">
      <w:lvlJc w:val="left"/>
      <w:lvlText w:val="•"/>
      <w:numFmt w:val="bullet"/>
      <w:start w:val="1"/>
    </w:lvl>
  </w:abstractNum>
  <w:abstractNum w:abstractNumId="30">
    <w:nsid w:val="46B7D447"/>
    <w:multiLevelType w:val="hybridMultilevel"/>
    <w:lvl w:ilvl="0">
      <w:lvlJc w:val="left"/>
      <w:lvlText w:val="•"/>
      <w:numFmt w:val="bullet"/>
      <w:start w:val="1"/>
    </w:lvl>
  </w:abstractNum>
  <w:abstractNum w:abstractNumId="31">
    <w:nsid w:val="4A2AC315"/>
    <w:multiLevelType w:val="hybridMultilevel"/>
    <w:lvl w:ilvl="0">
      <w:lvlJc w:val="left"/>
      <w:lvlText w:val="•"/>
      <w:numFmt w:val="bullet"/>
      <w:start w:val="1"/>
    </w:lvl>
  </w:abstractNum>
  <w:abstractNum w:abstractNumId="32">
    <w:nsid w:val="39EE015C"/>
    <w:multiLevelType w:val="hybridMultilevel"/>
    <w:lvl w:ilvl="0">
      <w:lvlJc w:val="left"/>
      <w:lvlText w:val="•"/>
      <w:numFmt w:val="bullet"/>
      <w:start w:val="1"/>
    </w:lvl>
  </w:abstractNum>
  <w:abstractNum w:abstractNumId="33">
    <w:nsid w:val="57FC4FBB"/>
    <w:multiLevelType w:val="hybridMultilevel"/>
    <w:lvl w:ilvl="0">
      <w:lvlJc w:val="left"/>
      <w:lvlText w:val="•"/>
      <w:numFmt w:val="bullet"/>
      <w:start w:val="1"/>
    </w:lvl>
  </w:abstractNum>
  <w:abstractNum w:abstractNumId="34">
    <w:nsid w:val="CC1016F"/>
    <w:multiLevelType w:val="hybridMultilevel"/>
    <w:lvl w:ilvl="0">
      <w:lvlJc w:val="left"/>
      <w:lvlText w:val="•"/>
      <w:numFmt w:val="bullet"/>
      <w:start w:val="1"/>
    </w:lvl>
  </w:abstractNum>
  <w:abstractNum w:abstractNumId="35">
    <w:nsid w:val="43F18422"/>
    <w:multiLevelType w:val="hybridMultilevel"/>
    <w:lvl w:ilvl="0">
      <w:lvlJc w:val="left"/>
      <w:lvlText w:val="•"/>
      <w:numFmt w:val="bullet"/>
      <w:start w:val="1"/>
    </w:lvl>
  </w:abstractNum>
  <w:abstractNum w:abstractNumId="36">
    <w:nsid w:val="60EF0119"/>
    <w:multiLevelType w:val="hybridMultilevel"/>
    <w:lvl w:ilvl="0">
      <w:lvlJc w:val="left"/>
      <w:lvlText w:val="•"/>
      <w:numFmt w:val="bullet"/>
      <w:start w:val="1"/>
    </w:lvl>
  </w:abstractNum>
  <w:abstractNum w:abstractNumId="37">
    <w:nsid w:val="26F324BA"/>
    <w:multiLevelType w:val="hybridMultilevel"/>
    <w:lvl w:ilvl="0">
      <w:lvlJc w:val="left"/>
      <w:lvlText w:val="•"/>
      <w:numFmt w:val="bullet"/>
      <w:start w:val="1"/>
    </w:lvl>
  </w:abstractNum>
  <w:abstractNum w:abstractNumId="38">
    <w:nsid w:val="7F01579B"/>
    <w:multiLevelType w:val="hybridMultilevel"/>
    <w:lvl w:ilvl="0">
      <w:lvlJc w:val="left"/>
      <w:lvlText w:val="•"/>
      <w:numFmt w:val="bullet"/>
      <w:start w:val="1"/>
    </w:lvl>
  </w:abstractNum>
  <w:abstractNum w:abstractNumId="39">
    <w:nsid w:val="49DA307D"/>
    <w:multiLevelType w:val="hybridMultilevel"/>
    <w:lvl w:ilvl="0">
      <w:lvlJc w:val="left"/>
      <w:lvlText w:val="•"/>
      <w:numFmt w:val="bullet"/>
      <w:start w:val="1"/>
    </w:lvl>
  </w:abstractNum>
  <w:abstractNum w:abstractNumId="40">
    <w:nsid w:val="7055A5F5"/>
    <w:multiLevelType w:val="hybridMultilevel"/>
    <w:lvl w:ilvl="0">
      <w:lvlJc w:val="left"/>
      <w:lvlText w:val="•"/>
      <w:numFmt w:val="bullet"/>
      <w:start w:val="1"/>
    </w:lvl>
  </w:abstractNum>
  <w:abstractNum w:abstractNumId="41">
    <w:nsid w:val="5FB8370B"/>
    <w:multiLevelType w:val="hybridMultilevel"/>
    <w:lvl w:ilvl="0">
      <w:lvlJc w:val="left"/>
      <w:lvlText w:val="•"/>
      <w:numFmt w:val="bullet"/>
      <w:start w:val="1"/>
    </w:lvl>
  </w:abstractNum>
  <w:abstractNum w:abstractNumId="42">
    <w:nsid w:val="50801EE1"/>
    <w:multiLevelType w:val="hybridMultilevel"/>
    <w:lvl w:ilvl="0">
      <w:lvlJc w:val="left"/>
      <w:lvlText w:val="•"/>
      <w:numFmt w:val="bullet"/>
      <w:start w:val="1"/>
    </w:lvl>
  </w:abstractNum>
  <w:abstractNum w:abstractNumId="43">
    <w:nsid w:val="488AC1A"/>
    <w:multiLevelType w:val="hybridMultilevel"/>
    <w:lvl w:ilvl="0">
      <w:lvlJc w:val="left"/>
      <w:lvlText w:val="•"/>
      <w:numFmt w:val="bullet"/>
      <w:start w:val="1"/>
    </w:lvl>
  </w:abstractNum>
  <w:abstractNum w:abstractNumId="44">
    <w:nsid w:val="5FB8011C"/>
    <w:multiLevelType w:val="hybridMultilevel"/>
    <w:lvl w:ilvl="0">
      <w:lvlJc w:val="left"/>
      <w:lvlText w:val="•"/>
      <w:numFmt w:val="bullet"/>
      <w:start w:val="1"/>
    </w:lvl>
    <w:lvl w:ilvl="1">
      <w:lvlJc w:val="left"/>
      <w:lvlText w:val="◦"/>
      <w:numFmt w:val="bullet"/>
      <w:start w:val="1"/>
    </w:lvl>
  </w:abstractNum>
  <w:abstractNum w:abstractNumId="45">
    <w:nsid w:val="6AA78F7F"/>
    <w:multiLevelType w:val="hybridMultilevel"/>
    <w:lvl w:ilvl="0">
      <w:lvlJc w:val="left"/>
      <w:lvlText w:val="•"/>
      <w:numFmt w:val="bullet"/>
      <w:start w:val="1"/>
    </w:lvl>
  </w:abstractNum>
  <w:abstractNum w:abstractNumId="46">
    <w:nsid w:val="7672BD23"/>
    <w:multiLevelType w:val="hybridMultilevel"/>
    <w:lvl w:ilvl="0">
      <w:lvlJc w:val="left"/>
      <w:lvlText w:val="•"/>
      <w:numFmt w:val="bullet"/>
      <w:start w:val="1"/>
    </w:lvl>
  </w:abstractNum>
  <w:abstractNum w:abstractNumId="47">
    <w:nsid w:val="6FC75AF8"/>
    <w:multiLevelType w:val="hybridMultilevel"/>
    <w:lvl w:ilvl="0">
      <w:lvlJc w:val="left"/>
      <w:lvlText w:val="•"/>
      <w:numFmt w:val="bullet"/>
      <w:start w:val="1"/>
    </w:lvl>
  </w:abstractNum>
  <w:abstractNum w:abstractNumId="48">
    <w:nsid w:val="6A5F7029"/>
    <w:multiLevelType w:val="hybridMultilevel"/>
    <w:lvl w:ilvl="0">
      <w:lvlJc w:val="left"/>
      <w:lvlText w:val="•"/>
      <w:numFmt w:val="bullet"/>
      <w:start w:val="1"/>
    </w:lvl>
  </w:abstractNum>
  <w:abstractNum w:abstractNumId="49">
    <w:nsid w:val="7D5E18F8"/>
    <w:multiLevelType w:val="hybridMultilevel"/>
    <w:lvl w:ilvl="0">
      <w:lvlJc w:val="left"/>
      <w:lvlText w:val="•"/>
      <w:numFmt w:val="bullet"/>
      <w:start w:val="1"/>
    </w:lvl>
  </w:abstractNum>
  <w:abstractNum w:abstractNumId="50">
    <w:nsid w:val="5F3534A4"/>
    <w:multiLevelType w:val="hybridMultilevel"/>
    <w:lvl w:ilvl="0">
      <w:lvlJc w:val="left"/>
      <w:lvlText w:val="•"/>
      <w:numFmt w:val="bullet"/>
      <w:start w:val="1"/>
    </w:lvl>
  </w:abstractNum>
  <w:abstractNum w:abstractNumId="51">
    <w:nsid w:val="73A1821B"/>
    <w:multiLevelType w:val="hybridMultilevel"/>
    <w:lvl w:ilvl="0">
      <w:lvlJc w:val="left"/>
      <w:lvlText w:val="•"/>
      <w:numFmt w:val="bullet"/>
      <w:start w:val="1"/>
    </w:lvl>
  </w:abstractNum>
  <w:abstractNum w:abstractNumId="52">
    <w:nsid w:val="7DE67713"/>
    <w:multiLevelType w:val="hybridMultilevel"/>
    <w:lvl w:ilvl="0">
      <w:lvlJc w:val="left"/>
      <w:lvlText w:val="-"/>
      <w:numFmt w:val="bullet"/>
      <w:start w:val="1"/>
    </w:lvl>
  </w:abstractNum>
  <w:abstractNum w:abstractNumId="53">
    <w:nsid w:val="555C55B5"/>
    <w:multiLevelType w:val="hybridMultilevel"/>
    <w:lvl w:ilvl="0">
      <w:lvlJc w:val="left"/>
      <w:lvlText w:val="(%1)"/>
      <w:numFmt w:val="decimal"/>
      <w:start w:val="1"/>
    </w:lvl>
  </w:abstractNum>
  <w:abstractNum w:abstractNumId="54">
    <w:nsid w:val="3FA62ACA"/>
    <w:multiLevelType w:val="hybridMultilevel"/>
    <w:lvl w:ilvl="0">
      <w:lvlJc w:val="left"/>
      <w:lvlText w:val="(%1)"/>
      <w:numFmt w:val="decimal"/>
      <w:start w:val="1"/>
    </w:lvl>
  </w:abstractNum>
  <w:abstractNum w:abstractNumId="55">
    <w:nsid w:val="14FCE74E"/>
    <w:multiLevelType w:val="hybridMultilevel"/>
    <w:lvl w:ilvl="0">
      <w:lvlJc w:val="left"/>
      <w:lvlText w:val="(%1)"/>
      <w:numFmt w:val="decimal"/>
      <w:start w:val="1"/>
    </w:lvl>
  </w:abstractNum>
  <w:abstractNum w:abstractNumId="56">
    <w:nsid w:val="6A3DD3E8"/>
    <w:multiLevelType w:val="hybridMultilevel"/>
    <w:lvl w:ilvl="0">
      <w:lvlJc w:val="left"/>
      <w:lvlText w:val="(%1)"/>
      <w:numFmt w:val="decimal"/>
      <w:start w:val="3"/>
    </w:lvl>
  </w:abstractNum>
  <w:abstractNum w:abstractNumId="57">
    <w:nsid w:val="71C91298"/>
    <w:multiLevelType w:val="hybridMultilevel"/>
    <w:lvl w:ilvl="0">
      <w:lvlJc w:val="left"/>
      <w:lvlText w:val="(%1)"/>
      <w:numFmt w:val="decimal"/>
      <w:start w:val="4"/>
    </w:lvl>
  </w:abstractNum>
  <w:abstractNum w:abstractNumId="58">
    <w:nsid w:val="9DAF632"/>
    <w:multiLevelType w:val="hybridMultilevel"/>
    <w:lvl w:ilvl="0">
      <w:lvlJc w:val="left"/>
      <w:lvlText w:val="•"/>
      <w:numFmt w:val="bullet"/>
      <w:start w:val="1"/>
    </w:lvl>
  </w:abstractNum>
  <w:abstractNum w:abstractNumId="59">
    <w:nsid w:val="53299938"/>
    <w:multiLevelType w:val="hybridMultilevel"/>
    <w:lvl w:ilvl="0">
      <w:lvlJc w:val="left"/>
      <w:lvlText w:val="•"/>
      <w:numFmt w:val="bullet"/>
      <w:start w:val="1"/>
    </w:lvl>
  </w:abstractNum>
  <w:abstractNum w:abstractNumId="60">
    <w:nsid w:val="1FBFE8E0"/>
    <w:multiLevelType w:val="hybridMultilevel"/>
    <w:lvl w:ilvl="0">
      <w:lvlJc w:val="left"/>
      <w:lvlText w:val="•"/>
      <w:numFmt w:val="bullet"/>
      <w:start w:val="1"/>
    </w:lvl>
  </w:abstractNum>
  <w:abstractNum w:abstractNumId="61">
    <w:nsid w:val="5092CA79"/>
    <w:multiLevelType w:val="hybridMultilevel"/>
    <w:lvl w:ilvl="0">
      <w:lvlJc w:val="left"/>
      <w:lvlText w:val="•"/>
      <w:numFmt w:val="bullet"/>
      <w:start w:val="1"/>
    </w:lvl>
  </w:abstractNum>
  <w:abstractNum w:abstractNumId="62">
    <w:nsid w:val="1D545C4D"/>
    <w:multiLevelType w:val="hybridMultilevel"/>
    <w:lvl w:ilvl="0">
      <w:lvlJc w:val="left"/>
      <w:lvlText w:val="%1"/>
      <w:numFmt w:val="decimal"/>
      <w:start w:val="104"/>
    </w:lvl>
  </w:abstractNum>
  <w:abstractNum w:abstractNumId="63">
    <w:nsid w:val="59ADEA3D"/>
    <w:multiLevelType w:val="hybridMultilevel"/>
    <w:lvl w:ilvl="0">
      <w:lvlJc w:val="left"/>
      <w:lvlText w:val="+"/>
      <w:numFmt w:val="bullet"/>
      <w:start w:val="1"/>
    </w:lvl>
  </w:abstractNum>
  <w:abstractNum w:abstractNumId="64">
    <w:nsid w:val="288F1A34"/>
    <w:multiLevelType w:val="hybridMultilevel"/>
    <w:lvl w:ilvl="0">
      <w:lvlJc w:val="left"/>
      <w:lvlText w:val="•"/>
      <w:numFmt w:val="bullet"/>
      <w:start w:val="1"/>
    </w:lvl>
  </w:abstractNum>
  <w:abstractNum w:abstractNumId="65">
    <w:nsid w:val="2A155DBC"/>
    <w:multiLevelType w:val="hybridMultilevel"/>
    <w:lvl w:ilvl="0">
      <w:lvlJc w:val="left"/>
      <w:lvlText w:val="%1."/>
      <w:numFmt w:val="decimal"/>
      <w:start w:val="842"/>
    </w:lvl>
  </w:abstractNum>
  <w:abstractNum w:abstractNumId="66">
    <w:nsid w:val="1D9F6E5F"/>
    <w:multiLevelType w:val="hybridMultilevel"/>
    <w:lvl w:ilvl="0">
      <w:lvlJc w:val="left"/>
      <w:lvlText w:val="•"/>
      <w:numFmt w:val="bullet"/>
      <w:start w:val="1"/>
    </w:lvl>
  </w:abstractNum>
  <w:abstractNum w:abstractNumId="67">
    <w:nsid w:val="97E1B4E"/>
    <w:multiLevelType w:val="hybridMultilevel"/>
    <w:lvl w:ilvl="0">
      <w:lvlJc w:val="left"/>
      <w:lvlText w:val="•"/>
      <w:numFmt w:val="bullet"/>
      <w:start w:val="1"/>
    </w:lvl>
  </w:abstractNum>
  <w:abstractNum w:abstractNumId="68">
    <w:nsid w:val="51088277"/>
    <w:multiLevelType w:val="hybridMultilevel"/>
    <w:lvl w:ilvl="0">
      <w:lvlJc w:val="left"/>
      <w:lvlText w:val="•"/>
      <w:numFmt w:val="bullet"/>
      <w:start w:val="1"/>
    </w:lvl>
  </w:abstractNum>
  <w:abstractNum w:abstractNumId="69">
    <w:nsid w:val="1CA0C5FA"/>
    <w:multiLevelType w:val="hybridMultilevel"/>
    <w:lvl w:ilvl="0">
      <w:lvlJc w:val="left"/>
      <w:lvlText w:val="•"/>
      <w:numFmt w:val="bullet"/>
      <w:start w:val="1"/>
    </w:lvl>
  </w:abstractNum>
  <w:abstractNum w:abstractNumId="70">
    <w:nsid w:val="53584BCB"/>
    <w:multiLevelType w:val="hybridMultilevel"/>
    <w:lvl w:ilvl="0">
      <w:lvlJc w:val="left"/>
      <w:lvlText w:val="(%1)"/>
      <w:numFmt w:val="lowerRoman"/>
      <w:start w:val="2"/>
    </w:lvl>
  </w:abstractNum>
  <w:abstractNum w:abstractNumId="71">
    <w:nsid w:val="415E286C"/>
    <w:multiLevelType w:val="hybridMultilevel"/>
    <w:lvl w:ilvl="0">
      <w:lvlJc w:val="left"/>
      <w:lvlText w:val="•"/>
      <w:numFmt w:val="bullet"/>
      <w:start w:val="1"/>
    </w:lvl>
  </w:abstractNum>
  <w:abstractNum w:abstractNumId="72">
    <w:nsid w:val="7C58FD05"/>
    <w:multiLevelType w:val="hybridMultilevel"/>
    <w:lvl w:ilvl="0">
      <w:lvlJc w:val="left"/>
      <w:lvlText w:val="•"/>
      <w:numFmt w:val="bullet"/>
      <w:start w:val="1"/>
    </w:lvl>
    <w:lvl w:ilvl="1">
      <w:lvlJc w:val="left"/>
      <w:lvlText w:val="•"/>
      <w:numFmt w:val="bullet"/>
      <w:start w:val="1"/>
    </w:lvl>
  </w:abstractNum>
  <w:abstractNum w:abstractNumId="73">
    <w:nsid w:val="23D86AAC"/>
    <w:multiLevelType w:val="hybridMultilevel"/>
    <w:lvl w:ilvl="0">
      <w:lvlJc w:val="left"/>
      <w:lvlText w:val="•"/>
      <w:numFmt w:val="bullet"/>
      <w:start w:val="1"/>
    </w:lvl>
  </w:abstractNum>
  <w:abstractNum w:abstractNumId="74">
    <w:nsid w:val="45E6D486"/>
    <w:multiLevelType w:val="hybridMultilevel"/>
    <w:lvl w:ilvl="0">
      <w:lvlJc w:val="left"/>
      <w:lvlText w:val="(%1)"/>
      <w:numFmt w:val="decimal"/>
      <w:start w:val="1"/>
    </w:lvl>
  </w:abstractNum>
  <w:abstractNum w:abstractNumId="75">
    <w:nsid w:val="5C10FE21"/>
    <w:multiLevelType w:val="hybridMultilevel"/>
    <w:lvl w:ilvl="0">
      <w:lvlJc w:val="left"/>
      <w:lvlText w:val="(%1)"/>
      <w:numFmt w:val="decimal"/>
      <w:start w:val="4"/>
    </w:lvl>
  </w:abstractNum>
  <w:abstractNum w:abstractNumId="76">
    <w:nsid w:val="E7FFA2B"/>
    <w:multiLevelType w:val="hybridMultilevel"/>
    <w:lvl w:ilvl="0">
      <w:lvlJc w:val="left"/>
      <w:lvlText w:val="(%1)"/>
      <w:numFmt w:val="decimal"/>
      <w:start w:val="1"/>
    </w:lvl>
  </w:abstractNum>
  <w:abstractNum w:abstractNumId="77">
    <w:nsid w:val="3C5991AA"/>
    <w:multiLevelType w:val="hybridMultilevel"/>
    <w:lvl w:ilvl="0">
      <w:lvlJc w:val="left"/>
      <w:lvlText w:val="(%1)"/>
      <w:numFmt w:val="decimal"/>
      <w:start w:val="1"/>
    </w:lvl>
  </w:abstractNum>
  <w:abstractNum w:abstractNumId="78">
    <w:nsid w:val="4BD8591A"/>
    <w:multiLevelType w:val="hybridMultilevel"/>
    <w:lvl w:ilvl="0">
      <w:lvlJc w:val="left"/>
      <w:lvlText w:val="(%1)"/>
      <w:numFmt w:val="decimal"/>
      <w:start w:val="1"/>
    </w:lvl>
  </w:abstractNum>
  <w:abstractNum w:abstractNumId="79">
    <w:nsid w:val="78DF6A55"/>
    <w:multiLevelType w:val="hybridMultilevel"/>
    <w:lvl w:ilvl="0">
      <w:lvlJc w:val="left"/>
      <w:lvlText w:val="(%1)"/>
      <w:numFmt w:val="decimal"/>
      <w:start w:val="1"/>
    </w:lvl>
  </w:abstractNum>
  <w:abstractNum w:abstractNumId="80">
    <w:nsid w:val="39B7AAA2"/>
    <w:multiLevelType w:val="hybridMultilevel"/>
    <w:lvl w:ilvl="0">
      <w:lvlJc w:val="left"/>
      <w:lvlText w:val="%1"/>
      <w:numFmt w:val="decimal"/>
      <w:start w:val="15"/>
    </w:lvl>
  </w:abstractNum>
  <w:abstractNum w:abstractNumId="81">
    <w:nsid w:val="2B0D8DBE"/>
    <w:multiLevelType w:val="hybridMultilevel"/>
    <w:lvl w:ilvl="0">
      <w:lvlJc w:val="left"/>
      <w:lvlText w:val="(%1)"/>
      <w:numFmt w:val="decimal"/>
      <w:start w:val="1"/>
    </w:lvl>
  </w:abstractNum>
  <w:abstractNum w:abstractNumId="82">
    <w:nsid w:val="6C80EC70"/>
    <w:multiLevelType w:val="hybridMultilevel"/>
    <w:lvl w:ilvl="0">
      <w:lvlJc w:val="left"/>
      <w:lvlText w:val="(%1)"/>
      <w:numFmt w:val="decimal"/>
      <w:start w:val="1"/>
    </w:lvl>
  </w:abstractNum>
  <w:abstractNum w:abstractNumId="83">
    <w:nsid w:val="379E21B5"/>
    <w:multiLevelType w:val="hybridMultilevel"/>
    <w:lvl w:ilvl="0">
      <w:lvlJc w:val="left"/>
      <w:lvlText w:val="(%1)"/>
      <w:numFmt w:val="decimal"/>
      <w:start w:val="1"/>
    </w:lvl>
  </w:abstractNum>
  <w:abstractNum w:abstractNumId="84">
    <w:nsid w:val="69E373"/>
    <w:multiLevelType w:val="hybridMultilevel"/>
    <w:lvl w:ilvl="0">
      <w:lvlJc w:val="left"/>
      <w:lvlText w:val="(%1)"/>
      <w:numFmt w:val="decimal"/>
      <w:start w:val="1"/>
    </w:lvl>
  </w:abstractNum>
  <w:abstractNum w:abstractNumId="85">
    <w:nsid w:val="2C27173B"/>
    <w:multiLevelType w:val="hybridMultilevel"/>
    <w:lvl w:ilvl="0">
      <w:lvlJc w:val="left"/>
      <w:lvlText w:val="(%1)"/>
      <w:numFmt w:val="decimal"/>
      <w:start w:val="1"/>
    </w:lvl>
  </w:abstractNum>
  <w:abstractNum w:abstractNumId="86">
    <w:nsid w:val="4C9B0904"/>
    <w:multiLevelType w:val="hybridMultilevel"/>
    <w:lvl w:ilvl="0">
      <w:lvlJc w:val="left"/>
      <w:lvlText w:val="(%1)"/>
      <w:numFmt w:val="decimal"/>
      <w:start w:val="1"/>
    </w:lvl>
  </w:abstractNum>
  <w:abstractNum w:abstractNumId="87">
    <w:nsid w:val="6AA7B75C"/>
    <w:multiLevelType w:val="hybridMultilevel"/>
    <w:lvl w:ilvl="0">
      <w:lvlJc w:val="left"/>
      <w:lvlText w:val="(%1)"/>
      <w:numFmt w:val="decimal"/>
      <w:start w:val="1"/>
    </w:lvl>
  </w:abstractNum>
  <w:abstractNum w:abstractNumId="88">
    <w:nsid w:val="1DF029D3"/>
    <w:multiLevelType w:val="hybridMultilevel"/>
    <w:lvl w:ilvl="0">
      <w:lvlJc w:val="left"/>
      <w:lvlText w:val="(%1)"/>
      <w:numFmt w:val="decimal"/>
      <w:start w:val="1"/>
    </w:lvl>
  </w:abstractNum>
  <w:abstractNum w:abstractNumId="89">
    <w:nsid w:val="5675FF36"/>
    <w:multiLevelType w:val="hybridMultilevel"/>
    <w:lvl w:ilvl="0">
      <w:lvlJc w:val="left"/>
      <w:lvlText w:val="(%1)"/>
      <w:numFmt w:val="decimal"/>
      <w:start w:val="1"/>
    </w:lvl>
  </w:abstractNum>
  <w:abstractNum w:abstractNumId="90">
    <w:nsid w:val="3DD15094"/>
    <w:multiLevelType w:val="hybridMultilevel"/>
    <w:lvl w:ilvl="0">
      <w:lvlJc w:val="left"/>
      <w:lvlText w:val="(%1)"/>
      <w:numFmt w:val="decimal"/>
      <w:start w:val="1"/>
    </w:lvl>
  </w:abstractNum>
  <w:abstractNum w:abstractNumId="91">
    <w:nsid w:val="3DB012B3"/>
    <w:multiLevelType w:val="hybridMultilevel"/>
    <w:lvl w:ilvl="0">
      <w:lvlJc w:val="left"/>
      <w:lvlText w:val="(%1)"/>
      <w:numFmt w:val="decimal"/>
      <w:start w:val="1"/>
    </w:lvl>
  </w:abstractNum>
  <w:abstractNum w:abstractNumId="92">
    <w:nsid w:val="2708C9AF"/>
    <w:multiLevelType w:val="hybridMultilevel"/>
    <w:lvl w:ilvl="0">
      <w:lvlJc w:val="left"/>
      <w:lvlText w:val="(%1)"/>
      <w:numFmt w:val="lowerRoman"/>
      <w:start w:val="3"/>
    </w:lvl>
  </w:abstractNum>
  <w:abstractNum w:abstractNumId="93">
    <w:nsid w:val="5B25ACE2"/>
    <w:multiLevelType w:val="hybridMultilevel"/>
    <w:lvl w:ilvl="0">
      <w:lvlJc w:val="left"/>
      <w:lvlText w:val="(%1)"/>
      <w:numFmt w:val="lowerRoman"/>
      <w:start w:val="8"/>
    </w:lvl>
  </w:abstractNum>
  <w:abstractNum w:abstractNumId="94">
    <w:nsid w:val="175DFCF0"/>
    <w:multiLevelType w:val="hybridMultilevel"/>
    <w:lvl w:ilvl="0">
      <w:lvlJc w:val="left"/>
      <w:lvlText w:val="(%1)"/>
      <w:numFmt w:val="lowerRoman"/>
      <w:start w:val="1"/>
    </w:lvl>
  </w:abstractNum>
  <w:abstractNum w:abstractNumId="95">
    <w:nsid w:val="4F97E3E4"/>
    <w:multiLevelType w:val="hybridMultilevel"/>
    <w:lvl w:ilvl="0">
      <w:lvlJc w:val="left"/>
      <w:lvlText w:val="(%1)"/>
      <w:numFmt w:val="decimal"/>
      <w:start w:val="1"/>
    </w:lvl>
  </w:abstractNum>
  <w:abstractNum w:abstractNumId="96">
    <w:nsid w:val="53B0A9E"/>
    <w:multiLevelType w:val="hybridMultilevel"/>
    <w:lvl w:ilvl="0">
      <w:lvlJc w:val="left"/>
      <w:lvlText w:val="(%1)"/>
      <w:numFmt w:val="decimal"/>
      <w:start w:val="1"/>
    </w:lvl>
  </w:abstractNum>
  <w:abstractNum w:abstractNumId="97">
    <w:nsid w:val="34FD6B4F"/>
    <w:multiLevelType w:val="hybridMultilevel"/>
    <w:lvl w:ilvl="0">
      <w:lvlJc w:val="left"/>
      <w:lvlText w:val="(%1)"/>
      <w:numFmt w:val="decimal"/>
      <w:start w:val="1"/>
    </w:lvl>
  </w:abstractNum>
  <w:abstractNum w:abstractNumId="98">
    <w:nsid w:val="5915FF32"/>
    <w:multiLevelType w:val="hybridMultilevel"/>
    <w:lvl w:ilvl="0">
      <w:lvlJc w:val="left"/>
      <w:lvlText w:val="(%1)"/>
      <w:numFmt w:val="decimal"/>
      <w:start w:val="1"/>
    </w:lvl>
  </w:abstractNum>
  <w:abstractNum w:abstractNumId="99">
    <w:nsid w:val="56438D15"/>
    <w:multiLevelType w:val="hybridMultilevel"/>
    <w:lvl w:ilvl="0">
      <w:lvlJc w:val="left"/>
      <w:lvlText w:val="(%1)"/>
      <w:numFmt w:val="decimal"/>
      <w:start w:val="1"/>
    </w:lvl>
  </w:abstractNum>
  <w:abstractNum w:abstractNumId="100">
    <w:nsid w:val="519E3149"/>
    <w:multiLevelType w:val="hybridMultilevel"/>
    <w:lvl w:ilvl="0">
      <w:lvlJc w:val="left"/>
      <w:lvlText w:val="(%1)"/>
      <w:numFmt w:val="decimal"/>
      <w:start w:val="1"/>
    </w:lvl>
  </w:abstractNum>
  <w:abstractNum w:abstractNumId="101">
    <w:nsid w:val="2C6E4AFD"/>
    <w:multiLevelType w:val="hybridMultilevel"/>
    <w:lvl w:ilvl="0">
      <w:lvlJc w:val="left"/>
      <w:lvlText w:val="(%1)"/>
      <w:numFmt w:val="decimal"/>
      <w:start w:val="1"/>
    </w:lvl>
  </w:abstractNum>
  <w:abstractNum w:abstractNumId="102">
    <w:nsid w:val="17A1B582"/>
    <w:multiLevelType w:val="hybridMultilevel"/>
    <w:lvl w:ilvl="0">
      <w:lvlJc w:val="left"/>
      <w:lvlText w:val="%1."/>
      <w:numFmt w:val="decimal"/>
      <w:start w:val="1"/>
    </w:lvl>
  </w:abstractNum>
  <w:abstractNum w:abstractNumId="103">
    <w:nsid w:val="4DF72E4E"/>
    <w:multiLevelType w:val="hybridMultilevel"/>
    <w:lvl w:ilvl="0">
      <w:lvlJc w:val="left"/>
      <w:lvlText w:val="%1."/>
      <w:numFmt w:val="decimal"/>
      <w:start w:val="2"/>
    </w:lvl>
  </w:abstractNum>
  <w:abstractNum w:abstractNumId="104">
    <w:nsid w:val="5046B5A9"/>
    <w:multiLevelType w:val="hybridMultilevel"/>
    <w:lvl w:ilvl="0">
      <w:lvlJc w:val="left"/>
      <w:lvlText w:val="%1."/>
      <w:numFmt w:val="decimal"/>
      <w:start w:val="3"/>
    </w:lvl>
  </w:abstractNum>
  <w:abstractNum w:abstractNumId="105">
    <w:nsid w:val="5D888A08"/>
    <w:multiLevelType w:val="hybridMultilevel"/>
    <w:lvl w:ilvl="0">
      <w:lvlJc w:val="left"/>
      <w:lvlText w:val="•"/>
      <w:numFmt w:val="bullet"/>
      <w:start w:val="1"/>
    </w:lvl>
  </w:abstractNum>
  <w:abstractNum w:abstractNumId="106">
    <w:nsid w:val="2A082C70"/>
    <w:multiLevelType w:val="hybridMultilevel"/>
    <w:lvl w:ilvl="0">
      <w:lvlJc w:val="left"/>
      <w:lvlText w:val="•"/>
      <w:numFmt w:val="bullet"/>
      <w:start w:val="1"/>
    </w:lvl>
  </w:abstractNum>
  <w:abstractNum w:abstractNumId="107">
    <w:nsid w:val="5EC6AFD4"/>
    <w:multiLevelType w:val="hybridMultilevel"/>
    <w:lvl w:ilvl="0">
      <w:lvlJc w:val="left"/>
      <w:lvlText w:val="•"/>
      <w:numFmt w:val="bullet"/>
      <w:start w:val="1"/>
    </w:lvl>
  </w:abstractNum>
  <w:abstractNum w:abstractNumId="108">
    <w:nsid w:val="19E21BB2"/>
    <w:multiLevelType w:val="hybridMultilevel"/>
    <w:lvl w:ilvl="0">
      <w:lvlJc w:val="left"/>
      <w:lvlText w:val="•"/>
      <w:numFmt w:val="bullet"/>
      <w:start w:val="1"/>
    </w:lvl>
  </w:abstractNum>
  <w:abstractNum w:abstractNumId="109">
    <w:nsid w:val="75E0858A"/>
    <w:multiLevelType w:val="hybridMultilevel"/>
    <w:lvl w:ilvl="0">
      <w:lvlJc w:val="left"/>
      <w:lvlText w:val="•"/>
      <w:numFmt w:val="bullet"/>
      <w:start w:val="1"/>
    </w:lvl>
  </w:abstractNum>
  <w:abstractNum w:abstractNumId="110">
    <w:nsid w:val="57A61A29"/>
    <w:multiLevelType w:val="hybridMultilevel"/>
    <w:lvl w:ilvl="0">
      <w:lvlJc w:val="left"/>
      <w:lvlText w:val="•"/>
      <w:numFmt w:val="bullet"/>
      <w:start w:val="1"/>
    </w:lvl>
  </w:abstractNum>
  <w:abstractNum w:abstractNumId="111">
    <w:nsid w:val="5399C654"/>
    <w:multiLevelType w:val="hybridMultilevel"/>
    <w:lvl w:ilvl="0">
      <w:lvlJc w:val="left"/>
      <w:lvlText w:val="•"/>
      <w:numFmt w:val="bullet"/>
      <w:start w:val="1"/>
    </w:lvl>
  </w:abstractNum>
  <w:abstractNum w:abstractNumId="112">
    <w:nsid w:val="20EE1348"/>
    <w:multiLevelType w:val="hybridMultilevel"/>
    <w:lvl w:ilvl="0">
      <w:lvlJc w:val="left"/>
      <w:lvlText w:val="•"/>
      <w:numFmt w:val="bullet"/>
      <w:start w:val="1"/>
    </w:lvl>
  </w:abstractNum>
  <w:abstractNum w:abstractNumId="113">
    <w:nsid w:val="4427069A"/>
    <w:multiLevelType w:val="hybridMultilevel"/>
    <w:lvl w:ilvl="0">
      <w:lvlJc w:val="left"/>
      <w:lvlText w:val="(%1)"/>
      <w:numFmt w:val="lowerLetter"/>
      <w:start w:val="1"/>
    </w:lvl>
  </w:abstractNum>
  <w:abstractNum w:abstractNumId="114">
    <w:nsid w:val="B37E80A"/>
    <w:multiLevelType w:val="hybridMultilevel"/>
    <w:lvl w:ilvl="0">
      <w:lvlJc w:val="left"/>
      <w:lvlText w:val="(%1)"/>
      <w:numFmt w:val="lowerLetter"/>
      <w:start w:val="3"/>
    </w:lvl>
  </w:abstractNum>
  <w:abstractNum w:abstractNumId="115">
    <w:nsid w:val="2157F6BC"/>
    <w:multiLevelType w:val="hybridMultilevel"/>
    <w:lvl w:ilvl="0">
      <w:lvlJc w:val="left"/>
      <w:lvlText w:val="•"/>
      <w:numFmt w:val="bullet"/>
      <w:start w:val="1"/>
    </w:lvl>
  </w:abstractNum>
  <w:abstractNum w:abstractNumId="116">
    <w:nsid w:val="704E1DD5"/>
    <w:multiLevelType w:val="hybridMultilevel"/>
    <w:lvl w:ilvl="0">
      <w:lvlJc w:val="left"/>
      <w:lvlText w:val="•"/>
      <w:numFmt w:val="bullet"/>
      <w:start w:val="1"/>
    </w:lvl>
  </w:abstractNum>
  <w:abstractNum w:abstractNumId="117">
    <w:nsid w:val="57D2F10E"/>
    <w:multiLevelType w:val="hybridMultilevel"/>
    <w:lvl w:ilvl="0">
      <w:lvlJc w:val="left"/>
      <w:lvlText w:val="%1."/>
      <w:numFmt w:val="decimal"/>
      <w:start w:val="1"/>
    </w:lvl>
  </w:abstractNum>
  <w:abstractNum w:abstractNumId="118">
    <w:nsid w:val="BFFAE18"/>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119">
    <w:nsid w:val="E3E47A8"/>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120">
    <w:nsid w:val="2E48F044"/>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121">
    <w:nsid w:val="49D0FEAC"/>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122">
    <w:nsid w:val="4BEE5A5B"/>
    <w:multiLevelType w:val="hybridMultilevel"/>
    <w:lvl w:ilvl="0">
      <w:lvlJc w:val="left"/>
      <w:lvlText w:val="%1."/>
      <w:numFmt w:val="lowerRoman"/>
      <w:start w:val="2"/>
    </w:lvl>
  </w:abstractNum>
  <w:abstractNum w:abstractNumId="123">
    <w:nsid w:val="5551B9F3"/>
    <w:multiLevelType w:val="hybridMultilevel"/>
    <w:lvl w:ilvl="0">
      <w:lvlJc w:val="left"/>
      <w:lvlText w:val="%1"/>
      <w:numFmt w:val="upperLetter"/>
      <w:start w:val="1"/>
    </w:lvl>
    <w:lvl w:ilvl="1">
      <w:lvlJc w:val="left"/>
      <w:lvlText w:val="%2."/>
      <w:numFmt w:val="decimal"/>
      <w:start w:val="3"/>
    </w:lvl>
    <w:lvl w:ilvl="2">
      <w:lvlJc w:val="left"/>
      <w:lvlText w:val="%3."/>
      <w:numFmt w:val="lowerRoman"/>
      <w:start w:val="1"/>
    </w:lvl>
  </w:abstractNum>
  <w:abstractNum w:abstractNumId="124">
    <w:nsid w:val="24F6AB8E"/>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4"/>
    </w:lvl>
  </w:abstractNum>
  <w:abstractNum w:abstractNumId="125">
    <w:nsid w:val="634C574C"/>
    <w:multiLevelType w:val="hybridMultilevel"/>
    <w:lvl w:ilvl="0">
      <w:lvlJc w:val="left"/>
      <w:lvlText w:val="%1."/>
      <w:numFmt w:val="upperLetter"/>
      <w:start w:val="2"/>
    </w:lvl>
    <w:lvl w:ilvl="1">
      <w:lvlJc w:val="left"/>
      <w:lvlText w:val="%2."/>
      <w:numFmt w:val="lowerRoman"/>
      <w:start w:val="1"/>
    </w:lvl>
    <w:lvl w:ilvl="2">
      <w:lvlJc w:val="left"/>
      <w:lvlText w:val="%3"/>
      <w:numFmt w:val="lowerRoman"/>
      <w:start w:val="1"/>
    </w:lvl>
  </w:abstractNum>
  <w:abstractNum w:abstractNumId="126">
    <w:nsid w:val="24E99DD7"/>
    <w:multiLevelType w:val="hybridMultilevel"/>
    <w:lvl w:ilvl="0">
      <w:lvlJc w:val="left"/>
      <w:lvlText w:val="(%1)"/>
      <w:numFmt w:val="lowerRoman"/>
      <w:start w:val="2"/>
    </w:lvl>
  </w:abstractNum>
  <w:abstractNum w:abstractNumId="127">
    <w:nsid w:val="2A31B62D"/>
    <w:multiLevelType w:val="hybridMultilevel"/>
    <w:lvl w:ilvl="0">
      <w:lvlJc w:val="left"/>
      <w:lvlText w:val="%1."/>
      <w:numFmt w:val="upperLetter"/>
      <w:start w:val="5"/>
    </w:lvl>
  </w:abstractNum>
  <w:abstractNum w:abstractNumId="128">
    <w:nsid w:val="1849C29B"/>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2"/>
    </w:lvl>
  </w:abstractNum>
  <w:abstractNum w:abstractNumId="129">
    <w:nsid w:val="7DFF9D09"/>
    <w:multiLevelType w:val="hybridMultilevel"/>
    <w:lvl w:ilvl="0">
      <w:lvlJc w:val="left"/>
      <w:lvlText w:val="%1."/>
      <w:numFmt w:val="upperLetter"/>
      <w:start w:val="10"/>
    </w:lvl>
    <w:lvl w:ilvl="1">
      <w:lvlJc w:val="left"/>
      <w:lvlText w:val="%2."/>
      <w:numFmt w:val="lowerRoman"/>
      <w:start w:val="1"/>
    </w:lvl>
    <w:lvl w:ilvl="2">
      <w:lvlJc w:val="left"/>
      <w:lvlText w:val="%3"/>
      <w:numFmt w:val="lowerLetter"/>
      <w:start w:val="1"/>
    </w:lvl>
  </w:abstractNum>
  <w:abstractNum w:abstractNumId="130">
    <w:nsid w:val="754342"/>
    <w:multiLevelType w:val="hybridMultilevel"/>
    <w:lvl w:ilvl="0">
      <w:lvlJc w:val="left"/>
      <w:lvlText w:val="%1"/>
      <w:numFmt w:val="upperLetter"/>
      <w:start w:val="1"/>
    </w:lvl>
    <w:lvl w:ilvl="1">
      <w:lvlJc w:val="left"/>
      <w:lvlText w:val="%2."/>
      <w:numFmt w:val="lowerRoman"/>
      <w:start w:val="4"/>
    </w:lvl>
  </w:abstractNum>
  <w:abstractNum w:abstractNumId="131">
    <w:nsid w:val="69E7F3E5"/>
    <w:multiLevelType w:val="hybridMultilevel"/>
    <w:lvl w:ilvl="0">
      <w:lvlJc w:val="left"/>
      <w:lvlText w:val="%1."/>
      <w:numFmt w:val="upperLetter"/>
      <w:start w:val="11"/>
    </w:lvl>
    <w:lvl w:ilvl="1">
      <w:lvlJc w:val="left"/>
      <w:lvlText w:val="%2."/>
      <w:numFmt w:val="lowerRoman"/>
      <w:start w:val="1"/>
    </w:lvl>
  </w:abstractNum>
  <w:abstractNum w:abstractNumId="132">
    <w:nsid w:val="2A6DE806"/>
    <w:multiLevelType w:val="hybridMultilevel"/>
    <w:lvl w:ilvl="0">
      <w:lvlJc w:val="left"/>
      <w:lvlText w:val="%1."/>
      <w:numFmt w:val="lowerRoman"/>
      <w:start w:val="4"/>
    </w:lvl>
  </w:abstractNum>
  <w:abstractNum w:abstractNumId="133">
    <w:nsid w:val="1816F8C4"/>
    <w:multiLevelType w:val="hybridMultilevel"/>
    <w:lvl w:ilvl="0">
      <w:lvlJc w:val="left"/>
      <w:lvlText w:val="%1"/>
      <w:numFmt w:val="decimal"/>
      <w:start w:val="1"/>
    </w:lvl>
    <w:lvl w:ilvl="1">
      <w:lvlJc w:val="left"/>
      <w:lvlText w:val="%2."/>
      <w:numFmt w:val="lowerRoman"/>
      <w:start w:val="5"/>
    </w:lvl>
  </w:abstractNum>
  <w:abstractNum w:abstractNumId="134">
    <w:nsid w:val="37DF2233"/>
    <w:multiLevelType w:val="hybridMultilevel"/>
    <w:lvl w:ilvl="0">
      <w:lvlJc w:val="left"/>
      <w:lvlText w:val="%1."/>
      <w:numFmt w:val="decimal"/>
      <w:start w:val="4"/>
    </w:lvl>
    <w:lvl w:ilvl="1">
      <w:lvlJc w:val="left"/>
      <w:lvlText w:val="%2"/>
      <w:numFmt w:val="lowerRoman"/>
      <w:start w:val="1"/>
    </w:lvl>
  </w:abstractNum>
  <w:abstractNum w:abstractNumId="135">
    <w:nsid w:val="7AB49DAF"/>
    <w:multiLevelType w:val="hybridMultilevel"/>
    <w:lvl w:ilvl="0">
      <w:lvlJc w:val="left"/>
      <w:lvlText w:val="%1."/>
      <w:numFmt w:val="decimal"/>
      <w:start w:val="6"/>
    </w:lvl>
  </w:abstractNum>
  <w:abstractNum w:abstractNumId="136">
    <w:nsid w:val="759F82CD"/>
    <w:multiLevelType w:val="hybridMultilevel"/>
    <w:lvl w:ilvl="0">
      <w:lvlJc w:val="left"/>
      <w:lvlText w:val="%1."/>
      <w:numFmt w:val="decimal"/>
      <w:start w:val="1"/>
    </w:lvl>
  </w:abstractNum>
  <w:abstractNum w:abstractNumId="137">
    <w:nsid w:val="61E74EA3"/>
    <w:multiLevelType w:val="hybridMultilevel"/>
    <w:lvl w:ilvl="0">
      <w:lvlJc w:val="left"/>
      <w:lvlText w:val="%1."/>
      <w:numFmt w:val="upperLetter"/>
      <w:start w:val="1"/>
    </w:lvl>
    <w:lvl w:ilvl="1">
      <w:lvlJc w:val="left"/>
      <w:lvlText w:val="%2."/>
      <w:numFmt w:val="lowerRoman"/>
      <w:start w:val="1"/>
    </w:lvl>
  </w:abstractNum>
  <w:abstractNum w:abstractNumId="138">
    <w:nsid w:val="597B4D84"/>
    <w:multiLevelType w:val="hybridMultilevel"/>
    <w:lvl w:ilvl="0">
      <w:lvlJc w:val="left"/>
      <w:lvlText w:val="%1"/>
      <w:numFmt w:val="decimal"/>
      <w:start w:val="1"/>
    </w:lvl>
    <w:lvl w:ilvl="1">
      <w:lvlJc w:val="left"/>
      <w:lvlText w:val="%2."/>
      <w:numFmt w:val="upperLetter"/>
      <w:start w:val="5"/>
    </w:lvl>
  </w:abstractNum>
  <w:abstractNum w:abstractNumId="139">
    <w:nsid w:val="F819E7F"/>
    <w:multiLevelType w:val="hybridMultilevel"/>
    <w:lvl w:ilvl="0">
      <w:lvlJc w:val="left"/>
      <w:lvlText w:val="%1."/>
      <w:numFmt w:val="decimal"/>
      <w:start w:val="3"/>
    </w:lvl>
    <w:lvl w:ilvl="1">
      <w:lvlJc w:val="left"/>
      <w:lvlText w:val="%2"/>
      <w:numFmt w:val="upperLetter"/>
      <w:start w:val="1"/>
    </w:lvl>
  </w:abstractNum>
  <w:abstractNum w:abstractNumId="140">
    <w:nsid w:val="57C7D42D"/>
    <w:multiLevelType w:val="hybridMultilevel"/>
    <w:lvl w:ilvl="0">
      <w:lvlJc w:val="left"/>
      <w:lvlText w:val="%1."/>
      <w:numFmt w:val="decimal"/>
      <w:start w:val="1"/>
    </w:lvl>
  </w:abstractNum>
  <w:abstractNum w:abstractNumId="141">
    <w:nsid w:val="312167AD"/>
    <w:multiLevelType w:val="hybridMultilevel"/>
    <w:lvl w:ilvl="0">
      <w:lvlJc w:val="left"/>
      <w:lvlText w:val="%1."/>
      <w:numFmt w:val="lowerLetter"/>
      <w:start w:val="1"/>
    </w:lvl>
    <w:lvl w:ilvl="1">
      <w:lvlJc w:val="left"/>
      <w:lvlText w:val="%2."/>
      <w:numFmt w:val="lowerLetter"/>
      <w:start w:val="9"/>
    </w:lvl>
  </w:abstractNum>
  <w:abstractNum w:abstractNumId="142">
    <w:nsid w:val="631B64D4"/>
    <w:multiLevelType w:val="hybridMultilevel"/>
    <w:lvl w:ilvl="0">
      <w:lvlJc w:val="left"/>
      <w:lvlText w:val="%1"/>
      <w:numFmt w:val="lowerLetter"/>
      <w:start w:val="1"/>
    </w:lvl>
    <w:lvl w:ilvl="1">
      <w:lvlJc w:val="left"/>
      <w:lvlText w:val="%2."/>
      <w:numFmt w:val="lowerRoman"/>
      <w:start w:val="2"/>
    </w:lvl>
  </w:abstractNum>
  <w:abstractNum w:abstractNumId="143">
    <w:nsid w:val="78B5E776"/>
    <w:multiLevelType w:val="hybridMultilevel"/>
    <w:lvl w:ilvl="0">
      <w:lvlJc w:val="left"/>
      <w:lvlText w:val="%1."/>
      <w:numFmt w:val="lowerLetter"/>
      <w:start w:val="7"/>
    </w:lvl>
    <w:lvl w:ilvl="1">
      <w:lvlJc w:val="left"/>
      <w:lvlText w:val="%2."/>
      <w:numFmt w:val="lowerRoman"/>
      <w:start w:val="1"/>
    </w:lvl>
  </w:abstractNum>
  <w:abstractNum w:abstractNumId="144">
    <w:nsid w:val="75486E47"/>
    <w:multiLevelType w:val="hybridMultilevel"/>
    <w:lvl w:ilvl="0">
      <w:lvlJc w:val="left"/>
      <w:lvlText w:val="%1"/>
      <w:numFmt w:val="lowerLetter"/>
      <w:start w:val="1"/>
    </w:lvl>
    <w:lvl w:ilvl="1">
      <w:lvlJc w:val="left"/>
      <w:lvlText w:val="%2."/>
      <w:numFmt w:val="lowerRoman"/>
      <w:start w:val="4"/>
    </w:lvl>
  </w:abstractNum>
  <w:abstractNum w:abstractNumId="145">
    <w:nsid w:val="6E534CDE"/>
    <w:multiLevelType w:val="hybridMultilevel"/>
    <w:lvl w:ilvl="0">
      <w:lvlJc w:val="left"/>
      <w:lvlText w:val="%1."/>
      <w:numFmt w:val="lowerLetter"/>
      <w:start w:val="8"/>
    </w:lvl>
    <w:lvl w:ilvl="1">
      <w:lvlJc w:val="left"/>
      <w:lvlText w:val="%2."/>
      <w:numFmt w:val="lowerRoman"/>
      <w:start w:val="1"/>
    </w:lvl>
  </w:abstractNum>
  <w:abstractNum w:abstractNumId="146">
    <w:nsid w:val="1A0DDE32"/>
    <w:multiLevelType w:val="hybridMultilevel"/>
    <w:lvl w:ilvl="0">
      <w:lvlJc w:val="left"/>
      <w:lvlText w:val="%1."/>
      <w:numFmt w:val="decimal"/>
      <w:start w:val="3"/>
    </w:lvl>
  </w:abstractNum>
  <w:abstractNum w:abstractNumId="147">
    <w:nsid w:val="65968C1C"/>
    <w:multiLevelType w:val="hybridMultilevel"/>
    <w:lvl w:ilvl="0">
      <w:lvlJc w:val="left"/>
      <w:lvlText w:val="%1."/>
      <w:numFmt w:val="decimal"/>
      <w:start w:val="1"/>
    </w:lvl>
    <w:lvl w:ilvl="1">
      <w:lvlJc w:val="left"/>
      <w:lvlText w:val="%2)"/>
      <w:numFmt w:val="lowerLetter"/>
      <w:start w:val="1"/>
    </w:lvl>
  </w:abstractNum>
  <w:abstractNum w:abstractNumId="148">
    <w:nsid w:val="46263DEC"/>
    <w:multiLevelType w:val="hybridMultilevel"/>
    <w:lvl w:ilvl="0">
      <w:lvlJc w:val="left"/>
      <w:lvlText w:val="%1."/>
      <w:numFmt w:val="decimal"/>
      <w:start w:val="1"/>
    </w:lvl>
    <w:lvl w:ilvl="1">
      <w:lvlJc w:val="left"/>
      <w:lvlText w:val="%2)"/>
      <w:numFmt w:val="lowerLetter"/>
      <w:start w:val="1"/>
    </w:lvl>
  </w:abstractNum>
  <w:abstractNum w:abstractNumId="149">
    <w:nsid w:val="260D8C4A"/>
    <w:multiLevelType w:val="hybridMultilevel"/>
    <w:lvl w:ilvl="0">
      <w:lvlJc w:val="left"/>
      <w:lvlText w:val="(%1)"/>
      <w:numFmt w:val="lowerRoman"/>
      <w:start w:val="1"/>
    </w:lvl>
  </w:abstractNum>
  <w:abstractNum w:abstractNumId="150">
    <w:nsid w:val="73D4D3C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104" Type="http://schemas.openxmlformats.org/officeDocument/2006/relationships/image" Target="media/image83.png"/><Relationship Id="rId118" Type="http://schemas.openxmlformats.org/officeDocument/2006/relationships/image" Target="media/image84.png"/><Relationship Id="rId135" Type="http://schemas.openxmlformats.org/officeDocument/2006/relationships/image" Target="media/image85.png"/><Relationship Id="rId143" Type="http://schemas.openxmlformats.org/officeDocument/2006/relationships/image" Target="media/image86.png"/><Relationship Id="rId144" Type="http://schemas.openxmlformats.org/officeDocument/2006/relationships/image" Target="media/image87.png"/><Relationship Id="rId145" Type="http://schemas.openxmlformats.org/officeDocument/2006/relationships/image" Target="media/image88.png"/><Relationship Id="rId146" Type="http://schemas.openxmlformats.org/officeDocument/2006/relationships/image" Target="media/image89.png"/><Relationship Id="rId147" Type="http://schemas.openxmlformats.org/officeDocument/2006/relationships/image" Target="media/image90.png"/><Relationship Id="rId148" Type="http://schemas.openxmlformats.org/officeDocument/2006/relationships/image" Target="media/image91.png"/><Relationship Id="rId149" Type="http://schemas.openxmlformats.org/officeDocument/2006/relationships/image" Target="media/image92.png"/><Relationship Id="rId150" Type="http://schemas.openxmlformats.org/officeDocument/2006/relationships/image" Target="media/image93.png"/><Relationship Id="rId151" Type="http://schemas.openxmlformats.org/officeDocument/2006/relationships/image" Target="media/image94.png"/><Relationship Id="rId152" Type="http://schemas.openxmlformats.org/officeDocument/2006/relationships/image" Target="media/image95.png"/><Relationship Id="rId153" Type="http://schemas.openxmlformats.org/officeDocument/2006/relationships/image" Target="media/image96.png"/><Relationship Id="rId154" Type="http://schemas.openxmlformats.org/officeDocument/2006/relationships/image" Target="media/image97.png"/><Relationship Id="rId155" Type="http://schemas.openxmlformats.org/officeDocument/2006/relationships/image" Target="media/image98.png"/><Relationship Id="rId156" Type="http://schemas.openxmlformats.org/officeDocument/2006/relationships/image" Target="media/image99.png"/><Relationship Id="rId157" Type="http://schemas.openxmlformats.org/officeDocument/2006/relationships/image" Target="media/image100.png"/><Relationship Id="rId158" Type="http://schemas.openxmlformats.org/officeDocument/2006/relationships/image" Target="media/image101.png"/><Relationship Id="rId159" Type="http://schemas.openxmlformats.org/officeDocument/2006/relationships/image" Target="media/image102.png"/><Relationship Id="rId160" Type="http://schemas.openxmlformats.org/officeDocument/2006/relationships/image" Target="media/image103.png"/><Relationship Id="rId161" Type="http://schemas.openxmlformats.org/officeDocument/2006/relationships/image" Target="media/image104.png"/><Relationship Id="rId162" Type="http://schemas.openxmlformats.org/officeDocument/2006/relationships/image" Target="media/image105.png"/><Relationship Id="rId163" Type="http://schemas.openxmlformats.org/officeDocument/2006/relationships/image" Target="media/image106.png"/><Relationship Id="rId164" Type="http://schemas.openxmlformats.org/officeDocument/2006/relationships/image" Target="media/image107.png"/><Relationship Id="rId165" Type="http://schemas.openxmlformats.org/officeDocument/2006/relationships/image" Target="media/image108.png"/><Relationship Id="rId166" Type="http://schemas.openxmlformats.org/officeDocument/2006/relationships/image" Target="media/image109.png"/><Relationship Id="rId167" Type="http://schemas.openxmlformats.org/officeDocument/2006/relationships/image" Target="media/image110.png"/><Relationship Id="rId168" Type="http://schemas.openxmlformats.org/officeDocument/2006/relationships/image" Target="media/image111.png"/><Relationship Id="rId169" Type="http://schemas.openxmlformats.org/officeDocument/2006/relationships/image" Target="media/image112.png"/><Relationship Id="rId170" Type="http://schemas.openxmlformats.org/officeDocument/2006/relationships/image" Target="media/image113.png"/><Relationship Id="rId171" Type="http://schemas.openxmlformats.org/officeDocument/2006/relationships/image" Target="media/image114.png"/><Relationship Id="rId172" Type="http://schemas.openxmlformats.org/officeDocument/2006/relationships/image" Target="media/image115.png"/><Relationship Id="rId173" Type="http://schemas.openxmlformats.org/officeDocument/2006/relationships/image" Target="media/image116.png"/><Relationship Id="rId174" Type="http://schemas.openxmlformats.org/officeDocument/2006/relationships/image" Target="media/image117.png"/><Relationship Id="rId175" Type="http://schemas.openxmlformats.org/officeDocument/2006/relationships/image" Target="media/image118.png"/><Relationship Id="rId176" Type="http://schemas.openxmlformats.org/officeDocument/2006/relationships/image" Target="media/image119.png"/><Relationship Id="rId177" Type="http://schemas.openxmlformats.org/officeDocument/2006/relationships/image" Target="media/image120.png"/><Relationship Id="rId178" Type="http://schemas.openxmlformats.org/officeDocument/2006/relationships/image" Target="media/image121.png"/><Relationship Id="rId179" Type="http://schemas.openxmlformats.org/officeDocument/2006/relationships/image" Target="media/image122.png"/><Relationship Id="rId180" Type="http://schemas.openxmlformats.org/officeDocument/2006/relationships/image" Target="media/image123.png"/><Relationship Id="rId181" Type="http://schemas.openxmlformats.org/officeDocument/2006/relationships/image" Target="media/image124.png"/><Relationship Id="rId182" Type="http://schemas.openxmlformats.org/officeDocument/2006/relationships/image" Target="media/image125.png"/><Relationship Id="rId183" Type="http://schemas.openxmlformats.org/officeDocument/2006/relationships/image" Target="media/image126.png"/><Relationship Id="rId184" Type="http://schemas.openxmlformats.org/officeDocument/2006/relationships/image" Target="media/image127.png"/><Relationship Id="rId185" Type="http://schemas.openxmlformats.org/officeDocument/2006/relationships/image" Target="media/image128.png"/><Relationship Id="rId186" Type="http://schemas.openxmlformats.org/officeDocument/2006/relationships/image" Target="media/image129.png"/><Relationship Id="rId187" Type="http://schemas.openxmlformats.org/officeDocument/2006/relationships/image" Target="media/image130.png"/><Relationship Id="rId188" Type="http://schemas.openxmlformats.org/officeDocument/2006/relationships/image" Target="media/image131.png"/><Relationship Id="rId189" Type="http://schemas.openxmlformats.org/officeDocument/2006/relationships/image" Target="media/image132.png"/><Relationship Id="rId190" Type="http://schemas.openxmlformats.org/officeDocument/2006/relationships/image" Target="media/image133.png"/><Relationship Id="rId191" Type="http://schemas.openxmlformats.org/officeDocument/2006/relationships/image" Target="media/image134.png"/><Relationship Id="rId192" Type="http://schemas.openxmlformats.org/officeDocument/2006/relationships/image" Target="media/image135.png"/><Relationship Id="rId193" Type="http://schemas.openxmlformats.org/officeDocument/2006/relationships/image" Target="media/image136.png"/><Relationship Id="rId194" Type="http://schemas.openxmlformats.org/officeDocument/2006/relationships/image" Target="media/image137.png"/><Relationship Id="rId195" Type="http://schemas.openxmlformats.org/officeDocument/2006/relationships/image" Target="media/image138.png"/><Relationship Id="rId196" Type="http://schemas.openxmlformats.org/officeDocument/2006/relationships/image" Target="media/image139.png"/><Relationship Id="rId197" Type="http://schemas.openxmlformats.org/officeDocument/2006/relationships/image" Target="media/image140.png"/><Relationship Id="rId198" Type="http://schemas.openxmlformats.org/officeDocument/2006/relationships/image" Target="media/image141.png"/><Relationship Id="rId199" Type="http://schemas.openxmlformats.org/officeDocument/2006/relationships/image" Target="media/image142.png"/><Relationship Id="rId200" Type="http://schemas.openxmlformats.org/officeDocument/2006/relationships/image" Target="media/image143.png"/><Relationship Id="rId201" Type="http://schemas.openxmlformats.org/officeDocument/2006/relationships/image" Target="media/image144.png"/><Relationship Id="rId202" Type="http://schemas.openxmlformats.org/officeDocument/2006/relationships/image" Target="media/image145.png"/><Relationship Id="rId203" Type="http://schemas.openxmlformats.org/officeDocument/2006/relationships/image" Target="media/image146.png"/><Relationship Id="rId204" Type="http://schemas.openxmlformats.org/officeDocument/2006/relationships/image" Target="media/image147.png"/><Relationship Id="rId205" Type="http://schemas.openxmlformats.org/officeDocument/2006/relationships/image" Target="media/image148.png"/><Relationship Id="rId206" Type="http://schemas.openxmlformats.org/officeDocument/2006/relationships/image" Target="media/image149.png"/><Relationship Id="rId207" Type="http://schemas.openxmlformats.org/officeDocument/2006/relationships/image" Target="media/image150.png"/><Relationship Id="rId208" Type="http://schemas.openxmlformats.org/officeDocument/2006/relationships/image" Target="media/image151.png"/><Relationship Id="rId209" Type="http://schemas.openxmlformats.org/officeDocument/2006/relationships/image" Target="media/image152.png"/><Relationship Id="rId210" Type="http://schemas.openxmlformats.org/officeDocument/2006/relationships/image" Target="media/image153.png"/><Relationship Id="rId211" Type="http://schemas.openxmlformats.org/officeDocument/2006/relationships/image" Target="media/image154.png"/><Relationship Id="rId212" Type="http://schemas.openxmlformats.org/officeDocument/2006/relationships/image" Target="media/image155.png"/><Relationship Id="rId213" Type="http://schemas.openxmlformats.org/officeDocument/2006/relationships/image" Target="media/image156.png"/><Relationship Id="rId214" Type="http://schemas.openxmlformats.org/officeDocument/2006/relationships/image" Target="media/image157.png"/><Relationship Id="rId215" Type="http://schemas.openxmlformats.org/officeDocument/2006/relationships/image" Target="media/image158.png"/><Relationship Id="rId216" Type="http://schemas.openxmlformats.org/officeDocument/2006/relationships/image" Target="media/image159.png"/><Relationship Id="rId217" Type="http://schemas.openxmlformats.org/officeDocument/2006/relationships/image" Target="media/image160.png"/><Relationship Id="rId218" Type="http://schemas.openxmlformats.org/officeDocument/2006/relationships/image" Target="media/image161.png"/><Relationship Id="rId219" Type="http://schemas.openxmlformats.org/officeDocument/2006/relationships/image" Target="media/image162.png"/><Relationship Id="rId220" Type="http://schemas.openxmlformats.org/officeDocument/2006/relationships/image" Target="media/image163.png"/><Relationship Id="rId221" Type="http://schemas.openxmlformats.org/officeDocument/2006/relationships/image" Target="media/image164.png"/><Relationship Id="rId222" Type="http://schemas.openxmlformats.org/officeDocument/2006/relationships/image" Target="media/image165.png"/><Relationship Id="rId223" Type="http://schemas.openxmlformats.org/officeDocument/2006/relationships/image" Target="media/image166.png"/><Relationship Id="rId224" Type="http://schemas.openxmlformats.org/officeDocument/2006/relationships/image" Target="media/image167.png"/><Relationship Id="rId225" Type="http://schemas.openxmlformats.org/officeDocument/2006/relationships/image" Target="media/image168.png"/><Relationship Id="rId226" Type="http://schemas.openxmlformats.org/officeDocument/2006/relationships/image" Target="media/image169.png"/><Relationship Id="rId227" Type="http://schemas.openxmlformats.org/officeDocument/2006/relationships/image" Target="media/image170.png"/><Relationship Id="rId228" Type="http://schemas.openxmlformats.org/officeDocument/2006/relationships/image" Target="media/image171.png"/><Relationship Id="rId229" Type="http://schemas.openxmlformats.org/officeDocument/2006/relationships/image" Target="media/image172.png"/><Relationship Id="rId230" Type="http://schemas.openxmlformats.org/officeDocument/2006/relationships/image" Target="media/image173.png"/><Relationship Id="rId231" Type="http://schemas.openxmlformats.org/officeDocument/2006/relationships/image" Target="media/image174.jpeg"/><Relationship Id="rId232" Type="http://schemas.openxmlformats.org/officeDocument/2006/relationships/image" Target="media/image175.png"/><Relationship Id="rId233" Type="http://schemas.openxmlformats.org/officeDocument/2006/relationships/image" Target="media/image176.png"/><Relationship Id="rId234" Type="http://schemas.openxmlformats.org/officeDocument/2006/relationships/image" Target="media/image177.png"/><Relationship Id="rId235" Type="http://schemas.openxmlformats.org/officeDocument/2006/relationships/image" Target="media/image178.png"/><Relationship Id="rId236" Type="http://schemas.openxmlformats.org/officeDocument/2006/relationships/image" Target="media/image179.png"/><Relationship Id="rId237" Type="http://schemas.openxmlformats.org/officeDocument/2006/relationships/image" Target="media/image180.png"/><Relationship Id="rId238" Type="http://schemas.openxmlformats.org/officeDocument/2006/relationships/image" Target="media/image181.png"/><Relationship Id="rId239" Type="http://schemas.openxmlformats.org/officeDocument/2006/relationships/image" Target="media/image182.png"/><Relationship Id="rId240" Type="http://schemas.openxmlformats.org/officeDocument/2006/relationships/image" Target="media/image183.png"/><Relationship Id="rId241" Type="http://schemas.openxmlformats.org/officeDocument/2006/relationships/image" Target="media/image184.png"/><Relationship Id="rId242" Type="http://schemas.openxmlformats.org/officeDocument/2006/relationships/image" Target="media/image185.png"/><Relationship Id="rId243" Type="http://schemas.openxmlformats.org/officeDocument/2006/relationships/image" Target="media/image186.png"/><Relationship Id="rId244" Type="http://schemas.openxmlformats.org/officeDocument/2006/relationships/image" Target="media/image187.png"/><Relationship Id="rId245" Type="http://schemas.openxmlformats.org/officeDocument/2006/relationships/image" Target="media/image188.png"/><Relationship Id="rId246" Type="http://schemas.openxmlformats.org/officeDocument/2006/relationships/image" Target="media/image189.png"/><Relationship Id="rId247" Type="http://schemas.openxmlformats.org/officeDocument/2006/relationships/image" Target="media/image190.png"/><Relationship Id="rId248" Type="http://schemas.openxmlformats.org/officeDocument/2006/relationships/image" Target="media/image191.png"/><Relationship Id="rId249" Type="http://schemas.openxmlformats.org/officeDocument/2006/relationships/image" Target="media/image192.png"/><Relationship Id="rId250" Type="http://schemas.openxmlformats.org/officeDocument/2006/relationships/image" Target="media/image193.png"/><Relationship Id="rId251" Type="http://schemas.openxmlformats.org/officeDocument/2006/relationships/image" Target="media/image194.png"/><Relationship Id="rId252" Type="http://schemas.openxmlformats.org/officeDocument/2006/relationships/image" Target="media/image195.png"/><Relationship Id="rId253" Type="http://schemas.openxmlformats.org/officeDocument/2006/relationships/image" Target="media/image196.png"/><Relationship Id="rId254" Type="http://schemas.openxmlformats.org/officeDocument/2006/relationships/image" Target="media/image197.png"/><Relationship Id="rId255" Type="http://schemas.openxmlformats.org/officeDocument/2006/relationships/image" Target="media/image198.png"/><Relationship Id="rId256" Type="http://schemas.openxmlformats.org/officeDocument/2006/relationships/image" Target="media/image199.png"/><Relationship Id="rId257" Type="http://schemas.openxmlformats.org/officeDocument/2006/relationships/image" Target="media/image200.png"/><Relationship Id="rId258" Type="http://schemas.openxmlformats.org/officeDocument/2006/relationships/image" Target="media/image201.png"/><Relationship Id="rId259" Type="http://schemas.openxmlformats.org/officeDocument/2006/relationships/image" Target="media/image202.png"/><Relationship Id="rId260" Type="http://schemas.openxmlformats.org/officeDocument/2006/relationships/image" Target="media/image203.png"/><Relationship Id="rId78" Type="http://schemas.openxmlformats.org/officeDocument/2006/relationships/hyperlink" Target="http://www.sec.gov/Archives/edgar/data/0001705696/000170569621000030/vici-20201231.htm#icef3bee4d3dc4e848494aecc5e0c6c96_43" TargetMode="External"/><Relationship Id="rId91" Type="http://schemas.openxmlformats.org/officeDocument/2006/relationships/hyperlink" Target="http://www.sec.gov/Archives/edgar/data/1678179/000119312517255745/d428782dex99t3e2.htm" TargetMode="External"/><Relationship Id="rId92" Type="http://schemas.openxmlformats.org/officeDocument/2006/relationships/hyperlink" Target="http://www.sec.gov/Archives/edgar/data/1705696/000119312517307477/d470550dex21.htm" TargetMode="External"/><Relationship Id="rId93" Type="http://schemas.openxmlformats.org/officeDocument/2006/relationships/hyperlink" Target="http://www.sec.gov/Archives/edgar/data/1705696/000119312518216456/d477228dex22.htm" TargetMode="External"/><Relationship Id="rId94" Type="http://schemas.openxmlformats.org/officeDocument/2006/relationships/hyperlink" Target="http://www.sec.gov/Archives/edgar/data/1705696/000170569621000154/mastertransactionagreementa.htm" TargetMode="External"/><Relationship Id="rId95" Type="http://schemas.openxmlformats.org/officeDocument/2006/relationships/hyperlink" Target="http://www.sec.gov/Archives/edgar/data/1705696/000119312517307477/d470550dex31.htm" TargetMode="External"/><Relationship Id="rId96" Type="http://schemas.openxmlformats.org/officeDocument/2006/relationships/hyperlink" Target="http://www.sec.gov/Archives/edgar/data/0001705696/000170569621000183/vici-articlesofamendmentse.htm" TargetMode="External"/><Relationship Id="rId97" Type="http://schemas.openxmlformats.org/officeDocument/2006/relationships/hyperlink" Target="https://www.sec.gov/Archives/edgar/data/1705696/000170569620000153/vicipropertiesincbylaws.htm" TargetMode="External"/><Relationship Id="rId98" Type="http://schemas.openxmlformats.org/officeDocument/2006/relationships/hyperlink" Target="http://www.sec.gov/Archives/edgar/data/1705696/000170569620000153/vicipropertiesincbylaws.htm" TargetMode="External"/><Relationship Id="rId99" Type="http://schemas.openxmlformats.org/officeDocument/2006/relationships/hyperlink" Target="http://www.sec.gov/Archives/edgar/data/1705696/000170569619000172/vici-20192026noteofferingx.htm" TargetMode="External"/><Relationship Id="rId100" Type="http://schemas.openxmlformats.org/officeDocument/2006/relationships/hyperlink" Target="http://www.sec.gov/Archives/edgar/data/1705696/000170569619000172/vici-20192029noteofferingx.htm" TargetMode="External"/><Relationship Id="rId101" Type="http://schemas.openxmlformats.org/officeDocument/2006/relationships/hyperlink" Target="http://www.sec.gov/Archives/edgar/data/1705696/000170569620000023/notesoffering-2025inde.htm" TargetMode="External"/><Relationship Id="rId102" Type="http://schemas.openxmlformats.org/officeDocument/2006/relationships/hyperlink" Target="http://www.sec.gov/Archives/edgar/data/1705696/000170569620000023/notesoffering-2027inde.htm" TargetMode="External"/><Relationship Id="rId103" Type="http://schemas.openxmlformats.org/officeDocument/2006/relationships/hyperlink" Target="http://www.sec.gov/Archives/edgar/data/1705696/000170569620000023/notesoffering-2030inde.htm" TargetMode="External"/><Relationship Id="rId105" Type="http://schemas.openxmlformats.org/officeDocument/2006/relationships/hyperlink" Target="http://www.sec.gov/Archives/edgar/data/1705696/000170569620000143/exhibit101vegaslease-2.htm" TargetMode="External"/><Relationship Id="rId106" Type="http://schemas.openxmlformats.org/officeDocument/2006/relationships/hyperlink" Target="http://www.sec.gov/Archives/edgar/data/1705696/000170569620000181/exhibit1015-lasvegasle.htm" TargetMode="External"/><Relationship Id="rId107" Type="http://schemas.openxmlformats.org/officeDocument/2006/relationships/hyperlink" Target="http://www.sec.gov/Archives/edgar/data/1705696/000170569621000030/lasvegaslease-fourthamendm.htm" TargetMode="External"/><Relationship Id="rId108" Type="http://schemas.openxmlformats.org/officeDocument/2006/relationships/hyperlink" Target="http://www.sec.gov/Archives/edgar/data/1705696/000170569621000224/exhibit104lasvegaslease-fi.htm" TargetMode="External"/><Relationship Id="rId109" Type="http://schemas.openxmlformats.org/officeDocument/2006/relationships/hyperlink" Target="http://www.sec.gov/Archives/edgar/data/1705696/000170569620000143/exhibit102regionalleas.htm" TargetMode="External"/><Relationship Id="rId110" Type="http://schemas.openxmlformats.org/officeDocument/2006/relationships/hyperlink" Target="http://www.sec.gov/Archives/edgar/data/1705696/000170569620000181/exhibit1013-regionalle.htm" TargetMode="External"/><Relationship Id="rId111" Type="http://schemas.openxmlformats.org/officeDocument/2006/relationships/hyperlink" Target="http://www.sec.gov/Archives/edgar/data/1705696/000170569621000030/regionallease-seventhamend.htm" TargetMode="External"/><Relationship Id="rId112" Type="http://schemas.openxmlformats.org/officeDocument/2006/relationships/hyperlink" Target="http://www.sec.gov/Archives/edgar/data/1705696/000170569621000224/exhibit105regionallease-ei.htm" TargetMode="External"/><Relationship Id="rId113" Type="http://schemas.openxmlformats.org/officeDocument/2006/relationships/hyperlink" Target="http://www.sec.gov/Archives/edgar/data/1705696/000170569620000143/exhibit103jolietlease-.htm" TargetMode="External"/><Relationship Id="rId114" Type="http://schemas.openxmlformats.org/officeDocument/2006/relationships/hyperlink" Target="http://www.sec.gov/Archives/edgar/data/1705696/000170569620000181/exhibit1014-jolietleas.htm" TargetMode="External"/><Relationship Id="rId115" Type="http://schemas.openxmlformats.org/officeDocument/2006/relationships/hyperlink" Target="http://www.sec.gov/Archives/edgar/data/1705696/000170569621000030/jolietlease-fourthamendmen.htm" TargetMode="External"/><Relationship Id="rId116" Type="http://schemas.openxmlformats.org/officeDocument/2006/relationships/hyperlink" Target="http://www.sec.gov/Archives/edgar/data/1705696/000170569621000224/exhibit106jolietlease-fift.htm" TargetMode="External"/><Relationship Id="rId117" Type="http://schemas.openxmlformats.org/officeDocument/2006/relationships/hyperlink" Target="http://www.sec.gov/Archives/edgar/data/1705696/000170569620000181/exhibit1016-amendedand.htm" TargetMode="External"/><Relationship Id="rId119" Type="http://schemas.openxmlformats.org/officeDocument/2006/relationships/hyperlink" Target="http://www.sec.gov/Archives/edgar/data/1705696/000170569620000143/exhibit1012.htm" TargetMode="External"/><Relationship Id="rId120" Type="http://schemas.openxmlformats.org/officeDocument/2006/relationships/hyperlink" Target="http://www.sec.gov/Archives/edgar/data/1705696/000170569620000143/exhibit104.htm" TargetMode="External"/><Relationship Id="rId121" Type="http://schemas.openxmlformats.org/officeDocument/2006/relationships/hyperlink" Target="http://www.sec.gov/Archives/edgar/data/1705696/000170569620000143/exhibit105.htm" TargetMode="External"/><Relationship Id="rId122" Type="http://schemas.openxmlformats.org/officeDocument/2006/relationships/hyperlink" Target="http://www.sec.gov/Archives/edgar/data/1705696/000170569620000143/exhibit106.htm" TargetMode="External"/><Relationship Id="rId123" Type="http://schemas.openxmlformats.org/officeDocument/2006/relationships/hyperlink" Target="http://www.sec.gov/Archives/edgar/data/1705696/000170569620000143/exhibit107.htm" TargetMode="External"/><Relationship Id="rId124" Type="http://schemas.openxmlformats.org/officeDocument/2006/relationships/hyperlink" Target="http://www.sec.gov/Archives/edgar/data/1705696/000170569620000143/exhibit108.htm" TargetMode="External"/><Relationship Id="rId125" Type="http://schemas.openxmlformats.org/officeDocument/2006/relationships/hyperlink" Target="http://www.sec.gov/Archives/edgar/data/1705696/000170569620000162/secondarput-callrighta.htm" TargetMode="External"/><Relationship Id="rId126" Type="http://schemas.openxmlformats.org/officeDocument/2006/relationships/hyperlink" Target="http://www.sec.gov/Archives/edgar/data/1705696/000170569620000143/exhibit1010.htm" TargetMode="External"/><Relationship Id="rId127" Type="http://schemas.openxmlformats.org/officeDocument/2006/relationships/hyperlink" Target="http://www.sec.gov/Archives/edgar/data/1705696/000170569620000143/exhibit1011.htm" TargetMode="External"/><Relationship Id="rId128" Type="http://schemas.openxmlformats.org/officeDocument/2006/relationships/hyperlink" Target="http://www.sec.gov/Archives/edgar/data/1705696/000119312517307477/d470550dex1012.htm" TargetMode="External"/><Relationship Id="rId129" Type="http://schemas.openxmlformats.org/officeDocument/2006/relationships/hyperlink" Target="http://www.sec.gov/Archives/edgar/data/0001705696/000170569622000019/vici-creditagreementconfor.htm" TargetMode="External"/><Relationship Id="rId130" Type="http://schemas.openxmlformats.org/officeDocument/2006/relationships/hyperlink" Target="http://www.sec.gov/Archives/edgar/data/1705696/000170569621000154/commitmentletter-mgpacquis.htm" TargetMode="External"/><Relationship Id="rId131" Type="http://schemas.openxmlformats.org/officeDocument/2006/relationships/hyperlink" Target="http://www.sec.gov/Archives/edgar/data/1705696/000119312517307477/d470550dex1023.htm" TargetMode="External"/><Relationship Id="rId132" Type="http://schemas.openxmlformats.org/officeDocument/2006/relationships/hyperlink" Target="http://www.sec.gov/Archives/edgar/data/1705696/000119312517297902/d392523dex1020.htm" TargetMode="External"/><Relationship Id="rId133" Type="http://schemas.openxmlformats.org/officeDocument/2006/relationships/hyperlink" Target="http://www.sec.gov/Archives/edgar/data/1705696/000119312519256140/d808587dex101.htm" TargetMode="External"/><Relationship Id="rId134" Type="http://schemas.openxmlformats.org/officeDocument/2006/relationships/hyperlink" Target="http://www.sec.gov/Archives/edgar/data/1705696/000119312519256140/d808587dex102.htm" TargetMode="External"/><Relationship Id="rId136" Type="http://schemas.openxmlformats.org/officeDocument/2006/relationships/hyperlink" Target="http://www.sec.gov/Archives/edgar/data/1705696/000119312519256140/d808587dex103.htm" TargetMode="External"/><Relationship Id="rId137" Type="http://schemas.openxmlformats.org/officeDocument/2006/relationships/hyperlink" Target="http://www.sec.gov/Archives/edgar/data/1705696/000119312519256140/d808587dex104.htm" TargetMode="External"/><Relationship Id="rId138" Type="http://schemas.openxmlformats.org/officeDocument/2006/relationships/hyperlink" Target="http://www.sec.gov/Archives/edgar/data/1705696/000119312517307477/d470550dex1028.htm" TargetMode="External"/><Relationship Id="rId139" Type="http://schemas.openxmlformats.org/officeDocument/2006/relationships/hyperlink" Target="http://www.sec.gov/Archives/edgar/data/1705696/000170569619000064/exhibit1052amendmentno.htm" TargetMode="External"/><Relationship Id="rId140" Type="http://schemas.openxmlformats.org/officeDocument/2006/relationships/hyperlink" Target="http://www.sec.gov/Archives/edgar/data/1705696/000170569618000015/vici10kexhibit1039.htm" TargetMode="External"/><Relationship Id="rId141" Type="http://schemas.openxmlformats.org/officeDocument/2006/relationships/hyperlink" Target="http://www.sec.gov/Archives/edgar/data/1705696/000170569618000045/exhibit101restricted_stock.htm" TargetMode="External"/><Relationship Id="rId142" Type="http://schemas.openxmlformats.org/officeDocument/2006/relationships/hyperlink" Target="http://www.sec.gov/Archives/edgar/data/1705696/000170569618000045/exhibit102-viciperformanc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2022-02-23T15:39:12Z</dcterms:created>
  <dcterms:modified xsi:type="dcterms:W3CDTF">2022-02-23T15:39:12Z</dcterms:modified>
</cp:coreProperties>
</file>