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34" w:lineRule="exact"/>
        <w:rPr>
          <w:sz w:val="24"/>
          <w:szCs w:val="24"/>
          <w:color w:val="auto"/>
        </w:rPr>
      </w:pPr>
    </w:p>
    <w:p>
      <w:pPr>
        <w:ind w:left="1740" w:hanging="598"/>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ind w:left="1720" w:hanging="578"/>
        <w:spacing w:after="0"/>
        <w:tabs>
          <w:tab w:leader="none" w:pos="1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001-38372</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VICI Properties Inc.</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240"/>
          </w:cols>
          <w:pgMar w:left="320" w:top="1057" w:right="339" w:bottom="1440" w:gutter="0" w:footer="0" w:header="0"/>
        </w:sectPr>
      </w:pPr>
    </w:p>
    <w:p>
      <w:pPr>
        <w:spacing w:after="0" w:line="84" w:lineRule="exact"/>
        <w:rPr>
          <w:sz w:val="24"/>
          <w:szCs w:val="24"/>
          <w:color w:val="auto"/>
        </w:rPr>
      </w:pPr>
    </w:p>
    <w:p>
      <w:pPr>
        <w:ind w:left="30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50" w:lineRule="exact"/>
        <w:rPr>
          <w:sz w:val="24"/>
          <w:szCs w:val="24"/>
          <w:color w:val="auto"/>
        </w:rPr>
      </w:pPr>
    </w:p>
    <w:p>
      <w:pPr>
        <w:sectPr>
          <w:pgSz w:w="11900" w:h="16838" w:orient="portrait"/>
          <w:cols w:equalWidth="0" w:num="2">
            <w:col w:w="6700" w:space="720"/>
            <w:col w:w="3820"/>
          </w:cols>
          <w:pgMar w:left="320" w:top="1057" w:right="339" w:bottom="1440" w:gutter="0" w:footer="0" w:header="0"/>
          <w:type w:val="continuous"/>
        </w:sectPr>
      </w:pPr>
    </w:p>
    <w:p>
      <w:pPr>
        <w:jc w:val="center"/>
        <w:ind w:left="7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29" w:lineRule="exact"/>
        <w:rPr>
          <w:sz w:val="24"/>
          <w:szCs w:val="24"/>
          <w:color w:val="auto"/>
        </w:rPr>
      </w:pPr>
    </w:p>
    <w:p>
      <w:pPr>
        <w:sectPr>
          <w:pgSz w:w="11900" w:h="16838" w:orient="portrait"/>
          <w:cols w:equalWidth="0" w:num="2">
            <w:col w:w="6040" w:space="720"/>
            <w:col w:w="4480"/>
          </w:cols>
          <w:pgMar w:left="320" w:top="1057"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161" w:lineRule="exact"/>
        <w:rPr>
          <w:sz w:val="24"/>
          <w:szCs w:val="24"/>
          <w:color w:val="auto"/>
        </w:rPr>
      </w:pPr>
    </w:p>
    <w:tbl>
      <w:tblPr>
        <w:tblLayout w:type="fixed"/>
        <w:tblInd w:w="100" w:type="dxa"/>
        <w:tblCellMar>
          <w:top w:w="0" w:type="dxa"/>
          <w:left w:w="0" w:type="dxa"/>
          <w:bottom w:w="0" w:type="dxa"/>
          <w:right w:w="0" w:type="dxa"/>
        </w:tblCellMar>
      </w:tblPr>
      <w:tr>
        <w:trPr>
          <w:trHeight w:val="206"/>
        </w:trPr>
        <w:tc>
          <w:tcPr>
            <w:tcW w:w="4240" w:type="dxa"/>
            <w:vAlign w:val="bottom"/>
            <w:gridSpan w:val="2"/>
          </w:tcPr>
          <w:p>
            <w:pPr>
              <w:ind w:left="2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87"/>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4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36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424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Common stock, $0.01 par value</w:t>
            </w:r>
          </w:p>
        </w:tc>
        <w:tc>
          <w:tcPr>
            <w:tcW w:w="2900" w:type="dxa"/>
            <w:vAlign w:val="bottom"/>
            <w:gridSpan w:val="2"/>
          </w:tcPr>
          <w:p>
            <w:pPr>
              <w:jc w:val="center"/>
              <w:ind w:right="360"/>
              <w:spacing w:after="0"/>
              <w:rPr>
                <w:sz w:val="20"/>
                <w:szCs w:val="20"/>
                <w:color w:val="auto"/>
              </w:rPr>
            </w:pPr>
            <w:r>
              <w:rPr>
                <w:rFonts w:ascii="Arial" w:cs="Arial" w:eastAsia="Arial" w:hAnsi="Arial"/>
                <w:sz w:val="16"/>
                <w:szCs w:val="16"/>
                <w:color w:val="auto"/>
              </w:rPr>
              <w:t>VICI</w:t>
            </w:r>
          </w:p>
        </w:tc>
        <w:tc>
          <w:tcPr>
            <w:tcW w:w="390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374"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9" w:lineRule="exact"/>
        <w:rPr>
          <w:sz w:val="24"/>
          <w:szCs w:val="24"/>
          <w:color w:val="auto"/>
        </w:rPr>
      </w:pPr>
    </w:p>
    <w:tbl>
      <w:tblPr>
        <w:tblLayout w:type="fixed"/>
        <w:tblInd w:w="214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180" w:type="dxa"/>
            <w:vAlign w:val="bottom"/>
          </w:tcPr>
          <w:p>
            <w:pPr>
              <w:ind w:left="9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340" w:right="23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27, 2021, the registrant had 537,016,609 shares of its $0.01 par value common stock outstanding.</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MARCH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gridSpan w:val="3"/>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9640" w:type="dxa"/>
            <w:vAlign w:val="bottom"/>
            <w:gridSpan w:val="12"/>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5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640" w:type="dxa"/>
            <w:vAlign w:val="bottom"/>
            <w:gridSpan w:val="1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2">
              <w:r>
                <w:rPr>
                  <w:rFonts w:ascii="Arial" w:cs="Arial" w:eastAsia="Arial" w:hAnsi="Arial"/>
                  <w:sz w:val="18"/>
                  <w:szCs w:val="18"/>
                  <w:color w:val="0000FF"/>
                  <w:w w:val="90"/>
                </w:rPr>
                <w:t>Item 1.</w:t>
              </w:r>
            </w:hyperlink>
          </w:p>
        </w:tc>
        <w:tc>
          <w:tcPr>
            <w:tcW w:w="480" w:type="dxa"/>
            <w:vAlign w:val="bottom"/>
            <w:gridSpan w:val="2"/>
            <w:shd w:val="clear" w:color="auto" w:fill="CCEEFF"/>
          </w:tcPr>
          <w:p>
            <w:pPr>
              <w:spacing w:after="0"/>
              <w:rPr>
                <w:sz w:val="16"/>
                <w:szCs w:val="16"/>
                <w:color w:val="auto"/>
              </w:rPr>
            </w:pPr>
          </w:p>
        </w:tc>
        <w:tc>
          <w:tcPr>
            <w:tcW w:w="9640" w:type="dxa"/>
            <w:vAlign w:val="bottom"/>
            <w:gridSpan w:val="12"/>
            <w:shd w:val="clear" w:color="auto" w:fill="CCEEFF"/>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Financial Statements of VICI Properties Inc. (Unaudited)</w:t>
              </w:r>
            </w:hyperlink>
          </w:p>
        </w:tc>
        <w:tc>
          <w:tcPr>
            <w:tcW w:w="380" w:type="dxa"/>
            <w:vAlign w:val="bottom"/>
            <w:gridSpan w:val="4"/>
            <w:shd w:val="clear" w:color="auto" w:fill="CCEEFF"/>
          </w:tcPr>
          <w:p>
            <w:pPr>
              <w:jc w:val="center"/>
              <w:ind w:left="110"/>
              <w:spacing w:after="0" w:line="189"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80" w:type="dxa"/>
            <w:vAlign w:val="bottom"/>
            <w:gridSpan w:val="11"/>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as of March 31, 2021 and December 31, 2020</w:t>
              </w:r>
            </w:hyperlink>
          </w:p>
        </w:tc>
        <w:tc>
          <w:tcPr>
            <w:tcW w:w="380" w:type="dxa"/>
            <w:vAlign w:val="bottom"/>
            <w:gridSpan w:val="4"/>
          </w:tcPr>
          <w:p>
            <w:pPr>
              <w:jc w:val="center"/>
              <w:ind w:left="11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60" w:type="dxa"/>
            <w:vAlign w:val="bottom"/>
            <w:tcBorders>
              <w:bottom w:val="single" w:sz="8" w:color="0000FF"/>
            </w:tcBorders>
            <w:gridSpan w:val="10"/>
            <w:shd w:val="clear" w:color="auto" w:fill="CCEEFF"/>
          </w:tcPr>
          <w:p>
            <w:pPr>
              <w:spacing w:after="0" w:line="189"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 and Comprehensive Income for the Three Months Ended March 31, 2021 and 2020</w:t>
              </w:r>
            </w:hyperlink>
          </w:p>
        </w:tc>
        <w:tc>
          <w:tcPr>
            <w:tcW w:w="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80" w:type="dxa"/>
            <w:vAlign w:val="bottom"/>
            <w:gridSpan w:val="11"/>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Consolidated Statements of Stockholders’ Equity for the Three Months Ended March 31, 2021 and 2020</w:t>
              </w:r>
            </w:hyperlink>
          </w:p>
        </w:tc>
        <w:tc>
          <w:tcPr>
            <w:tcW w:w="380" w:type="dxa"/>
            <w:vAlign w:val="bottom"/>
            <w:gridSpan w:val="4"/>
          </w:tcPr>
          <w:p>
            <w:pPr>
              <w:jc w:val="center"/>
              <w:ind w:left="11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80" w:type="dxa"/>
            <w:vAlign w:val="bottom"/>
            <w:gridSpan w:val="11"/>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 for the Three Months Ended March 31, 2021 and 2020</w:t>
              </w:r>
            </w:hyperlink>
          </w:p>
        </w:tc>
        <w:tc>
          <w:tcPr>
            <w:tcW w:w="380" w:type="dxa"/>
            <w:vAlign w:val="bottom"/>
            <w:gridSpan w:val="4"/>
            <w:shd w:val="clear" w:color="auto" w:fill="CCEEFF"/>
          </w:tcPr>
          <w:p>
            <w:pPr>
              <w:jc w:val="center"/>
              <w:ind w:left="11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840" w:type="dxa"/>
            <w:vAlign w:val="bottom"/>
            <w:tcBorders>
              <w:top w:val="single" w:sz="8" w:color="0000FF"/>
            </w:tcBorders>
            <w:gridSpan w:val="8"/>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24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Item 2.</w:t>
              </w:r>
            </w:hyperlink>
          </w:p>
        </w:tc>
        <w:tc>
          <w:tcPr>
            <w:tcW w:w="480" w:type="dxa"/>
            <w:vAlign w:val="bottom"/>
            <w:gridSpan w:val="2"/>
            <w:shd w:val="clear" w:color="auto" w:fill="CCEEFF"/>
          </w:tcPr>
          <w:p>
            <w:pPr>
              <w:spacing w:after="0"/>
              <w:rPr>
                <w:sz w:val="16"/>
                <w:szCs w:val="16"/>
                <w:color w:val="auto"/>
              </w:rPr>
            </w:pPr>
          </w:p>
        </w:tc>
        <w:tc>
          <w:tcPr>
            <w:tcW w:w="9640" w:type="dxa"/>
            <w:vAlign w:val="bottom"/>
            <w:gridSpan w:val="12"/>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4"/>
            <w:shd w:val="clear" w:color="auto" w:fill="CCEEFF"/>
          </w:tcPr>
          <w:p>
            <w:pPr>
              <w:jc w:val="center"/>
              <w:ind w:left="11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Item 3.</w:t>
              </w:r>
            </w:hyperlink>
          </w:p>
        </w:tc>
        <w:tc>
          <w:tcPr>
            <w:tcW w:w="480" w:type="dxa"/>
            <w:vAlign w:val="bottom"/>
            <w:gridSpan w:val="2"/>
          </w:tcPr>
          <w:p>
            <w:pPr>
              <w:spacing w:after="0"/>
              <w:rPr>
                <w:sz w:val="16"/>
                <w:szCs w:val="16"/>
                <w:color w:val="auto"/>
              </w:rPr>
            </w:pPr>
          </w:p>
        </w:tc>
        <w:tc>
          <w:tcPr>
            <w:tcW w:w="6460" w:type="dxa"/>
            <w:vAlign w:val="bottom"/>
            <w:gridSpan w:val="8"/>
          </w:tcPr>
          <w:p>
            <w:pPr>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Quantitative and Qualitative Disclosures About Market Risk</w:t>
              </w:r>
            </w:hyperlink>
          </w:p>
        </w:tc>
        <w:tc>
          <w:tcPr>
            <w:tcW w:w="3180" w:type="dxa"/>
            <w:vAlign w:val="bottom"/>
            <w:gridSpan w:val="4"/>
          </w:tcPr>
          <w:p>
            <w:pPr>
              <w:spacing w:after="0"/>
              <w:rPr>
                <w:sz w:val="16"/>
                <w:szCs w:val="16"/>
                <w:color w:val="auto"/>
              </w:rPr>
            </w:pPr>
          </w:p>
        </w:tc>
        <w:tc>
          <w:tcPr>
            <w:tcW w:w="380" w:type="dxa"/>
            <w:vAlign w:val="bottom"/>
            <w:gridSpan w:val="4"/>
          </w:tcPr>
          <w:p>
            <w:pPr>
              <w:jc w:val="center"/>
              <w:ind w:left="110"/>
              <w:spacing w:after="0" w:line="189"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63</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Item 4.</w:t>
              </w:r>
            </w:hyperlink>
          </w:p>
        </w:tc>
        <w:tc>
          <w:tcPr>
            <w:tcW w:w="9640" w:type="dxa"/>
            <w:vAlign w:val="bottom"/>
            <w:gridSpan w:val="12"/>
            <w:shd w:val="clear" w:color="auto" w:fill="CCEEFF"/>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Controls and Procedures</w:t>
              </w:r>
            </w:hyperlink>
          </w:p>
        </w:tc>
        <w:tc>
          <w:tcPr>
            <w:tcW w:w="380" w:type="dxa"/>
            <w:vAlign w:val="bottom"/>
            <w:gridSpan w:val="4"/>
            <w:shd w:val="clear" w:color="auto" w:fill="CCEEFF"/>
          </w:tcPr>
          <w:p>
            <w:pPr>
              <w:jc w:val="center"/>
              <w:ind w:left="110"/>
              <w:spacing w:after="0" w:line="18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63</w:t>
              </w:r>
            </w:hyperlink>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1000" w:type="dxa"/>
            <w:vAlign w:val="bottom"/>
            <w:gridSpan w:val="6"/>
            <w:shd w:val="clear" w:color="auto" w:fill="CCEEFF"/>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PART II.</w:t>
              </w:r>
            </w:hyperlink>
          </w:p>
        </w:tc>
        <w:tc>
          <w:tcPr>
            <w:tcW w:w="7100" w:type="dxa"/>
            <w:vAlign w:val="bottom"/>
            <w:gridSpan w:val="9"/>
            <w:shd w:val="clear" w:color="auto" w:fill="CCEEFF"/>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OTHER INFORMATION</w:t>
              </w:r>
            </w:hyperlink>
          </w:p>
        </w:tc>
        <w:tc>
          <w:tcPr>
            <w:tcW w:w="2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Item 1.</w:t>
              </w:r>
            </w:hyperlink>
          </w:p>
        </w:tc>
        <w:tc>
          <w:tcPr>
            <w:tcW w:w="300" w:type="dxa"/>
            <w:vAlign w:val="bottom"/>
            <w:tcBorders>
              <w:top w:val="single" w:sz="8" w:color="CCEEFF"/>
            </w:tcBorders>
            <w:gridSpan w:val="2"/>
          </w:tcPr>
          <w:p>
            <w:pPr>
              <w:spacing w:after="0"/>
              <w:rPr>
                <w:sz w:val="16"/>
                <w:szCs w:val="16"/>
                <w:color w:val="auto"/>
              </w:rPr>
            </w:pPr>
          </w:p>
        </w:tc>
        <w:tc>
          <w:tcPr>
            <w:tcW w:w="2020" w:type="dxa"/>
            <w:vAlign w:val="bottom"/>
            <w:tcBorders>
              <w:top w:val="single" w:sz="8" w:color="0000FF"/>
            </w:tcBorders>
            <w:gridSpan w:val="6"/>
          </w:tcPr>
          <w:p>
            <w:pPr>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Legal Proceedings</w:t>
              </w:r>
            </w:hyperlink>
          </w:p>
        </w:tc>
        <w:tc>
          <w:tcPr>
            <w:tcW w:w="5080" w:type="dxa"/>
            <w:vAlign w:val="bottom"/>
            <w:tcBorders>
              <w:top w:val="single" w:sz="8" w:color="CCEEFF"/>
            </w:tcBorders>
            <w:gridSpan w:val="3"/>
          </w:tcPr>
          <w:p>
            <w:pPr>
              <w:spacing w:after="0"/>
              <w:rPr>
                <w:sz w:val="16"/>
                <w:szCs w:val="16"/>
                <w:color w:val="auto"/>
              </w:rPr>
            </w:pPr>
          </w:p>
        </w:tc>
        <w:tc>
          <w:tcPr>
            <w:tcW w:w="2920" w:type="dxa"/>
            <w:vAlign w:val="bottom"/>
            <w:tcBorders>
              <w:top w:val="single" w:sz="8" w:color="CCEEFF"/>
            </w:tcBorders>
            <w:gridSpan w:val="2"/>
          </w:tcPr>
          <w:p>
            <w:pPr>
              <w:jc w:val="right"/>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6"/>
            <w:shd w:val="clear" w:color="auto" w:fill="CCEEFF"/>
          </w:tcPr>
          <w:p>
            <w:pPr>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Item 1A.</w:t>
              </w:r>
            </w:hyperlink>
          </w:p>
        </w:tc>
        <w:tc>
          <w:tcPr>
            <w:tcW w:w="7100" w:type="dxa"/>
            <w:vAlign w:val="bottom"/>
            <w:gridSpan w:val="9"/>
            <w:shd w:val="clear" w:color="auto" w:fill="CCEEFF"/>
          </w:tcPr>
          <w:p>
            <w:pPr>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Risk Factors</w:t>
              </w:r>
            </w:hyperlink>
          </w:p>
        </w:tc>
        <w:tc>
          <w:tcPr>
            <w:tcW w:w="292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Item 2.</w:t>
              </w:r>
            </w:hyperlink>
          </w:p>
        </w:tc>
        <w:tc>
          <w:tcPr>
            <w:tcW w:w="360" w:type="dxa"/>
            <w:vAlign w:val="bottom"/>
            <w:gridSpan w:val="3"/>
          </w:tcPr>
          <w:p>
            <w:pPr>
              <w:spacing w:after="0"/>
              <w:rPr>
                <w:sz w:val="16"/>
                <w:szCs w:val="16"/>
                <w:color w:val="auto"/>
              </w:rPr>
            </w:pPr>
          </w:p>
        </w:tc>
        <w:tc>
          <w:tcPr>
            <w:tcW w:w="7100" w:type="dxa"/>
            <w:vAlign w:val="bottom"/>
            <w:gridSpan w:val="9"/>
          </w:tcPr>
          <w:p>
            <w:pPr>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Unregistered Sales of Equity Securities and Use of Proceeds</w:t>
              </w:r>
            </w:hyperlink>
          </w:p>
        </w:tc>
        <w:tc>
          <w:tcPr>
            <w:tcW w:w="2920" w:type="dxa"/>
            <w:vAlign w:val="bottom"/>
            <w:gridSpan w:val="2"/>
          </w:tcPr>
          <w:p>
            <w:pPr>
              <w:jc w:val="right"/>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Item 3.</w:t>
              </w:r>
            </w:hyperlink>
          </w:p>
        </w:tc>
        <w:tc>
          <w:tcPr>
            <w:tcW w:w="480" w:type="dxa"/>
            <w:vAlign w:val="bottom"/>
            <w:gridSpan w:val="4"/>
            <w:shd w:val="clear" w:color="auto" w:fill="CCEEFF"/>
          </w:tcPr>
          <w:p>
            <w:pPr>
              <w:spacing w:after="0"/>
              <w:rPr>
                <w:sz w:val="16"/>
                <w:szCs w:val="16"/>
                <w:color w:val="auto"/>
              </w:rPr>
            </w:pPr>
          </w:p>
        </w:tc>
        <w:tc>
          <w:tcPr>
            <w:tcW w:w="7100" w:type="dxa"/>
            <w:vAlign w:val="bottom"/>
            <w:gridSpan w:val="9"/>
            <w:shd w:val="clear" w:color="auto" w:fill="CCEEFF"/>
          </w:tcPr>
          <w:p>
            <w:pPr>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Defaults Upon Senior Securities</w:t>
              </w:r>
            </w:hyperlink>
          </w:p>
        </w:tc>
        <w:tc>
          <w:tcPr>
            <w:tcW w:w="292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gridSpan w:val="2"/>
          </w:tcPr>
          <w:p>
            <w:pPr>
              <w:spacing w:after="0" w:line="189"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Item 4.</w:t>
              </w:r>
            </w:hyperlink>
          </w:p>
        </w:tc>
        <w:tc>
          <w:tcPr>
            <w:tcW w:w="480" w:type="dxa"/>
            <w:vAlign w:val="bottom"/>
            <w:gridSpan w:val="4"/>
          </w:tcPr>
          <w:p>
            <w:pPr>
              <w:spacing w:after="0"/>
              <w:rPr>
                <w:sz w:val="16"/>
                <w:szCs w:val="16"/>
                <w:color w:val="auto"/>
              </w:rPr>
            </w:pPr>
          </w:p>
        </w:tc>
        <w:tc>
          <w:tcPr>
            <w:tcW w:w="2320" w:type="dxa"/>
            <w:vAlign w:val="bottom"/>
            <w:gridSpan w:val="7"/>
          </w:tcPr>
          <w:p>
            <w:pPr>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Mine Safety Disclosures</w:t>
              </w:r>
            </w:hyperlink>
          </w:p>
        </w:tc>
        <w:tc>
          <w:tcPr>
            <w:tcW w:w="4780" w:type="dxa"/>
            <w:vAlign w:val="bottom"/>
            <w:gridSpan w:val="2"/>
          </w:tcPr>
          <w:p>
            <w:pPr>
              <w:spacing w:after="0"/>
              <w:rPr>
                <w:sz w:val="16"/>
                <w:szCs w:val="16"/>
                <w:color w:val="auto"/>
              </w:rPr>
            </w:pPr>
          </w:p>
        </w:tc>
        <w:tc>
          <w:tcPr>
            <w:tcW w:w="2920" w:type="dxa"/>
            <w:vAlign w:val="bottom"/>
            <w:gridSpan w:val="2"/>
          </w:tcPr>
          <w:p>
            <w:pPr>
              <w:jc w:val="right"/>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6"/>
            <w:shd w:val="clear" w:color="auto" w:fill="CCEEFF"/>
          </w:tcPr>
          <w:p>
            <w:pPr>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Item 5</w:t>
              </w:r>
            </w:hyperlink>
            <w:r>
              <w:rPr>
                <w:rFonts w:ascii="Arial" w:cs="Arial" w:eastAsia="Arial" w:hAnsi="Arial"/>
                <w:sz w:val="18"/>
                <w:szCs w:val="18"/>
                <w:color w:val="000000"/>
              </w:rPr>
              <w:t>.</w:t>
            </w:r>
          </w:p>
        </w:tc>
        <w:tc>
          <w:tcPr>
            <w:tcW w:w="7100" w:type="dxa"/>
            <w:vAlign w:val="bottom"/>
            <w:gridSpan w:val="9"/>
            <w:shd w:val="clear" w:color="auto" w:fill="CCEEFF"/>
          </w:tcPr>
          <w:p>
            <w:pPr>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Other Information</w:t>
              </w:r>
            </w:hyperlink>
          </w:p>
        </w:tc>
        <w:tc>
          <w:tcPr>
            <w:tcW w:w="292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6"/>
          </w:tcPr>
          <w:p>
            <w:pPr>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Item 6.</w:t>
              </w:r>
            </w:hyperlink>
          </w:p>
        </w:tc>
        <w:tc>
          <w:tcPr>
            <w:tcW w:w="7100" w:type="dxa"/>
            <w:vAlign w:val="bottom"/>
            <w:gridSpan w:val="9"/>
          </w:tcPr>
          <w:p>
            <w:pPr>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Exhibits</w:t>
              </w:r>
            </w:hyperlink>
          </w:p>
        </w:tc>
        <w:tc>
          <w:tcPr>
            <w:tcW w:w="2920" w:type="dxa"/>
            <w:vAlign w:val="bottom"/>
            <w:gridSpan w:val="2"/>
          </w:tcPr>
          <w:p>
            <w:pPr>
              <w:jc w:val="right"/>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00" w:type="dxa"/>
            <w:vAlign w:val="bottom"/>
            <w:gridSpan w:val="6"/>
          </w:tcPr>
          <w:p>
            <w:pPr>
              <w:spacing w:after="0" w:line="189" w:lineRule="exact"/>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Signatures</w:t>
              </w:r>
            </w:hyperlink>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920" w:type="dxa"/>
            <w:vAlign w:val="bottom"/>
            <w:gridSpan w:val="2"/>
          </w:tcPr>
          <w:p>
            <w:pPr>
              <w:jc w:val="right"/>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1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2020</w:t>
            </w:r>
          </w:p>
        </w:tc>
        <w:tc>
          <w:tcPr>
            <w:tcW w:w="0" w:type="dxa"/>
            <w:vAlign w:val="bottom"/>
          </w:tcPr>
          <w:p>
            <w:pPr>
              <w:spacing w:after="0"/>
              <w:rPr>
                <w:sz w:val="1"/>
                <w:szCs w:val="1"/>
                <w:color w:val="auto"/>
              </w:rPr>
            </w:pP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13,054,135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0" w:type="dxa"/>
            <w:vAlign w:val="bottom"/>
          </w:tcPr>
          <w:p>
            <w:pPr>
              <w:spacing w:after="0"/>
              <w:rPr>
                <w:sz w:val="1"/>
                <w:szCs w:val="1"/>
                <w:color w:val="auto"/>
              </w:rPr>
            </w:pPr>
          </w:p>
        </w:tc>
      </w:tr>
      <w:tr>
        <w:trPr>
          <w:trHeight w:val="229"/>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2,628,422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2,618,562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0" w:type="dxa"/>
            <w:vAlign w:val="bottom"/>
          </w:tcPr>
          <w:p>
            <w:pPr>
              <w:spacing w:after="0"/>
              <w:rPr>
                <w:sz w:val="1"/>
                <w:szCs w:val="1"/>
                <w:color w:val="auto"/>
              </w:rPr>
            </w:pPr>
          </w:p>
        </w:tc>
      </w:tr>
      <w:tr>
        <w:trPr>
          <w:trHeight w:val="229"/>
        </w:trPr>
        <w:tc>
          <w:tcPr>
            <w:tcW w:w="7140" w:type="dxa"/>
            <w:vAlign w:val="bottom"/>
          </w:tcPr>
          <w:p>
            <w:pPr>
              <w:ind w:left="46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158,190</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315,993</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19,973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17,085,001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Debt,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6,769,211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46,422</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Deferred financing liability</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93,659</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177,089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176,992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413,663</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7,485,309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7,569,868</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 $0.01 par value, 950,000,000 and 700,000,000 shares authorized and</w:t>
            </w: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537,015,753 and 536,669,722 shares issued and outstanding at March 31, 2021 and</w:t>
            </w:r>
          </w:p>
        </w:tc>
        <w:tc>
          <w:tcPr>
            <w:tcW w:w="3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2020, respectively</w:t>
            </w:r>
          </w:p>
        </w:tc>
        <w:tc>
          <w:tcPr>
            <w:tcW w:w="3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300" w:type="dxa"/>
            <w:vAlign w:val="bottom"/>
          </w:tcPr>
          <w:p>
            <w:pPr>
              <w:spacing w:after="0"/>
              <w:rPr>
                <w:sz w:val="15"/>
                <w:szCs w:val="15"/>
                <w:color w:val="auto"/>
              </w:rPr>
            </w:pPr>
          </w:p>
        </w:tc>
        <w:tc>
          <w:tcPr>
            <w:tcW w:w="1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March 31, 2021 and December 31, 2020</w:t>
            </w:r>
          </w:p>
        </w:tc>
        <w:tc>
          <w:tcPr>
            <w:tcW w:w="30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9,363,539</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(92,521)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139,454</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VICI stockholders’ equity</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9,521,559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9,415,839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9,599,692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9,493,745</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17,085,001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March 31, 2021 and December 31, 2020, our Investments in leases - sales-type, Investments in leases - financing receivables, Investments in loans and Other assets (sales-type sub-leases) are net of $451.2 million, $91.4 million, $0.1 million and $6.7 million, respectively, and $454.2 million, $91.0 million, $1.8 million and $6.9 million of Allowance for credit losses, respectively. Refer to </w:t>
      </w:r>
      <w:hyperlink w:anchor="page29">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2020</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Income from sales-type and direct financing leases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290,146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224,252</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70,377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12,843</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Golf revenues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255,001</w:t>
            </w:r>
          </w:p>
        </w:tc>
      </w:tr>
      <w:tr>
        <w:trPr>
          <w:trHeight w:val="236"/>
        </w:trPr>
        <w:tc>
          <w:tcPr>
            <w:tcW w:w="7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7,015</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expenses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149,508</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acquisition expenses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166,980</w:t>
            </w:r>
          </w:p>
        </w:tc>
      </w:tr>
      <w:tr>
        <w:trPr>
          <w:trHeight w:val="236"/>
        </w:trPr>
        <w:tc>
          <w:tcPr>
            <w:tcW w:w="7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(77,048)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(76,093)</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(39,059)</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272,583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(21,611)</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(loss) per common share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56"/>
        </w:trPr>
        <w:tc>
          <w:tcPr>
            <w:tcW w:w="7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Weighted average number of shares of common stock outstanding</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536,480,505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465,177,425</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544,801,802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465,177,425</w:t>
            </w:r>
          </w:p>
        </w:tc>
      </w:tr>
      <w:tr>
        <w:trPr>
          <w:trHeight w:val="257"/>
        </w:trPr>
        <w:tc>
          <w:tcPr>
            <w:tcW w:w="7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269,801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(24,012)</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(53,138)</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common stockholders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(77,150)</w:t>
            </w:r>
          </w:p>
        </w:tc>
      </w:tr>
      <w:tr>
        <w:trPr>
          <w:trHeight w:val="21"/>
        </w:trPr>
        <w:tc>
          <w:tcPr>
            <w:tcW w:w="7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7,817,582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7,965,183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9"/>
              </w:rPr>
              <w:t>Cumulative effect of adoption of ASC 326</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(309,362)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199,877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($0.2975 per common</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loss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(53,138)</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8,018,568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7,642,568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7,724,031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272,099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($0.3300 per common</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3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9,364,294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9,521,559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9,599,692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b w:val="1"/>
                <w:bCs w:val="1"/>
                <w:color w:val="auto"/>
              </w:rPr>
              <w:t>Three Months Ended March 31,</w:t>
            </w:r>
          </w:p>
        </w:tc>
        <w:tc>
          <w:tcPr>
            <w:tcW w:w="82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8"/>
                <w:szCs w:val="18"/>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272,099</w:t>
            </w:r>
          </w:p>
        </w:tc>
        <w:tc>
          <w:tcPr>
            <w:tcW w:w="100" w:type="dxa"/>
            <w:vAlign w:val="bottom"/>
          </w:tcPr>
          <w:p>
            <w:pPr>
              <w:spacing w:after="0"/>
              <w:rPr>
                <w:sz w:val="19"/>
                <w:szCs w:val="19"/>
                <w:color w:val="auto"/>
              </w:rPr>
            </w:pPr>
          </w:p>
        </w:tc>
        <w:tc>
          <w:tcPr>
            <w:tcW w:w="1200" w:type="dxa"/>
            <w:vAlign w:val="bottom"/>
          </w:tcPr>
          <w:p>
            <w:pPr>
              <w:jc w:val="right"/>
              <w:ind w:right="101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(22,065)</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060" w:type="dxa"/>
            <w:vAlign w:val="bottom"/>
          </w:tcPr>
          <w:p>
            <w:pPr>
              <w:ind w:left="440"/>
              <w:spacing w:after="0"/>
              <w:rPr>
                <w:sz w:val="20"/>
                <w:szCs w:val="20"/>
                <w:color w:val="auto"/>
              </w:rPr>
            </w:pPr>
            <w:r>
              <w:rPr>
                <w:rFonts w:ascii="Arial" w:cs="Arial" w:eastAsia="Arial" w:hAnsi="Arial"/>
                <w:sz w:val="18"/>
                <w:szCs w:val="18"/>
                <w:color w:val="auto"/>
              </w:rPr>
              <w:t>Non-cash leasing and financing adjustments</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(28,134)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2,924</w:t>
            </w:r>
          </w:p>
        </w:tc>
      </w:tr>
      <w:tr>
        <w:trPr>
          <w:trHeight w:val="229"/>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29"/>
        </w:trPr>
        <w:tc>
          <w:tcPr>
            <w:tcW w:w="706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29"/>
        </w:trPr>
        <w:tc>
          <w:tcPr>
            <w:tcW w:w="7060" w:type="dxa"/>
            <w:vAlign w:val="bottom"/>
          </w:tcPr>
          <w:p>
            <w:pPr>
              <w:ind w:left="440"/>
              <w:spacing w:after="0"/>
              <w:rPr>
                <w:sz w:val="20"/>
                <w:szCs w:val="20"/>
                <w:color w:val="auto"/>
              </w:rPr>
            </w:pPr>
            <w:r>
              <w:rPr>
                <w:rFonts w:ascii="Arial" w:cs="Arial" w:eastAsia="Arial" w:hAnsi="Arial"/>
                <w:sz w:val="18"/>
                <w:szCs w:val="18"/>
                <w:color w:val="auto"/>
              </w:rPr>
              <w:t>Change in allowance for credit losses</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149,508</w:t>
            </w:r>
          </w:p>
        </w:tc>
      </w:tr>
      <w:tr>
        <w:trPr>
          <w:trHeight w:val="230"/>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30"/>
        </w:trPr>
        <w:tc>
          <w:tcPr>
            <w:tcW w:w="7060" w:type="dxa"/>
            <w:vAlign w:val="bottom"/>
          </w:tcPr>
          <w:p>
            <w:pPr>
              <w:ind w:left="440"/>
              <w:spacing w:after="0"/>
              <w:rPr>
                <w:sz w:val="20"/>
                <w:szCs w:val="20"/>
                <w:color w:val="auto"/>
              </w:rPr>
            </w:pPr>
            <w:r>
              <w:rPr>
                <w:rFonts w:ascii="Arial" w:cs="Arial" w:eastAsia="Arial" w:hAnsi="Arial"/>
                <w:sz w:val="18"/>
                <w:szCs w:val="18"/>
                <w:color w:val="auto"/>
              </w:rPr>
              <w:t>Accrued interest</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31,009</w:t>
            </w:r>
          </w:p>
        </w:tc>
      </w:tr>
      <w:tr>
        <w:trPr>
          <w:trHeight w:val="229"/>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(69,864)</w:t>
            </w:r>
          </w:p>
        </w:tc>
      </w:tr>
      <w:tr>
        <w:trPr>
          <w:trHeight w:val="230"/>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137,446</w:t>
            </w:r>
          </w:p>
        </w:tc>
      </w:tr>
      <w:tr>
        <w:trPr>
          <w:trHeight w:val="250"/>
        </w:trPr>
        <w:tc>
          <w:tcPr>
            <w:tcW w:w="7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(847,035)</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loans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(50,343)</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loans</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Capitalized transaction costs</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short-term investments</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property and equipment</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(839,579)</w:t>
            </w:r>
          </w:p>
        </w:tc>
      </w:tr>
      <w:tr>
        <w:trPr>
          <w:trHeight w:val="250"/>
        </w:trPr>
        <w:tc>
          <w:tcPr>
            <w:tcW w:w="7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Proceeds from offering of common stock, net</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199,877</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February 2020 Senior Unsecured Notes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2,500,000</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Redemption of Second Lien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(537,538)</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(51,675)</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(178,008)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(137,133)</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provided by financing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(181,598)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1,971,324</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1,269,191</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2,371,084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69,704</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38,784</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not paid</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139,413</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17,341</w:t>
            </w:r>
          </w:p>
        </w:tc>
        <w:tc>
          <w:tcPr>
            <w:tcW w:w="1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 and co-issuer of the Senior Unsecured Notes.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“Eldorado/Caesars Merger” refers to the merger consummated on July 20, 2020 under an Agreement and Plan of Merger pursuant to which a subsidiary of Eldorado merged with and into Pre-Merger Caesars, with Pre-Merger Caesars surviving as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wholly owned subsidiary of Caesars (which changed its name from Eldorado in connection with the closing of the Eldorado/Caesars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facility in Joliet, Illinois,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“Lease Agreements” refer collectively to the Caesars Lease Agreements, the Penn National Lease Agreements, the Hard Rock Cincinnati Lease Agreement, the Century Portfolio Lease Agreement and the JACK Cleveland/Thistledown Lease Agreement, unless the context otherwise requires.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or “MTA” refers to the master transaction agreement with Eldorado relating to the Eldorado Transaction.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facility in Joliet, Illinois) leased to Pre-Merger Caesars prior to the consummation of the Eldorado Transaction, as amended from time to time, which was replaced by the Regional Master Lease Agreement upon the consummation of the Eldorado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facility in Joliet, Illinois) leased to Caesars, as amended from time to time, from and after the consummation of the Eldorado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Maryland corporation that is primarily engaged in the business of owning and acquiring gaming, hospitality and entertainment destinations, subject to long-term triple net leases. As of March 31, 2021, our national, geographically diverse real estate portfolio consisted of 28 market-leading properties, including Caesars Palace Las Vegas and Harrah’s Las Vegas. Our properties are leased to, and our tenants are, subsidiaries of Caesars, Penn National, Hard Rock, Century Casinos and JACK Entertainment. We also own and operate four championship golf courses located near certain of our properties.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state governments and/or regulatory authorities issuing various directives, mandates, orders or similar actions, which resulted in temporary closures of our tenants’ operations at all of our properties. Our golf course business was also impacted, with all four courses temporarily ceasing operations in March 2020 until their reopening in early to mid-May 2020 and, following such reopening, have continued to operate in compliance with applicable regulations and restrictions. Although all of our leased properties and our golf courses are currently open, they remain subject to any current or future operating limitations or closures imposed by state and local governments and/or regulatory authorities. As a result, our tenants’ facilities at our properties are currently generally operating at reduced capacity and subject to additional operating restrictions, and we cannot predict how long they will be required to operate subject to such operating restrictions, or whether they will be subject to additional restrictions or forced to close again in the future. Our tenants have experienced additional challenges due to the impact of the COVID-19 pandemic, including, for example, cancellations and reductions in future events and reservations and satisfaction of capital expenditure and other contractual obligations. Due to these closures, operating restrictions and other factors, our tenants’ operations, liquidity and financial performance have been adversely affected, and the ongoing nature of the pandemic may further impact our tenants’ businesses and, accordingly, our business and financial performance.</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of our tenants have fulfilled their rent obligations through April 2021 and we continue to engage with our tenants in connection with the ongoing COVID-19 pandemic and its impact on their businesses, including with respect to their operations, liquidity, financial performance and contingency planning.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will depend on future developments, which are highly uncertain and cannot be predicted with confidence, including the scope, severity and duration of the pandemic, the actions taken to contain the pandemic or mitigate its impact, including the availability, distribution, public acceptance and efficacy of one or more approved vaccines, new or mutated strains of COVID-19 (including vaccine-resistant strains) or a similar virus, the direct and indirect economic effects of the pandemic and containment measures on our tenants, the length of time our tenants’ operations at our properties remain restricted or are required to close again in the future, our tenants’ financial performance and any future operating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17"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w:t>
      </w:r>
      <w:hyperlink r:id="rId18">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130" w:lineRule="exact"/>
        <w:rPr>
          <w:sz w:val="20"/>
          <w:szCs w:val="20"/>
          <w:color w:val="auto"/>
        </w:rPr>
      </w:pPr>
    </w:p>
    <w:p>
      <w:pPr>
        <w:ind w:right="360"/>
        <w:spacing w:after="0" w:line="438" w:lineRule="auto"/>
        <w:rPr>
          <w:sz w:val="20"/>
          <w:szCs w:val="20"/>
          <w:color w:val="auto"/>
        </w:rPr>
      </w:pPr>
      <w:r>
        <w:rPr>
          <w:rFonts w:ascii="Arial" w:cs="Arial" w:eastAsia="Arial" w:hAnsi="Arial"/>
          <w:sz w:val="18"/>
          <w:szCs w:val="18"/>
          <w:color w:val="auto"/>
        </w:rPr>
        <w:t xml:space="preserve">All adjustments (consisting of normal recurring accruals) considered necessary for a fair statement of results for the interim period have been included.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months ended March 31, 2021 are not necessarily indicative of the results that may be expected for the year ending December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 balances and transactions have been eliminated in consolidation. We consolidate all subsidiaries in which we have a controlling financial interest and VIEs for which we or one of our consolidated subsidiaries is the primary beneficiary.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2020, restricted cash was solely related to funds held in escrow from the February 2020 Senior Unsecured Notes offering, which were subsequently used to consummate the Eldorado Transaction. The following table provides a reconciliation of cash, cash equivalents and restricted cash reported on the Balance Sheet to the total of the same such amounts presented in the Statement of Cash Flows.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2021</w:t>
            </w:r>
          </w:p>
        </w:tc>
        <w:tc>
          <w:tcPr>
            <w:tcW w:w="240" w:type="dxa"/>
            <w:vAlign w:val="bottom"/>
          </w:tcPr>
          <w:p>
            <w:pPr>
              <w:spacing w:after="0"/>
              <w:rPr>
                <w:sz w:val="16"/>
                <w:szCs w:val="16"/>
                <w:color w:val="auto"/>
              </w:rPr>
            </w:pPr>
          </w:p>
        </w:tc>
        <w:tc>
          <w:tcPr>
            <w:tcW w:w="1480" w:type="dxa"/>
            <w:vAlign w:val="bottom"/>
          </w:tcPr>
          <w:p>
            <w:pPr>
              <w:jc w:val="right"/>
              <w:ind w:right="273"/>
              <w:spacing w:after="0"/>
              <w:rPr>
                <w:sz w:val="20"/>
                <w:szCs w:val="20"/>
                <w:color w:val="auto"/>
              </w:rPr>
            </w:pPr>
            <w:r>
              <w:rPr>
                <w:rFonts w:ascii="Arial" w:cs="Arial" w:eastAsia="Arial" w:hAnsi="Arial"/>
                <w:sz w:val="15"/>
                <w:szCs w:val="15"/>
                <w:b w:val="1"/>
                <w:bCs w:val="1"/>
                <w:color w:val="auto"/>
              </w:rPr>
              <w:t>March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369,052</w:t>
            </w:r>
          </w:p>
        </w:tc>
      </w:tr>
      <w:tr>
        <w:trPr>
          <w:trHeight w:val="229"/>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2,002,032</w:t>
            </w:r>
          </w:p>
        </w:tc>
      </w:tr>
      <w:tr>
        <w:trPr>
          <w:trHeight w:val="248"/>
        </w:trPr>
        <w:tc>
          <w:tcPr>
            <w:tcW w:w="7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2,371,084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with an original maturity of greater than three months and less than one year from the date of purchase are considered short-term investments and are stated at fair value.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available-for-sale securities. The related income is recognized as interest income in our Statement of Operations. We had $20.0 million of short-term investments as of December 31, 2020. We did not have any short-term investments as of March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73"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have determined that the land and building components of the Las Vegas Master Lease Agreement, the Regional Master Lease Agreement (excluding the MTA Properties (as defined in </w:t>
      </w:r>
      <w:hyperlink w:anchor="page15">
        <w:r>
          <w:rPr>
            <w:rFonts w:ascii="Arial" w:cs="Arial" w:eastAsia="Arial" w:hAnsi="Arial"/>
            <w:sz w:val="18"/>
            <w:szCs w:val="18"/>
            <w:u w:val="single" w:color="auto"/>
            <w:color w:val="0000FF"/>
          </w:rPr>
          <w:t>Note 3 - Property Transactions</w:t>
        </w:r>
      </w:hyperlink>
      <w:r>
        <w:rPr>
          <w:rFonts w:ascii="Arial" w:cs="Arial" w:eastAsia="Arial" w:hAnsi="Arial"/>
          <w:sz w:val="18"/>
          <w:szCs w:val="18"/>
          <w:color w:val="auto"/>
        </w:rPr>
        <w:t>)), the Joliet Lease Agreement, the Margaritaville Lease Agreement, the Greektown Lease Agreement, the Hard Rock Cincinnati Lease Agreement and the Century Portfolio Lease Agreement meet the definition of a sales-type lease under ASC 842.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 accounting for our investments in leases - sales-type under ASC 842.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38"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Upon the consummation of the Eldorado Transaction on July 20, 2020, we reassessed the classification of the Caesars Lease Agreements and determined that the MTA Properties Acquisitions (as defined in </w:t>
      </w:r>
      <w:hyperlink w:anchor="page15">
        <w:r>
          <w:rPr>
            <w:rFonts w:ascii="Arial" w:cs="Arial" w:eastAsia="Arial" w:hAnsi="Arial"/>
            <w:sz w:val="16"/>
            <w:szCs w:val="16"/>
            <w:u w:val="single" w:color="auto"/>
            <w:color w:val="0000FF"/>
          </w:rPr>
          <w:t>Note 3 - Property Transactions</w:t>
        </w:r>
      </w:hyperlink>
      <w:r>
        <w:rPr>
          <w:rFonts w:ascii="Arial" w:cs="Arial" w:eastAsia="Arial" w:hAnsi="Arial"/>
          <w:sz w:val="16"/>
          <w:szCs w:val="16"/>
          <w:color w:val="auto"/>
        </w:rPr>
        <w:t>) meet the definition of a separate contract under ASC 842. In accordance with this guidance, we are required to separately assess the lease classification apart from the other assets in the Regional Master Lease Agreement. We determined that the land and building components of the MTA Properties meet the definition of a sales-type lease and, since we purchased and leased the assets back to Caesars, control is not considered to have transferred to us under GAAP. Accordingly, the MTA Properties are accounted for as Investments in leases - financing receivables on our Balance Sheet, net of allowance for credit losses, in accordance with ASC 310.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sales-type leases, direct financing leases and lease financing receivables on an effective interest basis at a constant rate of return over the terms of the applicable leases. As a result, the cash payments accounted for under sales-type leases, direct financing leases and lease financing receivables will not equal income from our Lease Agreements. Rather, a portion of the cash rent we receive is recorded as Income from sales-type and direct financing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ASC 840, we determined that the land component of Caesars Palace Las Vegas was greater than 25% of the overall fair value of the combined land and building components. At lease inception, the land was determined to be an operating lease and we recorded the related income on a straight-line basis over the lease term. The amount of annual minimum lease payments attributable to the land element after deducting executory costs, including any profit thereon, was determined by applying the lessee’s incremental borrowing rate to the value of the land. Revenue from this lease was recorded as Income from operating leases in our Statement of Operations. Further, upon adoption of ASC 842 on January 1, 2019, we made an accounting policy election to use a package of practical expedients that, among other things, allow us to not reassess prior lease classifications or initial direct costs for leases that existed as of the balance sheet date. Upon the consummation of the Eldorado Transaction on July 20, 2020, the land component of Caesars Palace Las Vegas was reassessed for lease classification and determined to be a sales-type lease. Accordingly, subsequent to July 20, 2020, the income is recognized as Income from sales-type leases and we no longer have any leases classified as operating or direct financing and, as such, there is no longer any income recorded through Income from operating leases.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or direct financing leases are included in the balance of the net investment in lease. Such amounts will be recognized as a reduction to Income from investments in leases over the life of the lease using the effective interest method. Costs that would have been incurred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regardless of whether the lease was signed, such as legal fees and certain other third-party fees, are expensed as incurred to Transaction and acquisition expenses in our Statement of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“Credit Losses” (“ASC 326”), which requires that we measure and record current expected credit losses (“CECL”) for the majority of our investments, the scope of which includes our Investments in leases - sales-type, Investments in leases - financing receivables and Investments in loans.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are unable to use our historical data to estimate losses as we have no loss history to date.</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sales-type,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estimate a CECL allowance related to contractual commitments to extend credit, such as future funding commitments under a revolving credit facility or delayed draw term loan. The CECL allowance related to these future commitments is recorded as a component of Other liabilities on our Balance Sheet.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three months ended March 31, 2021.</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29">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8">
        <w:r>
          <w:rPr>
            <w:rFonts w:ascii="Arial" w:cs="Arial" w:eastAsia="Arial" w:hAnsi="Arial"/>
            <w:sz w:val="18"/>
            <w:szCs w:val="18"/>
            <w:u w:val="single" w:color="auto"/>
            <w:color w:val="0000FF"/>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loss on our balance sheet with a corresponding change in Unrealized gain (loss) on cash flows hedges within Other comprehensive income on our Statement of Operations.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Caesars is the guarantor of all the lease payment obligations of the tenants under the respective leases of the properties that it leases from us. Revenue from the Caesars Lease Agreements represented 86% and 82% of our lease revenues for the three months ended March 31, 2021 and 2020, respectively. Additionally, our properties on the Las Vegas Strip generated approximately 32% and 29% of our lease revenue for the three months ended March 31, 2021 and 2020, respectively. Other than having a single tenant from which we derive and will continue to derive a substantial portion of our revenue and our concentration in the Las Vegas market, we do not believe there are any other significant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2021,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Acquisition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 2021, we entered into definitive agreements to acquire from Las Vegas Sands Corp. (“LVS”) all of the land and real estate assets associated with the Venetian Resort Las Vegas and the Sands Expo and Convention Center, located in Las Vegas, Nevada (collectively, the “Venetian Resort”), for $4.0 billion in cash (the “Venetian PropCo Acquisition”), and an affiliate of certain funds managed by affiliates of Apollo Global Management, Inc. (the “OpCo Buyer”), agreed to acquire the operating assets of the Venetian Resort for $2.25 billion, subject to certain post-closing adjustments, of which $1.2 billion is in the form of a secured term loan from LVS and the remainder is payable in cash (together with the Venetian PropCo Acquisition, the “Venetian Acquisition”). Simultaneous with the closing of the Venetian Acquisition, we will enter into a triple-net lease agreement for the Venetian Resort (the “Venetian Lease”) with OpCo Buyer (in such capacity, the “Venetian Tenant”). The Venetian Lease will have an initial total annual rent of $250.0 million and an initial term of 30 years, with two ten-year tenant renewal options. The annual rent will be subject to escalation equal to the greater of 2.0% and the increase in the consumer price index,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The closing of the Venetian Acquisition is subject to customary closing conditions, including regulatory approvals. We expect the Venetian Acquisition to close during the second half of 2021. However, we can provide no assurances that the Venetian Acquisition will close in the anticipated timeframe, on the contemplated terms or at all.</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LVS has agreed with the Venetian Tenant pursuant to an agreement (the “Contingent Lease Support Agreement”) to be entered into simultaneous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will be a third-party beneficiary of the Contingent Lease Support Agreement and will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will not be guaranteed by Apollo Global Management, Inc.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Southern Indiana Lease Agreement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24, 2020, in connection with the Eastern Band of Cherokee Indians’ (“EBCI”) agreement to acquire the operations of Caesars Southern Indiana from Caesars, we agreed to enter into a triple-net lease agreement with EBCI with respect to the real property associated with Caesars Southern Indiana at the closing of EBCI’s acquisition. In addition, as part of the transaction, the parties have agreed to negotiate a right of first refusal for us on the real property associated with the development of a new casino resort in Danville, Virginia. Initial total annual rent under the lease with EBCI will be $32.5 million. The lease will have an initial term of 15 years, with four 5-year tenant renewal options. The tenant’s obligations under the lease will be guaranteed by EBCI. Annual base rent payments under the Regional Master Lease Agreement will be reduced by $32.5 million upon completion of EBCI’s acquisition of the operations of Caesars Southern Indiana and the execution of the lease between us and the tenant. The property is expected to retain the Caesars brand name and to continue to be a part of the Caesars Rewards loyalty program in accordance with the terms of a licensing agreement negotiated between EBCI and Caesars. The transaction is subject to customary regulatory and other approvals (and, with respect to the right of first refusal, negotiation of definitive documentation and applicable regulatory and other [governmental] approvals) and is expected to be completed in the third quarter of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18, 2020, we and Caesars closed on the previously announced transaction to sell Bally’s Atlantic City Hotel &amp; Casino for $25.0 million to Bally’s Corporation. Pursuant to the agreement, we received $19.0 million of the proceeds from the sale and Caesars received $6.0 million of the proceeds. We did not recognize any gain or loss on the sale of Bally’s Atlantic City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we and Caesars closed on the previously announced transaction to sell Harrah’s Reno to a third party at a purchase price of $41.5 million. Pursuant to the agreement, we received $31.1 million of the proceeds of the sale and Caesars received $10.4 million of the proceeds. We did not recognize any gain or loss on the sale of Harrah’s Reno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Mortgage Loan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18, 2020, we entered into a mortgage loan agreement with a subsidiary of Caesars (the “Forum Convention Center Borrower”) pursuant to which we loaned $400.0 million to the Forum Convention Center Borrower for a term of five years, with such loan secured by, among other things, a first priority fee mortgage on the Caesars Forum Convention Center (the “Forum Convention Center Mortgage Loan”).</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interest rate on the Forum Convention Center Mortgage Loan is initially 7.7% per annum, with annual interest payments subject to 2.0% annual escalation (resulting in year two annual interest of $31.4 million based on a year two interest rate of 7.854%), with interest paid monthly in cash in arrears. Except as provided below, no prepayments are permitted during the first two years of the term of the Forum Convention Center Mortgage Loan. During the third and fourth years of the term of the Forum Convention Center Mortgage Loan, the Forum Convention Center Borrower may prepay the Forum Convention Center Mortgage Loan, in each case in full but not in part, at 102% of par in year three and 101% of par in year four. During the fifth year of the term of the Forum Convention Center Mortgage Loan, the Forum Convention Center Borrower may prepay the Forum Convention Center Mortgage Loan in full but not in part at par. However, the Forum Convention Center Mortgage Loan may be prepaid at any time at par, without penalty or make-whole, in connection with our acquisition of the Caesars Forum Convention Center and an OpCo sale and conversion to an OpCo/PropCo structure, subject to our consent, which may be withheld in our sole discretion.</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Forum Convention Center Mortgage Loan is secured by a first priority mortgage on the Caesars Forum Convention Center, as well as a first priority lien on the equity interests in the Forum Convention Center Borrower, a first priority security interest in all of the Forum Convention Center Borrower’s interest in furniture, fixtures and equipment used, owned or related to the operation of the Caesars Forum Convention Center, and a first priority assignment of the Forum Convention Center Borrower’s interest in leases and rents, including a collateral assignment of the Forum Convention Center Borrower’s interest in the lease on the Caesars Forum Convention Center pursuant to which the Forum Convention Center Borrower leases the Caesars Forum Convention Center to another subsidiary of Caesars (the “Caesars Tenant”), which lease is fully subordinate to the Forum Convention Center Mortgage Loan. In addition, if the Forum Convention Center Borrower defaults on the Forum Convention Center Mortgage Loan and we take title to the Caesars Forum Convention Center, we may, at our option under certain circumstances, keep the lease with the Caesars Tenant in effect (which lease is guaranteed by Caesars and has an initial annual rent of $33.9 million, subject to annual increases equal to the greater of 2% and the annual consumer price index increase).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Convention Center Put-Call Agreement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18, 2020, concurrent with the entry into the Forum Convention Center Mortgage Loan, we and a subsidiary of Caesars amended and restated the Amended and 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Louisiana Downs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we and Caesars entered into definitive agreements to sell Harrah’s Louisiana Downs Casino for $22.0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remains subject to regulatory approval and customary closing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Chelsea Piers Mortgage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2020, we entered into an $80.0 million mortgage loan agreement (the “Chelsea Piers Mortgage Loan”) with Chelsea Piers New York (“Chelsea Piers”) secured by the Chelsea Piers complex in New York City, pursuant to which we provided (i) an initial term loan of $65.0 million and (ii) a $15.0 million delayed draw term loan at the borrowers’ election (which remained undrawn as of March 31, 2021), subject to certain conditions. The Chelsea Piers Mortgage Loan bears interest at a rate of 7.0% per annum, with a term of 7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Consummation of the Eldorado Transaction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20, 2020, concurrent with the consummation of the Eldorado/Caesars Merger, we consummated the Eldorado Transaction contemplated by the MTA and the MTA Property Purchase Agreements (as defined below). We funded the Eldorado Transaction with a combination of cash on hand, the proceeds from the physical settlement, on June 2, 2020, of the forward sale agreements entered into in June 2019 and the proceeds from our February 2020 Senior Unsecured Notes offering. Any references to Caesars in the subsequent transaction discussion refer to the combined Eldorado/Caesars subsequent to the consummation of the Eldorado/Caesars Merger.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Eldorado Transaction includes the consummation of the transactions contemplated by the following agreements:</w:t>
      </w:r>
    </w:p>
    <w:p>
      <w:pPr>
        <w:spacing w:after="0" w:line="171" w:lineRule="exact"/>
        <w:rPr>
          <w:sz w:val="20"/>
          <w:szCs w:val="20"/>
          <w:color w:val="auto"/>
        </w:rPr>
      </w:pPr>
    </w:p>
    <w:p>
      <w:pPr>
        <w:jc w:val="both"/>
        <w:ind w:left="740" w:hanging="368"/>
        <w:spacing w:after="0" w:line="289"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the MTA Properties. </w:t>
      </w:r>
      <w:r>
        <w:rPr>
          <w:rFonts w:ascii="Arial" w:cs="Arial" w:eastAsia="Arial" w:hAnsi="Arial"/>
          <w:sz w:val="16"/>
          <w:szCs w:val="16"/>
          <w:color w:val="auto"/>
        </w:rPr>
        <w:t>We acquired all of the land and real estate assets associated with Harrah’s New Orleans, Harrah’s Laughlin</w:t>
      </w:r>
      <w:r>
        <w:rPr>
          <w:rFonts w:ascii="Arial" w:cs="Arial" w:eastAsia="Arial" w:hAnsi="Arial"/>
          <w:sz w:val="16"/>
          <w:szCs w:val="16"/>
          <w:i w:val="1"/>
          <w:iCs w:val="1"/>
          <w:color w:val="auto"/>
        </w:rPr>
        <w:t xml:space="preserve"> </w:t>
      </w:r>
      <w:r>
        <w:rPr>
          <w:rFonts w:ascii="Arial" w:cs="Arial" w:eastAsia="Arial" w:hAnsi="Arial"/>
          <w:sz w:val="16"/>
          <w:szCs w:val="16"/>
          <w:color w:val="auto"/>
        </w:rPr>
        <w:t>and Harrah’s Atlantic City (collectively, the “MTA Properties”) for an aggregate purchase price of $1,823.5 million (the “MTA Properties Acquisitions”). The Regional Master Lease Agreement was amended to, among other things, include each such property, with initial aggregate total annual rent payable to us increased by $154.0 million to $621.7 million, and to extend the initial term to July 2035 and to adjust certain minimum capital expenditure requirements and other related terms and conditions as a result of the MTA Properties being included in the Regional Master Lease Agreement as further described in “—Lease Amendments and Terminations” below. We completed the MTA Properties Acquisitions pursuant to the following agreements: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(“Harrah’s New Orleans”) for a cash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spacing w:after="0" w:line="290" w:lineRule="auto"/>
        <w:rPr>
          <w:sz w:val="20"/>
          <w:szCs w:val="20"/>
          <w:color w:val="auto"/>
        </w:rPr>
      </w:pPr>
      <w:r>
        <w:rPr>
          <w:rFonts w:ascii="Arial" w:cs="Arial" w:eastAsia="Arial" w:hAnsi="Arial"/>
          <w:sz w:val="16"/>
          <w:szCs w:val="16"/>
          <w:color w:val="auto"/>
        </w:rPr>
        <w:t>purchase price of $789.5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 collectively with the Harrah’s New Orleans Purchase Agreement and the Harrah’s Atlantic City Purchase Agreement, the “MTA Property Purchase Agreements”) pursuant to which we agreed to acquire, and Eldorado agreed to cause to be sold, all of the equity interests in a newly formed entity that acquired the land and real property improvements associated with Harrah’s Laughlin Hotel &amp; Casino in Laughlin, Nevada for a cash purchase price of $434.8 million. Each of our call options on the MTA Properties terminated upon the closing of the MTA Properties Acquisitions.</w:t>
      </w:r>
    </w:p>
    <w:p>
      <w:pPr>
        <w:spacing w:after="0" w:line="111" w:lineRule="exact"/>
        <w:rPr>
          <w:sz w:val="20"/>
          <w:szCs w:val="20"/>
          <w:color w:val="auto"/>
        </w:rPr>
      </w:pPr>
    </w:p>
    <w:p>
      <w:pPr>
        <w:jc w:val="both"/>
        <w:ind w:left="740"/>
        <w:spacing w:after="0" w:line="293" w:lineRule="auto"/>
        <w:rPr>
          <w:sz w:val="20"/>
          <w:szCs w:val="20"/>
          <w:color w:val="auto"/>
        </w:rPr>
      </w:pPr>
      <w:r>
        <w:rPr>
          <w:rFonts w:ascii="Arial" w:cs="Arial" w:eastAsia="Arial" w:hAnsi="Arial"/>
          <w:sz w:val="16"/>
          <w:szCs w:val="16"/>
          <w:color w:val="auto"/>
        </w:rPr>
        <w:t>On July 20, 2020, in connection with the completion of the purchase of Harrah’s New Orleans, the tenant’s leasehold interest in that certain Second Amended and Restated Lease Agreement (the “HNO Ground Lease”) dated as of April 3, 2020, by and among Jazz Casino Company, L.L.C., a Louisiana limited liability company (“JCC”), New Orleans Building Corporation (“NOBC”) and the City of New Orleans, was assigned by JCC to us. The HNO Ground Lease sets forth the terms and conditions pursuant to which we lease from NOBC a portion of the land upon which Harrah’s New Orleans is located. Simultaneous with entering into the assignment of the HNO Ground Lease, we subleased our interest in the HNO Ground Lease to Caesars in accordance with the terms and conditions of the Regional Master Lease Agreement.</w:t>
      </w:r>
    </w:p>
    <w:p>
      <w:pPr>
        <w:spacing w:after="0" w:line="110" w:lineRule="exact"/>
        <w:rPr>
          <w:sz w:val="20"/>
          <w:szCs w:val="20"/>
          <w:color w:val="auto"/>
        </w:rPr>
      </w:pPr>
    </w:p>
    <w:p>
      <w:pPr>
        <w:jc w:val="both"/>
        <w:ind w:left="740"/>
        <w:spacing w:after="0" w:line="270" w:lineRule="auto"/>
        <w:rPr>
          <w:sz w:val="20"/>
          <w:szCs w:val="20"/>
          <w:color w:val="auto"/>
        </w:rPr>
      </w:pPr>
      <w:r>
        <w:rPr>
          <w:rFonts w:ascii="Arial" w:cs="Arial" w:eastAsia="Arial" w:hAnsi="Arial"/>
          <w:sz w:val="17"/>
          <w:szCs w:val="17"/>
          <w:color w:val="auto"/>
        </w:rPr>
        <w:t>Pursuant to the Regional Master Lease Agreement, Caesars is required to perform our obligations as tenant under the HNO Ground Lease, which include the obligation to construct a new hotel intended to be located on the ground-leased premises and to expend at least $325.0 million in connection with the construction of such hotel. The HNO Ground Lease contains certain rights in our favor should Caesars fail to perform our obligations thereunder, including providing us with additional cure periods to cure defaults. If we are unable to cure a Caesars default during any such additional cure period, then, subject to certain conditions more particularly set forth in the HNO Ground Lease, we will have a further additional period (up to 12-24 months) to seek to terminate Caesars as tenant and to enter into a replacement sublease with a new operator with respect to the leased premises. If we fail to cure such default at the end of such additional cure period, NOBC would have the right to exercise remedies, including termination of the HNO Ground Lease, in which case we would no longer have any right, title or interest to the leased premises or the improvements located thereon.</w:t>
      </w:r>
    </w:p>
    <w:p>
      <w:pPr>
        <w:spacing w:after="0" w:line="127" w:lineRule="exact"/>
        <w:rPr>
          <w:sz w:val="20"/>
          <w:szCs w:val="20"/>
          <w:color w:val="auto"/>
        </w:rPr>
      </w:pPr>
    </w:p>
    <w:p>
      <w:pPr>
        <w:jc w:val="both"/>
        <w:ind w:left="740" w:hanging="368"/>
        <w:spacing w:after="0" w:line="270"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Creation of Las Vegas Master Lease. </w:t>
      </w:r>
      <w:r>
        <w:rPr>
          <w:rFonts w:ascii="Arial" w:cs="Arial" w:eastAsia="Arial" w:hAnsi="Arial"/>
          <w:sz w:val="17"/>
          <w:szCs w:val="17"/>
          <w:color w:val="auto"/>
        </w:rPr>
        <w:t>In consideration of a payment by us to (i) the tenant under the CPLV Lease Agreement of $1,189.9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“CPLV Lease Amendment Payment”) and (ii) the tenant under the HLV Lease Agreement of $213.8 million (the “HLV Lease Amendment Payment”), upon the consummation of the Eldorado 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previously payable to us with respect to the Harrah’s Las Vegas property by $15.0 million (the “HLV Additional Rent Acquisition”) under the Las Vegas Master Lease Agreement and (D) to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126" w:lineRule="exact"/>
        <w:rPr>
          <w:rFonts w:ascii="Arial" w:cs="Arial" w:eastAsia="Arial" w:hAnsi="Arial"/>
          <w:sz w:val="17"/>
          <w:szCs w:val="17"/>
          <w:color w:val="auto"/>
        </w:rPr>
      </w:pPr>
    </w:p>
    <w:p>
      <w:pPr>
        <w:jc w:val="both"/>
        <w:ind w:left="740" w:hanging="368"/>
        <w:spacing w:after="0" w:line="288"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Lease Amendments and Terminations. </w:t>
      </w:r>
      <w:r>
        <w:rPr>
          <w:rFonts w:ascii="Arial" w:cs="Arial" w:eastAsia="Arial" w:hAnsi="Arial"/>
          <w:sz w:val="16"/>
          <w:szCs w:val="16"/>
          <w:color w:val="auto"/>
        </w:rPr>
        <w:t>Each of the Caesars Lease Agreements was amended to, among other things, (i) remove the rent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floors, which coverage floors served to reduce the rent escalators under such leases in the event that the “EBITDAR to Rent Ratio” (as defined in the applicable Caesars Lease Agreements) coverage was below the stated floor and (ii) extend the term of each such lease by such additional period of time as necessary to ensure that each lease will have a full 15-year initial lease term following the consummation of the Eldorado Transaction. The Regional Master Lease Agreement was also amended to, among other things: (a) permit the tenant under the Regional Master Lease Agreement to cause facilities subject to the Regional Master Lease Agreement that in the aggregate represent up to five percent of the aggregate EBITDAR of (A) all of the facilities under such Regional Master Lease Agreement and (B) the Harrah’s Joliet facility, for the 2018 fiscal year (defined as the “2018 EBITDAR Pool” in the Regional Master Lease Agreement, without giving effect to any increase in the 2018 EBITDAR Pool as a result of a facility being added to the Regional Master Lease Agreement) to be sold (whereby the tenant and landlord under the Regional Master Lease Agreement would sell the operations and real estate,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spacing w:after="0" w:line="287" w:lineRule="auto"/>
        <w:rPr>
          <w:sz w:val="20"/>
          <w:szCs w:val="20"/>
          <w:color w:val="auto"/>
        </w:rPr>
      </w:pPr>
      <w:r>
        <w:rPr>
          <w:rFonts w:ascii="Arial" w:cs="Arial" w:eastAsia="Arial" w:hAnsi="Arial"/>
          <w:sz w:val="16"/>
          <w:szCs w:val="16"/>
          <w:color w:val="auto"/>
        </w:rPr>
        <w:t>respectively, with respect to such facility), provided, among other things, that (1) we and Caesars mutually agree to the split of proceeds from such sales, (2) such sales do not result in any impairment(s)/asset write down(s) by us, (3) rent under the Regional Master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Regional Master Lease Agreement may only sell such properties if certain terms and conditions are met, including that replacement tenants meet certain criteria provided in the Regional Master Lease Agreement; and (c) require that the tenant under the Regional Master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18" w:lineRule="exact"/>
        <w:rPr>
          <w:sz w:val="20"/>
          <w:szCs w:val="20"/>
          <w:color w:val="auto"/>
        </w:rPr>
      </w:pPr>
    </w:p>
    <w:p>
      <w:pPr>
        <w:jc w:val="both"/>
        <w:ind w:left="740"/>
        <w:spacing w:after="0" w:line="291" w:lineRule="auto"/>
        <w:rPr>
          <w:sz w:val="20"/>
          <w:szCs w:val="20"/>
          <w:color w:val="auto"/>
        </w:rPr>
      </w:pPr>
      <w:r>
        <w:rPr>
          <w:rFonts w:ascii="Arial" w:cs="Arial" w:eastAsia="Arial" w:hAnsi="Arial"/>
          <w:sz w:val="16"/>
          <w:szCs w:val="16"/>
          <w:color w:val="auto"/>
        </w:rPr>
        <w:t>Caesars has executed new guaranties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and (ii) the performance when due of all other covenants, agreements and requirements to be performed and satisfied by the tenants under the Caesars Lease Agreements.</w:t>
      </w:r>
    </w:p>
    <w:p>
      <w:pPr>
        <w:spacing w:after="0" w:line="112" w:lineRule="exact"/>
        <w:rPr>
          <w:sz w:val="20"/>
          <w:szCs w:val="20"/>
          <w:color w:val="auto"/>
        </w:rPr>
      </w:pPr>
    </w:p>
    <w:p>
      <w:pPr>
        <w:jc w:val="both"/>
        <w:ind w:left="740"/>
        <w:spacing w:after="0" w:line="275" w:lineRule="auto"/>
        <w:rPr>
          <w:sz w:val="20"/>
          <w:szCs w:val="20"/>
          <w:color w:val="auto"/>
        </w:rPr>
      </w:pPr>
      <w:r>
        <w:rPr>
          <w:rFonts w:ascii="Arial" w:cs="Arial" w:eastAsia="Arial" w:hAnsi="Arial"/>
          <w:sz w:val="17"/>
          <w:szCs w:val="17"/>
          <w:color w:val="auto"/>
        </w:rPr>
        <w:t>In connection with entering into the amendments to the Caesars Lease Agreements and the Caesars Guaranties described above, we and Caesars terminated the Management and Lease Support Agreements, dated as of October 6, 2017, with respect to each of the Caesars Lease Agreements, pursuant to which, among other things, Pre-Merger Caesars previously guaranteed the tenants’ monetary obligations under the Caesars Lease Agreements and the Guaranty of Lease dated as of December 22, 2017 pursuant to which, among other things, a subsidiary of Pre-Merger Caesars guaranteed the tenant’s obligations under the HLV Lease Agreement.</w:t>
      </w:r>
    </w:p>
    <w:p>
      <w:pPr>
        <w:spacing w:after="0" w:line="122" w:lineRule="exact"/>
        <w:rPr>
          <w:sz w:val="20"/>
          <w:szCs w:val="20"/>
          <w:color w:val="auto"/>
        </w:rPr>
      </w:pPr>
    </w:p>
    <w:p>
      <w:pPr>
        <w:jc w:val="both"/>
        <w:ind w:left="740" w:hanging="368"/>
        <w:spacing w:after="0" w:line="268" w:lineRule="auto"/>
        <w:tabs>
          <w:tab w:leader="none" w:pos="73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Centaur Properties Put-Call Agreement</w:t>
      </w:r>
      <w:r>
        <w:rPr>
          <w:rFonts w:ascii="Arial" w:cs="Arial" w:eastAsia="Arial" w:hAnsi="Arial"/>
          <w:sz w:val="17"/>
          <w:szCs w:val="17"/>
          <w:color w:val="auto"/>
        </w:rPr>
        <w:t>. Prior to the consummation of the Eldorado Transaction, we were party to a right of first refusal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affiliates of Pre-Merger Caesars with respect to two gaming facilities in Indiana - Harrah’s Hoosier Park and Indiana Grand (together, the “Centaur Properties”). Upon the consummation of the Eldorado Transaction, the Second Amended and Restated Right of First Refusal Agreement between us and Pre-Merger Caesars terminated in accordance with its terms, which included the right of first refusal that we had with respect to the Centaur Properties, and we entered into a Put-Call Right Agreement with Caesars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Centaur Put-Call Agreement provides that the leaseback of the Centaur Properties will be implemented through the addition of the Centaur Properties to the Regional Master Lease Agreement.</w:t>
      </w:r>
    </w:p>
    <w:p>
      <w:pPr>
        <w:spacing w:after="0" w:line="130" w:lineRule="exact"/>
        <w:rPr>
          <w:rFonts w:ascii="Arial" w:cs="Arial" w:eastAsia="Arial" w:hAnsi="Arial"/>
          <w:sz w:val="17"/>
          <w:szCs w:val="17"/>
          <w:i w:val="1"/>
          <w:iCs w:val="1"/>
          <w:color w:val="auto"/>
        </w:rPr>
      </w:pPr>
    </w:p>
    <w:p>
      <w:pPr>
        <w:jc w:val="both"/>
        <w:ind w:left="740" w:hanging="368"/>
        <w:spacing w:after="0" w:line="279"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Amended and Restated Caesars Forum Convention Center Put-Call Agreement. </w:t>
      </w:r>
      <w:r>
        <w:rPr>
          <w:rFonts w:ascii="Arial" w:cs="Arial" w:eastAsia="Arial" w:hAnsi="Arial"/>
          <w:sz w:val="17"/>
          <w:szCs w:val="17"/>
          <w:color w:val="auto"/>
        </w:rPr>
        <w:t>Upon the consummation of the Eldorado Transaction,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A&amp;R Put-Call Right Agreement with Caesars amending and restating that certain put-call agreement related to the Caesars Forum Convention Center. In connection with the consummation of the Forum Convention Center Mortgage Loan on September 18, 2020, we further amended the agreement as described above in “—Amended and Restated Convention Center Put-Call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hanging="368"/>
        <w:spacing w:after="0" w:line="270" w:lineRule="auto"/>
        <w:tabs>
          <w:tab w:leader="none" w:pos="7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Las Vegas Strip Assets ROFR</w:t>
      </w:r>
      <w:r>
        <w:rPr>
          <w:rFonts w:ascii="Arial" w:cs="Arial" w:eastAsia="Arial" w:hAnsi="Arial"/>
          <w:sz w:val="17"/>
          <w:szCs w:val="17"/>
          <w:color w:val="auto"/>
        </w:rPr>
        <w:t>. Upon the consummation of the Eldorado Transaction, we entered into a right of first refusal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Caesars (the “Las Vegas Strip ROFR 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26" w:lineRule="exact"/>
        <w:rPr>
          <w:rFonts w:ascii="Arial" w:cs="Arial" w:eastAsia="Arial" w:hAnsi="Arial"/>
          <w:sz w:val="17"/>
          <w:szCs w:val="17"/>
          <w:color w:val="auto"/>
        </w:rPr>
      </w:pPr>
    </w:p>
    <w:p>
      <w:pPr>
        <w:jc w:val="both"/>
        <w:ind w:left="740" w:hanging="368"/>
        <w:spacing w:after="0" w:line="311" w:lineRule="auto"/>
        <w:tabs>
          <w:tab w:leader="none" w:pos="7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Upon the consummation of the Eldorado Transaction, we entered into a right of first refusal agreement with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Lease Agreement Amendment and Amended and Restated ROV Loan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16, 2020, we and JACK Entertainment entered into an amendment to the JACK Cleveland/Thistledown Lease Agreement (the “JACK Lease Agreement Amendment”), pursuant to which, among other things, we agreed to fund $18.0 million for the construction of a new gaming patio amenity at JACK Thistledown Racino, which will be leased by JACK Entertainment pursuant to the JACK Lease Agreement Amendment. In connection with the construction of the gaming patio, commencing on April 1, 2022, rent under the JACK Cleveland/Thistledown Lease Agreement (as amended by the JACK Lease Agreement Amendment) will be increased by an incremental $1.8 million. The JACK Lease Agreement Amendment also provides for relief with respect to certain existing covenants through March 31, 2022, adds an additional five years to the initial lease term, with the tenant under the JACK Cleveland/Thistledown Lease Agreement having three (rather than four) five-year renewal options as a result of such extension of the initial lease term, and provides for rent escalation to begin in 2022 rather than 2021. The JACK Lease Agreement Amendment does not provide for a reduction or deferral of the tenant’s rent obligations. The tenant’s obligations under the JACK Lease Agreement Amendment are guaranteed by Rock Ohio Ventures LLC (“Rock Ohio Ventures”). Pursuant to the Jack Lease Agreement Amendment, the relief provided thereunder is conditioned upon (i) the tenant’s timely payment of rent obligations under the JACK Cleveland/Thistledown Lease Agreement and (ii) no tenant event of default occurring under the JACK Cleveland/Thistledown Lease Agreement during the compliance period set forth in the JACK Lease Agreement Amendment.</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Simultaneously with entry into the JACK Lease Agreement Amendment, we and affiliates of Rock Ohio Ventures entered into an amendment and restatement of our existing $50.0 million term loan agreement with such affiliates of Rock Ohio Ventures (the “Amended and Restated ROV Loan”), pursuant to which, among other things, we increased our existing term loan to $70.0 million (the “ROV Term Loan”) which bears interest at a rate of 9.0% per annum (which interest, at the option of JACK Entertainment, may be paid-in-kind through April 30, 2021 with any paid-in-kind interest required to be paid in cash in eleven equal monthly installments ending March 31, 2022), and added a $25.0 million revolving credit facility (the “ROV Credit Facility”), which bears interest at a rate of LIBOR plus 2.75% per annum. A commitment fee of 0.50% per annum calculated on the unused portion of the ROV Credit Facility is payable quarterly. The Amended and Restated ROV Loan, which includes the ROV Term Loan and ROV Credit Facility, matures in January 2025 which maturity date may be extended at the borrower’s election for up to two additional years if certain conditions are satisfied. In connection with the amendment and restatement, we received additional collateral, including an additional land parcel in proximity to JACK Cleveland so that the loan is now secured by a first priority lien on substantially all gaming and non-gaming real and personal property of JACK Entertainment, including the furniture, fixtures and equipment associated with the properties. The amendment and restatement also provides the obligors with relief with respect to certain existing financial covenants through March 31, 2022. On March 26, 2021, the borrower under the ROV Term Loan elected to make a prepayment in an amount of $20.0 million, plus accrued and unpaid interest in the amount of $3.7 million, reducing the aggregate principal amount of the ROV Term Loan to $50.0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Capex Amendment to Caesars Leases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 2020, we entered into an Omnibus Amendment to Leases (the “Omnibus Amendment”) with Pre-Merger Caesars. Pursuant to the Omnibus Amendment, Caesars has been granted certain relief with respect to a portion of their capital expenditure obligations under the Caesars Lease Agreements conditioned upon (i) funding by Caesars of certain minimum capital expenditures in fiscal year 2020 (which represent a reduction of the minimum capital expenditure amounts currently set forth in the Caesars Lease Agreements), (ii) timely payment of Caesars’ rent obligations under the Caesars Lease Agreements during the compliance period set forth in the Omnibus Amendment, and (iii) no tenant event of default occurring under any of the Caesars Lease Agreements during the compliance period set forth in the Omnibus Amendment. Caesars will receive credit for certain deemed capital expenditure amounts, which credit may be used to satisfy certain of their capital expenditure obligations in the 2020, 2021 and 2022 fiscal years, provided that the foregoing conditions are satisfied. If Caesars fails to satisfy any of the foregoing conditions, Caesars will be required to satisfy the capital expenditure obligations set forth in the Caesars Lease Agreements or, in certain cases, to deposit amounts in respect thereof into a capital expenditure reserve in accordance with the Omnibus Amendment.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27, 2020, we and Caesars entered into an Amended and Restated Omnibus Amendment to Leases, which provides for a proportionate adjustment to certain relief previously granted under the Omnibus Amendment with respect to a portion of the capital expenditure obligations of Caesars under the Caesars Lease Agreements in order to account for the addition of the MTA Properties to the Regional Master Lease Agreement pursuant to the MTA Properties Acquisitions on July 20,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24, 2020, we completed the previously announced transaction to acquire the casino-entitled land and real estate and related assets of the JACK Cleveland Casino (“JACK Cleveland”), located in Cleveland, Ohio and the JACK Thistledown Racino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an initial term of 15 years, with four five-year tenant renewal options. The tenant’s obligations under the lease are guaranteed by Rock Ohio Ventures. Additionally, we made a $50.0 million loan (the “ROV Loan”) to affiliates of Rock Ohio Ventures secured by, among other things, certain non-gaming real estate assets owned by such affiliates and guaranteed by Rock Ohio Ventures. The terms of the JACK Cleveland/Thistledown Lease Agreement and the ROV Loan were subsequently amended on July 16, 2020 as described above under “— JACK Lease Agreement Amendment and Amended and Restated ROV Loan.”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our real estate portfolio consisted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23 casino assets leased on a triple net basis to our tenants, Caesars, Penn National, Hard Rock and Century Casinos, under seven separate lease agreements;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five casino assets leased on a triple net basis to our tenants, Caesars and JACK Entertainment, under two separate lease agreements;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Amended and Restated ROV Loan, Chelsea Piers Mortgage Loan and Forum Convention Center Mortgage Loan;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March 31, 2021 and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6"/>
                <w:szCs w:val="16"/>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Minimum lease payments receivable under sales-type leases </w:t>
            </w:r>
            <w:r>
              <w:rPr>
                <w:rFonts w:ascii="Arial" w:cs="Arial" w:eastAsia="Arial" w:hAnsi="Arial"/>
                <w:sz w:val="23"/>
                <w:szCs w:val="23"/>
                <w:i w:val="1"/>
                <w:iCs w:val="1"/>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45,234,219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45,500,260</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Estimated residual values of leased property (not guaranteed)</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3,342,508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3,348,174</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 sales-type leases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48,576,727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48,848,434</w:t>
            </w:r>
          </w:p>
        </w:tc>
      </w:tr>
      <w:tr>
        <w:trPr>
          <w:trHeight w:val="229"/>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Unamortized initial direct costs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23,666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23,764</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Unearned income</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(35,095,017)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(35,390,353)</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Allowance for credit losses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(454,201)</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net</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13,054,135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in leases - financing receivables, net</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2,628,422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2,618,562</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leases, net</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15,646,206</w:t>
            </w:r>
          </w:p>
        </w:tc>
      </w:tr>
      <w:tr>
        <w:trPr>
          <w:trHeight w:val="230"/>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Investments in loans, net</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515,251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536,721</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158,190</w:t>
            </w:r>
          </w:p>
        </w:tc>
      </w:tr>
      <w:tr>
        <w:trPr>
          <w:trHeight w:val="223"/>
        </w:trPr>
        <w:tc>
          <w:tcPr>
            <w:tcW w:w="2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Total real estate portfolio</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16,355,854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16,341,117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Portfolio</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components of our income from direct financing, sales-type and operating leases and lease financing receivables:</w:t>
      </w:r>
    </w:p>
    <w:p>
      <w:pPr>
        <w:spacing w:after="0" w:line="62"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751"/>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751"/>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Income from sales-type and direct financing leases, excluding contingent rent </w:t>
            </w:r>
            <w:r>
              <w:rPr>
                <w:rFonts w:ascii="Arial" w:cs="Arial" w:eastAsia="Arial" w:hAnsi="Arial"/>
                <w:sz w:val="23"/>
                <w:szCs w:val="23"/>
                <w:i w:val="1"/>
                <w:iCs w:val="1"/>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224,252</w:t>
            </w: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(2)</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10,913</w:t>
            </w:r>
          </w:p>
        </w:tc>
      </w:tr>
      <w:tr>
        <w:trPr>
          <w:trHeight w:val="230"/>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(3)</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w:t>
            </w:r>
          </w:p>
        </w:tc>
      </w:tr>
      <w:tr>
        <w:trPr>
          <w:trHeight w:val="223"/>
        </w:trPr>
        <w:tc>
          <w:tcPr>
            <w:tcW w:w="20" w:type="dxa"/>
            <w:vAlign w:val="bottom"/>
          </w:tcPr>
          <w:p>
            <w:pPr>
              <w:spacing w:after="0"/>
              <w:rPr>
                <w:sz w:val="19"/>
                <w:szCs w:val="19"/>
                <w:color w:val="auto"/>
              </w:rPr>
            </w:pPr>
          </w:p>
        </w:tc>
        <w:tc>
          <w:tcPr>
            <w:tcW w:w="7100" w:type="dxa"/>
            <w:vAlign w:val="bottom"/>
            <w:gridSpan w:val="2"/>
          </w:tcPr>
          <w:p>
            <w:pPr>
              <w:ind w:left="220"/>
              <w:spacing w:after="0"/>
              <w:rPr>
                <w:sz w:val="20"/>
                <w:szCs w:val="20"/>
                <w:color w:val="auto"/>
              </w:rPr>
            </w:pPr>
            <w:r>
              <w:rPr>
                <w:rFonts w:ascii="Arial" w:cs="Arial" w:eastAsia="Arial" w:hAnsi="Arial"/>
                <w:sz w:val="18"/>
                <w:szCs w:val="18"/>
                <w:color w:val="auto"/>
              </w:rPr>
              <w:t>Total revenue, excluding contingent rent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349,466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247,185</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100" w:type="dxa"/>
            <w:vAlign w:val="bottom"/>
            <w:gridSpan w:val="2"/>
          </w:tcPr>
          <w:p>
            <w:pPr>
              <w:ind w:left="220"/>
              <w:spacing w:after="0"/>
              <w:rPr>
                <w:sz w:val="20"/>
                <w:szCs w:val="20"/>
                <w:color w:val="auto"/>
              </w:rPr>
            </w:pPr>
            <w:r>
              <w:rPr>
                <w:rFonts w:ascii="Arial" w:cs="Arial" w:eastAsia="Arial" w:hAnsi="Arial"/>
                <w:sz w:val="18"/>
                <w:szCs w:val="18"/>
                <w:color w:val="auto"/>
              </w:rPr>
              <w:t>Total lease revenue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350,038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247,185</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(4)</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r>
      <w:tr>
        <w:trPr>
          <w:trHeight w:val="223"/>
        </w:trPr>
        <w:tc>
          <w:tcPr>
            <w:tcW w:w="20" w:type="dxa"/>
            <w:vAlign w:val="bottom"/>
          </w:tcPr>
          <w:p>
            <w:pPr>
              <w:spacing w:after="0"/>
              <w:rPr>
                <w:sz w:val="19"/>
                <w:szCs w:val="19"/>
                <w:color w:val="auto"/>
              </w:rPr>
            </w:pPr>
          </w:p>
        </w:tc>
        <w:tc>
          <w:tcPr>
            <w:tcW w:w="7100" w:type="dxa"/>
            <w:vAlign w:val="bottom"/>
            <w:gridSpan w:val="2"/>
          </w:tcPr>
          <w:p>
            <w:pPr>
              <w:ind w:left="220"/>
              <w:spacing w:after="0"/>
              <w:rPr>
                <w:sz w:val="20"/>
                <w:szCs w:val="20"/>
                <w:color w:val="auto"/>
              </w:rPr>
            </w:pPr>
            <w:r>
              <w:rPr>
                <w:rFonts w:ascii="Arial" w:cs="Arial" w:eastAsia="Arial" w:hAnsi="Arial"/>
                <w:sz w:val="18"/>
                <w:szCs w:val="18"/>
                <w:color w:val="auto"/>
              </w:rPr>
              <w:t>Total contractual lease revenue</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322,161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250,439</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41" w:lineRule="auto"/>
        <w:tabs>
          <w:tab w:leader="none" w:pos="20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(or ASC 840),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March 31, 2021, we have only recognized contingent rent on our Margaritaville Lease Agreement in relation to the variable rent portion of the lease. Refer to the Lease Provisions section below for information regarding contingent rent on each lease.</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4"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were determined to be a sales-type lease. Accordingly, subsequent to July 20, 2020, such income is recognized as Income from sales-type leases.</w:t>
      </w:r>
    </w:p>
    <w:p>
      <w:pPr>
        <w:spacing w:after="0" w:line="1" w:lineRule="exact"/>
        <w:rPr>
          <w:rFonts w:ascii="Arial" w:cs="Arial" w:eastAsia="Arial" w:hAnsi="Arial"/>
          <w:sz w:val="14"/>
          <w:szCs w:val="14"/>
          <w:i w:val="1"/>
          <w:iCs w:val="1"/>
          <w:color w:val="auto"/>
        </w:rPr>
      </w:pPr>
    </w:p>
    <w:p>
      <w:pPr>
        <w:jc w:val="both"/>
        <w:ind w:right="20" w:firstLine="8"/>
        <w:spacing w:after="0" w:line="241" w:lineRule="auto"/>
        <w:tabs>
          <w:tab w:leader="none" w:pos="22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direct financing leases, sales-type leases and lease financing receivables in order to recognize income on an effective interest basis at a constant rate of return over the term of the leases.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2021, minimum lease payments owed to us for each of the five succeeding years under sales-type leases and our leases accounted for as financing receivables,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 xml:space="preserve">Minimum Lease Payments </w:t>
            </w:r>
            <w:r>
              <w:rPr>
                <w:rFonts w:ascii="Arial" w:cs="Arial" w:eastAsia="Arial" w:hAnsi="Arial"/>
                <w:sz w:val="21"/>
                <w:szCs w:val="21"/>
                <w:b w:val="1"/>
                <w:bCs w:val="1"/>
                <w:i w:val="1"/>
                <w:iCs w:val="1"/>
                <w:color w:val="auto"/>
                <w:w w:val="89"/>
                <w:vertAlign w:val="superscript"/>
              </w:rPr>
              <w:t>(1) (2)</w:t>
            </w:r>
          </w:p>
        </w:tc>
        <w:tc>
          <w:tcPr>
            <w:tcW w:w="6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4"/>
          </w:tcPr>
          <w:p>
            <w:pPr>
              <w:jc w:val="right"/>
              <w:ind w:right="1692"/>
              <w:spacing w:after="0"/>
              <w:rPr>
                <w:sz w:val="20"/>
                <w:szCs w:val="20"/>
                <w:color w:val="auto"/>
              </w:rPr>
            </w:pPr>
            <w:r>
              <w:rPr>
                <w:rFonts w:ascii="Arial" w:cs="Arial" w:eastAsia="Arial" w:hAnsi="Arial"/>
                <w:sz w:val="16"/>
                <w:szCs w:val="16"/>
                <w:b w:val="1"/>
                <w:bCs w:val="1"/>
                <w:color w:val="auto"/>
              </w:rPr>
              <w:t>Investments in Leases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8"/>
                <w:szCs w:val="18"/>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b w:val="1"/>
                <w:bCs w:val="1"/>
                <w:color w:val="auto"/>
              </w:rPr>
              <w:t>Sales-Type</w:t>
            </w:r>
          </w:p>
        </w:tc>
        <w:tc>
          <w:tcPr>
            <w:tcW w:w="12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Financing Receivables</w:t>
            </w:r>
          </w:p>
        </w:tc>
        <w:tc>
          <w:tcPr>
            <w:tcW w:w="600" w:type="dxa"/>
            <w:vAlign w:val="bottom"/>
          </w:tcPr>
          <w:p>
            <w:pPr>
              <w:spacing w:after="0"/>
              <w:rPr>
                <w:sz w:val="18"/>
                <w:szCs w:val="18"/>
                <w:color w:val="auto"/>
              </w:rPr>
            </w:pPr>
          </w:p>
        </w:tc>
        <w:tc>
          <w:tcPr>
            <w:tcW w:w="1900" w:type="dxa"/>
            <w:vAlign w:val="bottom"/>
          </w:tcPr>
          <w:p>
            <w:pPr>
              <w:jc w:val="right"/>
              <w:ind w:right="991"/>
              <w:spacing w:after="0"/>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963,365</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1,075,944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227,017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1,302,961</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231,332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1,326,128</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1,112,711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235,421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1,348,132</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1,364,652</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1,141,221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240,191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1,381,412</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38,886,389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7,999,428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46,885,817</w:t>
            </w: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45,234,219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9,338,248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54,572,467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r>
      <w:tr>
        <w:trPr>
          <w:trHeight w:val="211"/>
        </w:trPr>
        <w:tc>
          <w:tcPr>
            <w:tcW w:w="20" w:type="dxa"/>
            <w:vAlign w:val="bottom"/>
          </w:tcPr>
          <w:p>
            <w:pPr>
              <w:spacing w:after="0"/>
              <w:rPr>
                <w:sz w:val="18"/>
                <w:szCs w:val="18"/>
                <w:color w:val="auto"/>
              </w:rPr>
            </w:pPr>
          </w:p>
        </w:tc>
        <w:tc>
          <w:tcPr>
            <w:tcW w:w="3540" w:type="dxa"/>
            <w:vAlign w:val="bottom"/>
            <w:gridSpan w:val="2"/>
          </w:tcPr>
          <w:p>
            <w:pPr>
              <w:spacing w:after="0" w:line="211" w:lineRule="exact"/>
              <w:rPr>
                <w:sz w:val="20"/>
                <w:szCs w:val="20"/>
                <w:color w:val="auto"/>
              </w:rPr>
            </w:pPr>
            <w:r>
              <w:rPr>
                <w:rFonts w:ascii="Arial" w:cs="Arial" w:eastAsia="Arial" w:hAnsi="Arial"/>
                <w:sz w:val="18"/>
                <w:szCs w:val="18"/>
                <w:b w:val="1"/>
                <w:bCs w:val="1"/>
                <w:color w:val="auto"/>
              </w:rPr>
              <w:t xml:space="preserve">Weighted Average Lease Term </w:t>
            </w:r>
            <w:r>
              <w:rPr>
                <w:rFonts w:ascii="Arial" w:cs="Arial" w:eastAsia="Arial" w:hAnsi="Arial"/>
                <w:sz w:val="23"/>
                <w:szCs w:val="23"/>
                <w:b w:val="1"/>
                <w:bCs w:val="1"/>
                <w:i w:val="1"/>
                <w:iCs w:val="1"/>
                <w:color w:val="auto"/>
                <w:vertAlign w:val="superscript"/>
              </w:rPr>
              <w:t>(2)</w:t>
            </w:r>
          </w:p>
        </w:tc>
        <w:tc>
          <w:tcPr>
            <w:tcW w:w="500" w:type="dxa"/>
            <w:vAlign w:val="bottom"/>
          </w:tcPr>
          <w:p>
            <w:pPr>
              <w:spacing w:after="0"/>
              <w:rPr>
                <w:sz w:val="18"/>
                <w:szCs w:val="18"/>
                <w:color w:val="auto"/>
              </w:rPr>
            </w:pP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34.2</w:t>
            </w:r>
          </w:p>
        </w:tc>
      </w:tr>
      <w:tr>
        <w:trPr>
          <w:trHeight w:val="174"/>
        </w:trPr>
        <w:tc>
          <w:tcPr>
            <w:tcW w:w="356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r>
    </w:tbl>
    <w:p>
      <w:pPr>
        <w:ind w:left="220" w:hanging="212"/>
        <w:spacing w:after="0"/>
        <w:tabs>
          <w:tab w:leader="none" w:pos="2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jc w:val="both"/>
        <w:ind w:firstLine="8"/>
        <w:spacing w:after="0" w:line="248" w:lineRule="auto"/>
        <w:tabs>
          <w:tab w:leader="none" w:pos="211"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minimum lease payments and weighted average remaining lease term assumes the exercise of all tenant renewal options, consistent with our conclusions under ASC 842 and ASC 310. Upon the consummation of the Eldorado Transaction, the lease term of each of the Caesars Lease Agreements was extended by approximately three years and, as such, the weighted average lease term has increased accordingly.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Caesars Lease Agreements: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20" w:type="dxa"/>
            <w:vAlign w:val="bottom"/>
          </w:tcPr>
          <w:p>
            <w:pPr>
              <w:spacing w:after="0"/>
              <w:rPr>
                <w:sz w:val="14"/>
                <w:szCs w:val="14"/>
                <w:color w:val="auto"/>
              </w:rPr>
            </w:pPr>
          </w:p>
        </w:tc>
        <w:tc>
          <w:tcPr>
            <w:tcW w:w="38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4"/>
              </w:rPr>
              <w:t>Regional Master Lease Agreement and Joliet Lease</w:t>
            </w:r>
          </w:p>
        </w:tc>
        <w:tc>
          <w:tcPr>
            <w:tcW w:w="2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3"/>
            <w:vMerge w:val="continu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1"/>
                <w:szCs w:val="21"/>
                <w:b w:val="1"/>
                <w:bCs w:val="1"/>
                <w:i w:val="1"/>
                <w:iCs w:val="1"/>
                <w:color w:val="auto"/>
                <w:vertAlign w:val="superscript"/>
              </w:rPr>
              <w:t>(1)</w:t>
            </w:r>
          </w:p>
        </w:tc>
        <w:tc>
          <w:tcPr>
            <w:tcW w:w="120" w:type="dxa"/>
            <w:vAlign w:val="bottom"/>
          </w:tcPr>
          <w:p>
            <w:pPr>
              <w:spacing w:after="0"/>
              <w:rPr>
                <w:sz w:val="5"/>
                <w:szCs w:val="5"/>
                <w:color w:val="auto"/>
              </w:rPr>
            </w:pPr>
          </w:p>
        </w:tc>
        <w:tc>
          <w:tcPr>
            <w:tcW w:w="3820" w:type="dxa"/>
            <w:vAlign w:val="bottom"/>
            <w:gridSpan w:val="3"/>
            <w:vMerge w:val="continue"/>
          </w:tcPr>
          <w:p>
            <w:pPr>
              <w:spacing w:after="0"/>
              <w:rPr>
                <w:sz w:val="5"/>
                <w:szCs w:val="5"/>
                <w:color w:val="auto"/>
              </w:rPr>
            </w:pPr>
          </w:p>
        </w:tc>
        <w:tc>
          <w:tcPr>
            <w:tcW w:w="372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Las Vegas Master Lease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3"/>
          </w:tcPr>
          <w:p>
            <w:pPr>
              <w:ind w:left="1460"/>
              <w:spacing w:after="0"/>
              <w:rPr>
                <w:sz w:val="20"/>
                <w:szCs w:val="20"/>
                <w:color w:val="auto"/>
              </w:rPr>
            </w:pPr>
            <w:r>
              <w:rPr>
                <w:rFonts w:ascii="Arial" w:cs="Arial" w:eastAsia="Arial" w:hAnsi="Arial"/>
                <w:sz w:val="16"/>
                <w:szCs w:val="16"/>
                <w:b w:val="1"/>
                <w:bCs w:val="1"/>
                <w:color w:val="auto"/>
              </w:rPr>
              <w:t>Agreement</w:t>
            </w:r>
          </w:p>
        </w:tc>
        <w:tc>
          <w:tcPr>
            <w:tcW w:w="3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560" w:type="dxa"/>
            <w:vAlign w:val="bottom"/>
            <w:tcBorders>
              <w:top w:val="single" w:sz="8" w:color="auto"/>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Initial Term </w:t>
            </w:r>
            <w:r>
              <w:rPr>
                <w:rFonts w:ascii="Arial" w:cs="Arial" w:eastAsia="Arial" w:hAnsi="Arial"/>
                <w:sz w:val="23"/>
                <w:szCs w:val="23"/>
                <w:i w:val="1"/>
                <w:iCs w:val="1"/>
                <w:color w:val="auto"/>
                <w:vertAlign w:val="superscript"/>
              </w:rPr>
              <w:t>(2)</w:t>
            </w: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Initial Term maturity </w:t>
            </w:r>
            <w:r>
              <w:rPr>
                <w:rFonts w:ascii="Arial" w:cs="Arial" w:eastAsia="Arial" w:hAnsi="Arial"/>
                <w:sz w:val="23"/>
                <w:szCs w:val="23"/>
                <w:i w:val="1"/>
                <w:iCs w:val="1"/>
                <w:color w:val="auto"/>
                <w:vertAlign w:val="superscript"/>
              </w:rPr>
              <w:t>(2)</w:t>
            </w:r>
          </w:p>
        </w:tc>
        <w:tc>
          <w:tcPr>
            <w:tcW w:w="2520" w:type="dxa"/>
            <w:vAlign w:val="bottom"/>
            <w:gridSpan w:val="2"/>
          </w:tcPr>
          <w:p>
            <w:pPr>
              <w:ind w:left="120"/>
              <w:spacing w:after="0"/>
              <w:rPr>
                <w:sz w:val="20"/>
                <w:szCs w:val="20"/>
                <w:color w:val="auto"/>
              </w:rPr>
            </w:pPr>
            <w:r>
              <w:rPr>
                <w:rFonts w:ascii="Arial" w:cs="Arial" w:eastAsia="Arial" w:hAnsi="Arial"/>
                <w:sz w:val="18"/>
                <w:szCs w:val="18"/>
                <w:color w:val="auto"/>
              </w:rPr>
              <w:t>7/31/2035</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7/31/2035</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Renewal Terms</w:t>
            </w:r>
          </w:p>
        </w:tc>
        <w:tc>
          <w:tcPr>
            <w:tcW w:w="120" w:type="dxa"/>
            <w:vAlign w:val="bottom"/>
            <w:tcBorders>
              <w:right w:val="single" w:sz="8" w:color="CCEEFF"/>
            </w:tcBorders>
            <w:shd w:val="clear" w:color="auto" w:fill="CCEEFF"/>
          </w:tcPr>
          <w:p>
            <w:pPr>
              <w:spacing w:after="0"/>
              <w:rPr>
                <w:sz w:val="19"/>
                <w:szCs w:val="19"/>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(3)</w:t>
            </w:r>
          </w:p>
        </w:tc>
        <w:tc>
          <w:tcPr>
            <w:tcW w:w="2520" w:type="dxa"/>
            <w:vAlign w:val="bottom"/>
            <w:gridSpan w:val="2"/>
          </w:tcPr>
          <w:p>
            <w:pPr>
              <w:ind w:left="120"/>
              <w:spacing w:after="0"/>
              <w:rPr>
                <w:sz w:val="20"/>
                <w:szCs w:val="20"/>
                <w:color w:val="auto"/>
              </w:rPr>
            </w:pPr>
            <w:r>
              <w:rPr>
                <w:rFonts w:ascii="Arial" w:cs="Arial" w:eastAsia="Arial" w:hAnsi="Arial"/>
                <w:sz w:val="18"/>
                <w:szCs w:val="18"/>
                <w:color w:val="auto"/>
              </w:rPr>
              <w:t>$672,472</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$402,609</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(4)</w:t>
            </w:r>
          </w:p>
        </w:tc>
        <w:tc>
          <w:tcPr>
            <w:tcW w:w="12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Lease years 2-5 - 1.5%</w:t>
            </w:r>
          </w:p>
        </w:tc>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 2% / change in CPI</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60" w:type="dxa"/>
            <w:vAlign w:val="bottom"/>
            <w:gridSpan w:val="2"/>
            <w:vMerge w:val="continue"/>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8"/>
              </w:rPr>
              <w:t>Lease years 6-end of term - CPI subject to 2.0%</w:t>
            </w:r>
          </w:p>
        </w:tc>
        <w:tc>
          <w:tcPr>
            <w:tcW w:w="3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floor</w:t>
            </w:r>
          </w:p>
        </w:tc>
        <w:tc>
          <w:tcPr>
            <w:tcW w:w="2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Variable Rent adjustment</w:t>
            </w:r>
          </w:p>
        </w:tc>
        <w:tc>
          <w:tcPr>
            <w:tcW w:w="120" w:type="dxa"/>
            <w:vAlign w:val="bottom"/>
          </w:tcPr>
          <w:p>
            <w:pPr>
              <w:spacing w:after="0"/>
              <w:rPr>
                <w:sz w:val="15"/>
                <w:szCs w:val="15"/>
                <w:color w:val="auto"/>
              </w:rPr>
            </w:pPr>
          </w:p>
        </w:tc>
        <w:tc>
          <w:tcPr>
            <w:tcW w:w="38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 30% variable rent</w:t>
            </w:r>
          </w:p>
        </w:tc>
        <w:tc>
          <w:tcPr>
            <w:tcW w:w="3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6"/>
              </w:rPr>
              <w:t>Years 8, 11 &amp; 16</w:t>
            </w:r>
            <w:r>
              <w:rPr>
                <w:rFonts w:ascii="Arial" w:cs="Arial" w:eastAsia="Arial" w:hAnsi="Arial"/>
                <w:sz w:val="18"/>
                <w:szCs w:val="18"/>
                <w:color w:val="auto"/>
                <w:w w:val="96"/>
              </w:rPr>
              <w:t>: 80% base rent / 20% variable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Years 11 &amp; 16</w:t>
            </w:r>
            <w:r>
              <w:rPr>
                <w:rFonts w:ascii="Arial" w:cs="Arial" w:eastAsia="Arial" w:hAnsi="Arial"/>
                <w:sz w:val="18"/>
                <w:szCs w:val="18"/>
                <w:color w:val="auto"/>
                <w:w w:val="94"/>
              </w:rPr>
              <w:t>: 80% base rent / 20% variable rent</w:t>
            </w:r>
          </w:p>
        </w:tc>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820" w:type="dxa"/>
            <w:vAlign w:val="bottom"/>
            <w:tcBorders>
              <w:right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4% of revenue increase/decrease:</w:t>
            </w:r>
          </w:p>
        </w:tc>
        <w:tc>
          <w:tcPr>
            <w:tcW w:w="3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4% of revenue increase/decrease:</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gridSpan w:val="2"/>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Variable Rent adjustment calculation </w:t>
            </w:r>
            <w:r>
              <w:rPr>
                <w:rFonts w:ascii="Arial" w:cs="Arial" w:eastAsia="Arial" w:hAnsi="Arial"/>
                <w:sz w:val="23"/>
                <w:szCs w:val="23"/>
                <w:i w:val="1"/>
                <w:iCs w:val="1"/>
                <w:color w:val="auto"/>
                <w:vertAlign w:val="superscript"/>
              </w:rPr>
              <w:t>(5)</w:t>
            </w:r>
          </w:p>
        </w:tc>
        <w:tc>
          <w:tcPr>
            <w:tcW w:w="120" w:type="dxa"/>
            <w:vAlign w:val="bottom"/>
            <w:tcBorders>
              <w:right w:val="single" w:sz="8" w:color="CCEEFF"/>
            </w:tcBorders>
            <w:shd w:val="clear" w:color="auto" w:fill="CCEEFF"/>
          </w:tcPr>
          <w:p>
            <w:pPr>
              <w:spacing w:after="0"/>
              <w:rPr>
                <w:sz w:val="12"/>
                <w:szCs w:val="12"/>
                <w:color w:val="auto"/>
              </w:rPr>
            </w:pPr>
          </w:p>
        </w:tc>
        <w:tc>
          <w:tcPr>
            <w:tcW w:w="3820" w:type="dxa"/>
            <w:vAlign w:val="bottom"/>
            <w:tcBorders>
              <w:right w:val="single" w:sz="8" w:color="CCEEFF"/>
            </w:tcBorders>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372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60" w:type="dxa"/>
            <w:vAlign w:val="bottom"/>
            <w:gridSpan w:val="2"/>
            <w:vMerge w:val="continue"/>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11</w:t>
            </w:r>
            <w:r>
              <w:rPr>
                <w:rFonts w:ascii="Arial" w:cs="Arial" w:eastAsia="Arial" w:hAnsi="Arial"/>
                <w:sz w:val="18"/>
                <w:szCs w:val="18"/>
                <w:color w:val="auto"/>
                <w:w w:val="95"/>
              </w:rPr>
              <w:t>: Avg. of years 8-10 less avg. of years 5-7</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11</w:t>
            </w:r>
            <w:r>
              <w:rPr>
                <w:rFonts w:ascii="Arial" w:cs="Arial" w:eastAsia="Arial" w:hAnsi="Arial"/>
                <w:sz w:val="18"/>
                <w:szCs w:val="18"/>
                <w:color w:val="auto"/>
                <w:w w:val="93"/>
              </w:rPr>
              <w:t>: Avg. of years 8-10 less avg. of years 5-7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16</w:t>
            </w:r>
            <w:r>
              <w:rPr>
                <w:rFonts w:ascii="Arial" w:cs="Arial" w:eastAsia="Arial" w:hAnsi="Arial"/>
                <w:sz w:val="18"/>
                <w:szCs w:val="18"/>
                <w:color w:val="auto"/>
                <w:w w:val="95"/>
              </w:rPr>
              <w:t>: Avg. of years 13-15 less avg. of years 8-</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16</w:t>
            </w:r>
            <w:r>
              <w:rPr>
                <w:rFonts w:ascii="Arial" w:cs="Arial" w:eastAsia="Arial" w:hAnsi="Arial"/>
                <w:sz w:val="18"/>
                <w:szCs w:val="18"/>
                <w:color w:val="auto"/>
                <w:w w:val="93"/>
              </w:rPr>
              <w:t>: Avg. of years 13-15 less avg. of years 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Upon the consummation of the Eldorado Transaction, the Caesars Lease Agreements were extended such that each lease has a full 15-year initial term.</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represent the current annual base rent payable for the current lease year, which is the period from November 1, 2020 through October 31,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2021 and 2020.</w:t>
      </w:r>
    </w:p>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Penn National Lease Agreements: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3" w:lineRule="exact"/>
        <w:rPr>
          <w:sz w:val="20"/>
          <w:szCs w:val="20"/>
          <w:color w:val="auto"/>
        </w:rPr>
      </w:pPr>
    </w:p>
    <w:p>
      <w:pPr>
        <w:ind w:left="20"/>
        <w:spacing w:after="0"/>
        <w:tabs>
          <w:tab w:leader="none" w:pos="4360" w:val="left"/>
          <w:tab w:leader="none" w:pos="83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ind w:left="20"/>
        <w:spacing w:after="0" w:line="232" w:lineRule="auto"/>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140"/>
        <w:spacing w:after="0"/>
        <w:rPr>
          <w:sz w:val="20"/>
          <w:szCs w:val="20"/>
          <w:color w:val="auto"/>
        </w:rPr>
      </w:pPr>
      <w:r>
        <w:rPr>
          <w:rFonts w:ascii="Arial" w:cs="Arial" w:eastAsia="Arial" w:hAnsi="Arial"/>
          <w:sz w:val="17"/>
          <w:szCs w:val="17"/>
          <w:color w:val="auto"/>
        </w:rPr>
        <w:t xml:space="preserve">Escalation commencement </w:t>
      </w:r>
      <w:r>
        <w:rPr>
          <w:rFonts w:ascii="Arial" w:cs="Arial" w:eastAsia="Arial" w:hAnsi="Arial"/>
          <w:sz w:val="22"/>
          <w:szCs w:val="22"/>
          <w:i w:val="1"/>
          <w:iCs w:val="1"/>
          <w:color w:val="auto"/>
          <w:vertAlign w:val="superscript"/>
        </w:rPr>
        <w:t>(2)</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Escalation</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Performance to rent ratio floor </w:t>
      </w:r>
      <w:r>
        <w:rPr>
          <w:rFonts w:ascii="Arial" w:cs="Arial" w:eastAsia="Arial" w:hAnsi="Arial"/>
          <w:sz w:val="20"/>
          <w:szCs w:val="20"/>
          <w:i w:val="1"/>
          <w:iCs w:val="1"/>
          <w:color w:val="auto"/>
          <w:vertAlign w:val="superscript"/>
        </w:rPr>
        <w:t>(2)</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i w:val="1"/>
          <w:iCs w:val="1"/>
          <w:color w:val="auto"/>
          <w:vertAlign w:val="superscript"/>
        </w:rPr>
        <w:t>(3)</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multiplier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Pr>
          <w:p>
            <w:pPr>
              <w:spacing w:after="0"/>
              <w:rPr>
                <w:sz w:val="19"/>
                <w:szCs w:val="19"/>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1/31/2034</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5/23/2034</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3760" w:type="dxa"/>
            <w:vAlign w:val="bottom"/>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$23,462</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$55,556</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3760" w:type="dxa"/>
            <w:vAlign w:val="bottom"/>
          </w:tcPr>
          <w:p>
            <w:pPr>
              <w:ind w:left="20"/>
              <w:spacing w:after="0"/>
              <w:rPr>
                <w:sz w:val="20"/>
                <w:szCs w:val="20"/>
                <w:color w:val="auto"/>
              </w:rPr>
            </w:pPr>
            <w:r>
              <w:rPr>
                <w:rFonts w:ascii="Arial" w:cs="Arial" w:eastAsia="Arial" w:hAnsi="Arial"/>
                <w:sz w:val="18"/>
                <w:szCs w:val="18"/>
                <w:color w:val="auto"/>
              </w:rPr>
              <w:t>Lease year four</w:t>
            </w:r>
          </w:p>
        </w:tc>
        <w:tc>
          <w:tcPr>
            <w:tcW w:w="0" w:type="dxa"/>
            <w:vAlign w:val="bottom"/>
          </w:tcPr>
          <w:p>
            <w:pPr>
              <w:spacing w:after="0"/>
              <w:rPr>
                <w:sz w:val="1"/>
                <w:szCs w:val="1"/>
                <w:color w:val="auto"/>
              </w:rPr>
            </w:pPr>
          </w:p>
        </w:tc>
      </w:tr>
      <w:tr>
        <w:trPr>
          <w:trHeight w:val="176"/>
        </w:trPr>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revenue to rent ratio floor</w:t>
            </w:r>
          </w:p>
        </w:tc>
        <w:tc>
          <w:tcPr>
            <w:tcW w:w="3760" w:type="dxa"/>
            <w:vAlign w:val="bottom"/>
          </w:tcPr>
          <w:p>
            <w:pPr>
              <w:ind w:left="20"/>
              <w:spacing w:after="0"/>
              <w:rPr>
                <w:sz w:val="20"/>
                <w:szCs w:val="20"/>
                <w:color w:val="auto"/>
              </w:rPr>
            </w:pPr>
            <w:r>
              <w:rPr>
                <w:rFonts w:ascii="Arial" w:cs="Arial" w:eastAsia="Arial" w:hAnsi="Arial"/>
                <w:sz w:val="18"/>
                <w:szCs w:val="18"/>
                <w:color w:val="auto"/>
              </w:rPr>
              <w:t>revenue to rent ratio floor</w:t>
            </w:r>
          </w:p>
        </w:tc>
        <w:tc>
          <w:tcPr>
            <w:tcW w:w="0" w:type="dxa"/>
            <w:vAlign w:val="bottom"/>
          </w:tcPr>
          <w:p>
            <w:pPr>
              <w:spacing w:after="0"/>
              <w:rPr>
                <w:sz w:val="1"/>
                <w:szCs w:val="1"/>
                <w:color w:val="auto"/>
              </w:rPr>
            </w:pPr>
          </w:p>
        </w:tc>
      </w:tr>
      <w:tr>
        <w:trPr>
          <w:trHeight w:val="176"/>
        </w:trPr>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6.1x net revenue commencing lease year two</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2"/>
              </w:rPr>
              <w:t>Net revenue ratio to be mutually agreed upon prior</w:t>
            </w:r>
          </w:p>
        </w:tc>
        <w:tc>
          <w:tcPr>
            <w:tcW w:w="0" w:type="dxa"/>
            <w:vAlign w:val="bottom"/>
          </w:tcPr>
          <w:p>
            <w:pPr>
              <w:spacing w:after="0"/>
              <w:rPr>
                <w:sz w:val="1"/>
                <w:szCs w:val="1"/>
                <w:color w:val="auto"/>
              </w:rPr>
            </w:pPr>
          </w:p>
        </w:tc>
      </w:tr>
      <w:tr>
        <w:trPr>
          <w:trHeight w:val="135"/>
        </w:trPr>
        <w:tc>
          <w:tcPr>
            <w:tcW w:w="3840" w:type="dxa"/>
            <w:vAlign w:val="bottom"/>
            <w:gridSpan w:val="2"/>
            <w:vMerge w:val="continue"/>
          </w:tcPr>
          <w:p>
            <w:pPr>
              <w:spacing w:after="0"/>
              <w:rPr>
                <w:sz w:val="11"/>
                <w:szCs w:val="11"/>
                <w:color w:val="auto"/>
              </w:rPr>
            </w:pPr>
          </w:p>
        </w:tc>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to the commencement of lease year four</w:t>
            </w:r>
          </w:p>
        </w:tc>
        <w:tc>
          <w:tcPr>
            <w:tcW w:w="0" w:type="dxa"/>
            <w:vAlign w:val="bottom"/>
          </w:tcPr>
          <w:p>
            <w:pPr>
              <w:spacing w:after="0"/>
              <w:rPr>
                <w:sz w:val="1"/>
                <w:szCs w:val="1"/>
                <w:color w:val="auto"/>
              </w:rPr>
            </w:pPr>
          </w:p>
        </w:tc>
      </w:tr>
      <w:tr>
        <w:trPr>
          <w:trHeight w:val="94"/>
        </w:trPr>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$3,000 (fixed for lease year one and two)</w:t>
            </w:r>
          </w:p>
        </w:tc>
        <w:tc>
          <w:tcPr>
            <w:tcW w:w="3760" w:type="dxa"/>
            <w:vAlign w:val="bottom"/>
          </w:tcPr>
          <w:p>
            <w:pPr>
              <w:ind w:left="20"/>
              <w:spacing w:after="0"/>
              <w:rPr>
                <w:sz w:val="20"/>
                <w:szCs w:val="20"/>
                <w:color w:val="auto"/>
              </w:rPr>
            </w:pPr>
            <w:r>
              <w:rPr>
                <w:rFonts w:ascii="Arial" w:cs="Arial" w:eastAsia="Arial" w:hAnsi="Arial"/>
                <w:sz w:val="18"/>
                <w:szCs w:val="18"/>
                <w:color w:val="auto"/>
              </w:rPr>
              <w:t>$6,384 (fixed for lease year one and two)</w:t>
            </w:r>
          </w:p>
        </w:tc>
        <w:tc>
          <w:tcPr>
            <w:tcW w:w="0" w:type="dxa"/>
            <w:vAlign w:val="bottom"/>
          </w:tcPr>
          <w:p>
            <w:pPr>
              <w:spacing w:after="0"/>
              <w:rPr>
                <w:sz w:val="1"/>
                <w:szCs w:val="1"/>
                <w:color w:val="auto"/>
              </w:rPr>
            </w:pPr>
          </w:p>
        </w:tc>
      </w:tr>
      <w:tr>
        <w:trPr>
          <w:trHeight w:val="176"/>
        </w:trPr>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Lease year three and each and every other lease</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4"/>
              </w:rPr>
              <w:t>Lease year three and each and every other lease</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year thereafter</w:t>
            </w:r>
          </w:p>
        </w:tc>
        <w:tc>
          <w:tcPr>
            <w:tcW w:w="3760" w:type="dxa"/>
            <w:vAlign w:val="bottom"/>
          </w:tcPr>
          <w:p>
            <w:pPr>
              <w:ind w:left="20"/>
              <w:spacing w:after="0"/>
              <w:rPr>
                <w:sz w:val="20"/>
                <w:szCs w:val="20"/>
                <w:color w:val="auto"/>
              </w:rPr>
            </w:pPr>
            <w:r>
              <w:rPr>
                <w:rFonts w:ascii="Arial" w:cs="Arial" w:eastAsia="Arial" w:hAnsi="Arial"/>
                <w:sz w:val="18"/>
                <w:szCs w:val="18"/>
                <w:color w:val="auto"/>
              </w:rPr>
              <w:t>year thereafter</w:t>
            </w:r>
          </w:p>
        </w:tc>
        <w:tc>
          <w:tcPr>
            <w:tcW w:w="0" w:type="dxa"/>
            <w:vAlign w:val="bottom"/>
          </w:tcPr>
          <w:p>
            <w:pPr>
              <w:spacing w:after="0"/>
              <w:rPr>
                <w:sz w:val="1"/>
                <w:szCs w:val="1"/>
                <w:color w:val="auto"/>
              </w:rPr>
            </w:pPr>
          </w:p>
        </w:tc>
      </w:tr>
      <w:tr>
        <w:trPr>
          <w:trHeight w:val="176"/>
        </w:trPr>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The product of (i) 4% and (ii) the excess (if any) of</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3"/>
              </w:rPr>
              <w:t>The product of (i) 4% and (ii) the excess (if any) of</w:t>
            </w:r>
          </w:p>
        </w:tc>
        <w:tc>
          <w:tcPr>
            <w:tcW w:w="0" w:type="dxa"/>
            <w:vAlign w:val="bottom"/>
          </w:tcPr>
          <w:p>
            <w:pPr>
              <w:spacing w:after="0"/>
              <w:rPr>
                <w:sz w:val="1"/>
                <w:szCs w:val="1"/>
                <w:color w:val="auto"/>
              </w:rPr>
            </w:pPr>
          </w:p>
        </w:tc>
      </w:tr>
      <w:tr>
        <w:trPr>
          <w:trHeight w:val="175"/>
        </w:trPr>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 the average annual net revenue of a trailing</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9"/>
              </w:rPr>
              <w:t>(a) the average annual net revenue of a trailing</w:t>
            </w:r>
          </w:p>
        </w:tc>
        <w:tc>
          <w:tcPr>
            <w:tcW w:w="0" w:type="dxa"/>
            <w:vAlign w:val="bottom"/>
          </w:tcPr>
          <w:p>
            <w:pPr>
              <w:spacing w:after="0"/>
              <w:rPr>
                <w:sz w:val="1"/>
                <w:szCs w:val="1"/>
                <w:color w:val="auto"/>
              </w:rPr>
            </w:pPr>
          </w:p>
        </w:tc>
      </w:tr>
      <w:tr>
        <w:trPr>
          <w:trHeight w:val="176"/>
        </w:trPr>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two-year period preceding such reset year over (b)</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2"/>
              </w:rPr>
              <w:t>two-year period preceding such reset year over (b)</w:t>
            </w:r>
          </w:p>
        </w:tc>
        <w:tc>
          <w:tcPr>
            <w:tcW w:w="0" w:type="dxa"/>
            <w:vAlign w:val="bottom"/>
          </w:tcPr>
          <w:p>
            <w:pPr>
              <w:spacing w:after="0"/>
              <w:rPr>
                <w:sz w:val="1"/>
                <w:szCs w:val="1"/>
                <w:color w:val="auto"/>
              </w:rPr>
            </w:pPr>
          </w:p>
        </w:tc>
      </w:tr>
      <w:tr>
        <w:trPr>
          <w:trHeight w:val="175"/>
        </w:trPr>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a threshold amount (defined as 50% of LTM net</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7"/>
              </w:rPr>
              <w:t>a threshold amount (defined as 50% of LTM net</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revenues prior to acquisition)</w:t>
            </w:r>
          </w:p>
        </w:tc>
        <w:tc>
          <w:tcPr>
            <w:tcW w:w="3760" w:type="dxa"/>
            <w:vAlign w:val="bottom"/>
          </w:tcPr>
          <w:p>
            <w:pPr>
              <w:ind w:left="20"/>
              <w:spacing w:after="0"/>
              <w:rPr>
                <w:sz w:val="20"/>
                <w:szCs w:val="20"/>
                <w:color w:val="auto"/>
              </w:rPr>
            </w:pPr>
            <w:r>
              <w:rPr>
                <w:rFonts w:ascii="Arial" w:cs="Arial" w:eastAsia="Arial" w:hAnsi="Arial"/>
                <w:sz w:val="18"/>
                <w:szCs w:val="18"/>
                <w:color w:val="auto"/>
              </w:rPr>
              <w:t>revenues prior to acquisition)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-1945640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-1654175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-1251585</wp:posOffset>
            </wp:positionV>
            <wp:extent cx="7132320"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-848360</wp:posOffset>
            </wp:positionV>
            <wp:extent cx="7132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920" w:space="720"/>
            <w:col w:w="7600"/>
          </w:cols>
          <w:pgMar w:left="320" w:top="28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41" w:lineRule="auto"/>
        <w:tabs>
          <w:tab w:leader="none" w:pos="21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2021 through January 31, 2022. In relation to the Greektown Lease Agreement, the amount represents current annual base rent payable for the current lease year, which is the period from June 1, 2020 through May 31, 2021.</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1"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In relation to the Greektown Lease Agreement, in May 2020, the lease was adjusted to remove the escalation for lease years 2 and 3 and to provide for a net revenue to rent ratio coverage floor to be mutually agreed upon by both parties prior to the commencement of lease year four.</w:t>
      </w:r>
    </w:p>
    <w:p>
      <w:pPr>
        <w:spacing w:after="0" w:line="1" w:lineRule="exact"/>
        <w:rPr>
          <w:rFonts w:ascii="Arial" w:cs="Arial" w:eastAsia="Arial" w:hAnsi="Arial"/>
          <w:sz w:val="14"/>
          <w:szCs w:val="14"/>
          <w:i w:val="1"/>
          <w:iCs w:val="1"/>
          <w:color w:val="auto"/>
        </w:rPr>
      </w:pPr>
    </w:p>
    <w:p>
      <w:pPr>
        <w:jc w:val="both"/>
        <w:ind w:firstLine="8"/>
        <w:spacing w:after="0" w:line="276" w:lineRule="auto"/>
        <w:tabs>
          <w:tab w:leader="none" w:pos="2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Percentage rent is subject to the percentage rent multiplier. After the percentage rent reset in lease year three, any amounts related to percentage rent are considered contingent rent in accordance with GAAP. During the three months ended March 31, 2021 and 2020, we recognized approximately $0.6 million and $0.1 million, respectively, in contingent rent in relation to the Margaritaville Lease Agreement escalation. In relation to the Greektown Lease Agreement, no such rent has been recognized for the three months ended March 31, 2021 and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Hard Rock Cincinnati Lease Agreement: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9/30/2034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$43,391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2-4 - 1.5%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w w:val="89"/>
              </w:rPr>
              <w:t>Lease years 5-15 - The greater of 2% or the change in CPI unless the change in CPI is less than 0.5%, 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which case there is no escalation in rent for such lease year</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52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October 1, 2020 through September 30,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2021 and 2020.</w:t>
      </w:r>
    </w:p>
    <w:p>
      <w:pPr>
        <w:ind w:right="20" w:firstLine="8"/>
        <w:spacing w:after="0" w:line="255" w:lineRule="auto"/>
        <w:tabs>
          <w:tab w:leader="none" w:pos="211"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Century Portfolio Lease Agreement: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3"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color w:val="auto"/>
        </w:rPr>
        <w:t>Escalator commencement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 to rent ratio floor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rent commencement/reset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29" w:hanging="229"/>
        <w:spacing w:after="0"/>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years</w:t>
      </w:r>
    </w:p>
    <w:p>
      <w:pPr>
        <w:spacing w:after="0" w:line="23" w:lineRule="exact"/>
        <w:rPr>
          <w:rFonts w:ascii="Arial" w:cs="Arial" w:eastAsia="Arial" w:hAnsi="Arial"/>
          <w:sz w:val="18"/>
          <w:szCs w:val="18"/>
          <w:color w:val="auto"/>
        </w:rPr>
      </w:pPr>
    </w:p>
    <w:p>
      <w:pPr>
        <w:ind w:left="9"/>
        <w:spacing w:after="0"/>
        <w:rPr>
          <w:rFonts w:ascii="Arial" w:cs="Arial" w:eastAsia="Arial" w:hAnsi="Arial"/>
          <w:sz w:val="18"/>
          <w:szCs w:val="18"/>
          <w:color w:val="auto"/>
        </w:rPr>
      </w:pPr>
      <w:r>
        <w:rPr>
          <w:rFonts w:ascii="Arial" w:cs="Arial" w:eastAsia="Arial" w:hAnsi="Arial"/>
          <w:sz w:val="18"/>
          <w:szCs w:val="18"/>
          <w:color w:val="auto"/>
        </w:rPr>
        <w:t>12/31/2034</w:t>
      </w:r>
    </w:p>
    <w:p>
      <w:pPr>
        <w:spacing w:after="0" w:line="22" w:lineRule="exact"/>
        <w:rPr>
          <w:rFonts w:ascii="Arial" w:cs="Arial" w:eastAsia="Arial" w:hAnsi="Arial"/>
          <w:sz w:val="18"/>
          <w:szCs w:val="18"/>
          <w:color w:val="auto"/>
        </w:rPr>
      </w:pPr>
    </w:p>
    <w:p>
      <w:pPr>
        <w:ind w:left="9" w:right="6060"/>
        <w:spacing w:after="0" w:line="266" w:lineRule="auto"/>
        <w:rPr>
          <w:rFonts w:ascii="Arial" w:cs="Arial" w:eastAsia="Arial" w:hAnsi="Arial"/>
          <w:sz w:val="18"/>
          <w:szCs w:val="18"/>
          <w:color w:val="auto"/>
        </w:rPr>
      </w:pPr>
      <w:r>
        <w:rPr>
          <w:rFonts w:ascii="Arial" w:cs="Arial" w:eastAsia="Arial" w:hAnsi="Arial"/>
          <w:sz w:val="18"/>
          <w:szCs w:val="18"/>
          <w:color w:val="auto"/>
        </w:rPr>
        <w:t>Four, five-year terms $25,250</w:t>
      </w:r>
    </w:p>
    <w:p>
      <w:pPr>
        <w:ind w:left="9"/>
        <w:spacing w:after="0"/>
        <w:rPr>
          <w:rFonts w:ascii="Arial" w:cs="Arial" w:eastAsia="Arial" w:hAnsi="Arial"/>
          <w:sz w:val="18"/>
          <w:szCs w:val="18"/>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-422275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-130810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9"/>
        <w:spacing w:after="0"/>
        <w:rPr>
          <w:sz w:val="20"/>
          <w:szCs w:val="20"/>
          <w:color w:val="auto"/>
        </w:rPr>
      </w:pPr>
      <w:r>
        <w:rPr>
          <w:rFonts w:ascii="Arial" w:cs="Arial" w:eastAsia="Arial" w:hAnsi="Arial"/>
          <w:sz w:val="18"/>
          <w:szCs w:val="18"/>
          <w:color w:val="auto"/>
        </w:rPr>
        <w:t>Lease years 2-3 - 1.0%</w:t>
      </w:r>
    </w:p>
    <w:p>
      <w:pPr>
        <w:ind w:left="9"/>
        <w:spacing w:after="0"/>
        <w:rPr>
          <w:sz w:val="20"/>
          <w:szCs w:val="20"/>
          <w:color w:val="auto"/>
        </w:rPr>
      </w:pPr>
      <w:r>
        <w:rPr>
          <w:rFonts w:ascii="Arial" w:cs="Arial" w:eastAsia="Arial" w:hAnsi="Arial"/>
          <w:sz w:val="18"/>
          <w:szCs w:val="18"/>
          <w:color w:val="auto"/>
        </w:rPr>
        <w:t>Lease years 4-15 - The greater of 1.25% or the change in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4445</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 w:right="220"/>
        <w:spacing w:after="0" w:line="234"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spacing w:after="0" w:line="1" w:lineRule="exact"/>
        <w:rPr>
          <w:sz w:val="20"/>
          <w:szCs w:val="20"/>
          <w:color w:val="auto"/>
        </w:rPr>
      </w:pPr>
    </w:p>
    <w:p>
      <w:pPr>
        <w:ind w:left="9"/>
        <w:spacing w:after="0"/>
        <w:rPr>
          <w:sz w:val="20"/>
          <w:szCs w:val="20"/>
          <w:color w:val="auto"/>
        </w:rPr>
      </w:pPr>
      <w:r>
        <w:rPr>
          <w:rFonts w:ascii="Arial" w:cs="Arial" w:eastAsia="Arial" w:hAnsi="Arial"/>
          <w:sz w:val="18"/>
          <w:szCs w:val="18"/>
          <w:color w:val="auto"/>
        </w:rPr>
        <w:t>Lease year 8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80% Base Rent and 20% Variable Rent</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4%</w:t>
      </w:r>
    </w:p>
    <w:p>
      <w:pPr>
        <w:spacing w:after="0" w:line="111" w:lineRule="exact"/>
        <w:rPr>
          <w:sz w:val="20"/>
          <w:szCs w:val="20"/>
          <w:color w:val="auto"/>
        </w:rPr>
      </w:pPr>
    </w:p>
    <w:p>
      <w:pPr>
        <w:sectPr>
          <w:pgSz w:w="11900" w:h="16838" w:orient="portrait"/>
          <w:cols w:equalWidth="0" w:num="2">
            <w:col w:w="2951" w:space="720"/>
            <w:col w:w="7569"/>
          </w:cols>
          <w:pgMar w:left="320" w:top="28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1, 2021 through December 31,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2021 and 2020.</w:t>
      </w:r>
    </w:p>
    <w:p>
      <w:pPr>
        <w:jc w:val="both"/>
        <w:ind w:firstLine="8"/>
        <w:spacing w:after="0" w:line="248" w:lineRule="auto"/>
        <w:tabs>
          <w:tab w:leader="none" w:pos="204"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in each case multiplied by the Variable rent percentage.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JACK Cleveland/Thistledown Lease Agreement: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1/31/2040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$65,880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three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3-4 - 1.0%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5-7 - 1.5%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Lease years 8-15 - The greater of 1.5% or the change in CPI capped at 2.5%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Net revenue to rent ratio floor</w:t>
            </w:r>
          </w:p>
        </w:tc>
        <w:tc>
          <w:tcPr>
            <w:tcW w:w="7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4.9x in any lease year (commencing in lease year 6) - if the coverage ratio is below the stated amount,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3"/>
            <w:vMerge w:val="continue"/>
            <w:shd w:val="clear" w:color="auto" w:fill="CCEEFF"/>
          </w:tcPr>
          <w:p>
            <w:pPr>
              <w:spacing w:after="0"/>
              <w:rPr>
                <w:sz w:val="11"/>
                <w:szCs w:val="11"/>
                <w:color w:val="auto"/>
              </w:rPr>
            </w:pPr>
          </w:p>
        </w:tc>
        <w:tc>
          <w:tcPr>
            <w:tcW w:w="7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there is no escalation in rent for such lease year</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tcPr>
          <w:p>
            <w:pPr>
              <w:ind w:left="20"/>
              <w:spacing w:after="0"/>
              <w:rPr>
                <w:sz w:val="20"/>
                <w:szCs w:val="20"/>
                <w:color w:val="auto"/>
              </w:rPr>
            </w:pPr>
            <w:r>
              <w:rPr>
                <w:rFonts w:ascii="Arial" w:cs="Arial" w:eastAsia="Arial" w:hAnsi="Arial"/>
                <w:sz w:val="18"/>
                <w:szCs w:val="18"/>
                <w:color w:val="auto"/>
              </w:rPr>
              <w:t>Lease year 8, 11 and 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352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February 1, 2021 through January 31, 2022.</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2021 and 2020.</w:t>
      </w:r>
    </w:p>
    <w:p>
      <w:pPr>
        <w:jc w:val="both"/>
        <w:ind w:firstLine="8"/>
        <w:spacing w:after="0" w:line="246" w:lineRule="auto"/>
        <w:tabs>
          <w:tab w:leader="none" w:pos="205"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(i) for lease year 8 as an increase or decrease of the average of net revenues for lease years 5 through 7 compared to the average net revenue for lease years 1 through 3, (ii) for lease year 11 as an increase or decrease of the average of net revenues for lease years 8 through 10 compared to the average net revenue for lease years 5 through 7, and (iii) for lease year 16 as an increase or decrease of the average of net revenues for lease years 13 through 15 compared to the average net revenue for lease years 8 through 10, in each case multiplied by the Variable rent percentage.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capital expenditure requirements of the respective tenants under the Caesars Lease Agreements:</w:t>
      </w:r>
    </w:p>
    <w:p>
      <w:pPr>
        <w:sectPr>
          <w:pgSz w:w="11900" w:h="16838" w:orient="portrait"/>
          <w:cols w:equalWidth="0" w:num="1">
            <w:col w:w="11240"/>
          </w:cols>
          <w:pgMar w:left="320" w:top="287" w:right="339" w:bottom="1440" w:gutter="0" w:footer="0" w:header="0"/>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Regional Master Lease Agreement and Joliet</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37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Yearly minimum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0" w:type="dxa"/>
            <w:vAlign w:val="bottom"/>
          </w:tcPr>
          <w:p>
            <w:pPr>
              <w:spacing w:after="0"/>
              <w:rPr>
                <w:sz w:val="1"/>
                <w:szCs w:val="1"/>
                <w:color w:val="auto"/>
              </w:rPr>
            </w:pPr>
          </w:p>
        </w:tc>
      </w:tr>
      <w:tr>
        <w:trPr>
          <w:trHeight w:val="254"/>
        </w:trPr>
        <w:tc>
          <w:tcPr>
            <w:tcW w:w="3340" w:type="dxa"/>
            <w:vAlign w:val="bottom"/>
            <w:gridSpan w:val="2"/>
          </w:tcPr>
          <w:p>
            <w:pPr>
              <w:ind w:left="20"/>
              <w:spacing w:after="0" w:line="254"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3"/>
                <w:szCs w:val="23"/>
                <w:i w:val="1"/>
                <w:iCs w:val="1"/>
                <w:color w:val="auto"/>
                <w:vertAlign w:val="superscript"/>
              </w:rPr>
              <w:t>(2)</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$311 million</w:t>
            </w:r>
          </w:p>
        </w:tc>
        <w:tc>
          <w:tcPr>
            <w:tcW w:w="0" w:type="dxa"/>
            <w:vAlign w:val="bottom"/>
          </w:tcPr>
          <w:p>
            <w:pPr>
              <w:spacing w:after="0"/>
              <w:rPr>
                <w:sz w:val="1"/>
                <w:szCs w:val="1"/>
                <w:color w:val="auto"/>
              </w:rPr>
            </w:pP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Initial minimum capital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4"/>
                <w:szCs w:val="14"/>
                <w:color w:val="auto"/>
              </w:rPr>
              <w:t>____________________</w:t>
            </w:r>
          </w:p>
        </w:tc>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26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Las Vegas Master Lease Agreement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 of net revenues for CPLV (commencing in 2022 with</w:t>
      </w:r>
    </w:p>
    <w:p>
      <w:pPr>
        <w:jc w:val="center"/>
        <w:ind w:right="20"/>
        <w:spacing w:after="0" w:line="218" w:lineRule="auto"/>
        <w:rPr>
          <w:sz w:val="20"/>
          <w:szCs w:val="20"/>
          <w:color w:val="auto"/>
        </w:rPr>
      </w:pPr>
      <w:r>
        <w:rPr>
          <w:rFonts w:ascii="Arial" w:cs="Arial" w:eastAsia="Arial" w:hAnsi="Arial"/>
          <w:sz w:val="18"/>
          <w:szCs w:val="18"/>
          <w:color w:val="auto"/>
        </w:rPr>
        <w:t xml:space="preserve">respect to HLV) </w:t>
      </w:r>
      <w:r>
        <w:rPr>
          <w:rFonts w:ascii="Arial" w:cs="Arial" w:eastAsia="Arial" w:hAnsi="Arial"/>
          <w:sz w:val="23"/>
          <w:szCs w:val="23"/>
          <w:i w:val="1"/>
          <w:iCs w:val="1"/>
          <w:color w:val="auto"/>
          <w:vertAlign w:val="superscript"/>
        </w:rPr>
        <w:t>(1)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 million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$171 million (2017 - 2021) (with respect solely to HLV)</w:t>
      </w:r>
    </w:p>
    <w:p>
      <w:pPr>
        <w:spacing w:after="0" w:line="285" w:lineRule="exact"/>
        <w:rPr>
          <w:sz w:val="20"/>
          <w:szCs w:val="20"/>
          <w:color w:val="auto"/>
        </w:rPr>
      </w:pPr>
    </w:p>
    <w:p>
      <w:pPr>
        <w:sectPr>
          <w:pgSz w:w="11900" w:h="16838" w:orient="portrait"/>
          <w:cols w:equalWidth="0" w:num="2">
            <w:col w:w="6980" w:space="120"/>
            <w:col w:w="4140"/>
          </w:cols>
          <w:pgMar w:left="320" w:top="287" w:right="339" w:bottom="1440" w:gutter="0" w:footer="0" w:header="0"/>
          <w:type w:val="continuous"/>
        </w:sectPr>
      </w:pPr>
    </w:p>
    <w:p>
      <w:pPr>
        <w:ind w:firstLine="8"/>
        <w:spacing w:after="0" w:line="250" w:lineRule="auto"/>
        <w:tabs>
          <w:tab w:leader="none" w:pos="226"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agreements require a $114.5 million floor on annual capital expenditures for Caesars Palace Las Vegas, Joliet and the Regional Master Lease Agreement properties in the aggregate. Additionally, annual building &amp; improvement capital improvements must be equal to or greater than 1% of prior year net revenues.</w:t>
      </w:r>
    </w:p>
    <w:p>
      <w:pPr>
        <w:jc w:val="both"/>
        <w:ind w:firstLine="8"/>
        <w:spacing w:after="0" w:line="244" w:lineRule="auto"/>
        <w:tabs>
          <w:tab w:leader="none" w:pos="216"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Certain tenants under the Caesars Lease Agreements, as applicable, are required to spend $405.2 million on capital expenditures (excluding gaming equipment) over a rolling three-year period, with $311.0 million allocated to the regional assets, $84.0 million allocated to Caesars Palace Las Vegas and the remaining balance of $10.2 million to facilities (other than the Harrah’s Las Vegas Facility) covered by any Caesars Lease Agreement in such proportion as such tenants may elect. Additionally, the tenants under the Regional Master Lease Agreement and Joliet Lease Agreement are required to expend a minimum of $566.7 million on capital expenditures (including gaming equipment) across certain of its affiliates and other assets, together with the $405.2 million requirement.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ongoing COVID-19 pandemic and its impact on operations and financial performance, we agreed with Caesars, to provide limited relief with respect to a portion of their capital expenditure obligations under the Las Vegas Master Lease Agreement, the Regional Master Lease Agreement and the Joliet Lease Agreement (which relief was subsequently adjusted on October 27, 2020 to provide for a proportionate adjustment to account for the addition of the MTA Properties to the Regional Master Lease Agreement). This relief is conditioned upon (i) expenditures by Caesars of certain minimum capital expenditures, (ii) timely payment of Caesars’ rent obligations under the Caesars Lease Agreements and (iii) no event of default occurring under any of the Caesars Lease Agreements during the applicable compliance period. If Caesars fails to satisfy any of the foregoing conditions, Caesars will be required to satisfy the capital expenditure obligations currently set forth in the Las Vegas Master Lease Agreement, the Regional Master Lease Agreement and the Joliet Lease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capital expenditure requirements of the respective tenants under the Penn National Lease Agreements, Hard Rock Cincinnati Lease Agreement, Century Portfolio Lease Agreement and JACK Cleveland/Thistledown Lease Agreement: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Penn National Lease</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Hard Rock Cincinnati</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Century Portfolio</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JACK</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Cleveland/Thistledown</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Agreements</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Lease Agreement</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8"/>
              </w:rPr>
              <w:t>1% of net revenues</w:t>
            </w: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7"/>
              </w:rPr>
              <w:t>Initial minimum of $30</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1% of net gaming</w:t>
            </w:r>
          </w:p>
        </w:tc>
        <w:tc>
          <w:tcPr>
            <w:tcW w:w="18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 xml:space="preserve">million </w:t>
            </w:r>
            <w:r>
              <w:rPr>
                <w:rFonts w:ascii="Arial" w:cs="Arial" w:eastAsia="Arial" w:hAnsi="Arial"/>
                <w:sz w:val="20"/>
                <w:szCs w:val="20"/>
                <w:i w:val="1"/>
                <w:iCs w:val="1"/>
                <w:color w:val="auto"/>
                <w:vertAlign w:val="superscript"/>
              </w:rPr>
              <w:t>(2)</w:t>
            </w:r>
          </w:p>
        </w:tc>
        <w:tc>
          <w:tcPr>
            <w:tcW w:w="0" w:type="dxa"/>
            <w:vAlign w:val="bottom"/>
          </w:tcPr>
          <w:p>
            <w:pPr>
              <w:spacing w:after="0"/>
              <w:rPr>
                <w:sz w:val="1"/>
                <w:szCs w:val="1"/>
                <w:color w:val="auto"/>
              </w:rPr>
            </w:pPr>
          </w:p>
        </w:tc>
      </w:tr>
      <w:tr>
        <w:trPr>
          <w:trHeight w:val="81"/>
        </w:trPr>
        <w:tc>
          <w:tcPr>
            <w:tcW w:w="34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based on rolling four-</w:t>
            </w:r>
          </w:p>
        </w:tc>
        <w:tc>
          <w:tcPr>
            <w:tcW w:w="19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1940" w:type="dxa"/>
            <w:vAlign w:val="bottom"/>
            <w:gridSpan w:val="2"/>
            <w:vMerge w:val="continue"/>
            <w:shd w:val="clear" w:color="auto" w:fill="CCEEFF"/>
          </w:tcPr>
          <w:p>
            <w:pPr>
              <w:spacing w:after="0"/>
              <w:rPr>
                <w:sz w:val="7"/>
                <w:szCs w:val="7"/>
                <w:color w:val="auto"/>
              </w:rPr>
            </w:pP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Thereafter - 1% of net</w:t>
            </w:r>
          </w:p>
        </w:tc>
        <w:tc>
          <w:tcPr>
            <w:tcW w:w="0" w:type="dxa"/>
            <w:vAlign w:val="bottom"/>
          </w:tcPr>
          <w:p>
            <w:pPr>
              <w:spacing w:after="0"/>
              <w:rPr>
                <w:sz w:val="1"/>
                <w:szCs w:val="1"/>
                <w:color w:val="auto"/>
              </w:rPr>
            </w:pPr>
          </w:p>
        </w:tc>
      </w:tr>
      <w:tr>
        <w:trPr>
          <w:trHeight w:val="176"/>
        </w:trPr>
        <w:tc>
          <w:tcPr>
            <w:tcW w:w="3460" w:type="dxa"/>
            <w:vAlign w:val="bottom"/>
            <w:gridSpan w:val="2"/>
            <w:vMerge w:val="continue"/>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960" w:type="dxa"/>
            <w:vAlign w:val="bottom"/>
            <w:gridSpan w:val="2"/>
            <w:vMerge w:val="continue"/>
            <w:shd w:val="clear" w:color="auto" w:fill="CCEEFF"/>
          </w:tcPr>
          <w:p>
            <w:pPr>
              <w:spacing w:after="0"/>
              <w:rPr>
                <w:sz w:val="15"/>
                <w:szCs w:val="15"/>
                <w:color w:val="auto"/>
              </w:rPr>
            </w:pPr>
          </w:p>
        </w:tc>
        <w:tc>
          <w:tcPr>
            <w:tcW w:w="194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6"/>
                <w:szCs w:val="16"/>
                <w:color w:val="auto"/>
                <w:w w:val="94"/>
              </w:rPr>
              <w:t xml:space="preserve">revenues </w:t>
            </w:r>
            <w:r>
              <w:rPr>
                <w:rFonts w:ascii="Arial" w:cs="Arial" w:eastAsia="Arial" w:hAnsi="Arial"/>
                <w:sz w:val="20"/>
                <w:szCs w:val="20"/>
                <w:i w:val="1"/>
                <w:iCs w:val="1"/>
                <w:color w:val="auto"/>
                <w:w w:val="94"/>
                <w:vertAlign w:val="superscript"/>
              </w:rPr>
              <w:t>(1)</w:t>
            </w: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940" w:type="dxa"/>
            <w:vAlign w:val="bottom"/>
            <w:gridSpan w:val="2"/>
            <w:shd w:val="clear" w:color="auto" w:fill="CCEEFF"/>
          </w:tcPr>
          <w:p>
            <w:pPr>
              <w:jc w:val="center"/>
              <w:ind w:right="100"/>
              <w:spacing w:after="0" w:line="95" w:lineRule="exact"/>
              <w:rPr>
                <w:sz w:val="20"/>
                <w:szCs w:val="20"/>
                <w:color w:val="auto"/>
              </w:rPr>
            </w:pPr>
            <w:r>
              <w:rPr>
                <w:rFonts w:ascii="Arial" w:cs="Arial" w:eastAsia="Arial" w:hAnsi="Arial"/>
                <w:sz w:val="10"/>
                <w:szCs w:val="10"/>
                <w:color w:val="auto"/>
              </w:rPr>
              <w:t>year basis</w:t>
            </w:r>
          </w:p>
        </w:tc>
        <w:tc>
          <w:tcPr>
            <w:tcW w:w="1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8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revenues on a rolling</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three-year basis</w:t>
            </w: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41" w:lineRule="auto"/>
        <w:tabs>
          <w:tab w:leader="none" w:pos="21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 In May 2020, in connection with the ongoing COVID-19 pandemic and its impact on operations and financial performance, we agreed to waive Century’s capital expenditure requirements for 2020 and defer to not later than December 31, 2021 certain other expenditures contemplated in connection with the underwriting of the acquired casino properties, conditioned upon (i) Century’s timely payment of rent obligations under the Century Portfolio Lease Agreement during the compliance period set forth in the amendment and (ii) no tenant event of default occurring under the Century Portfolio Lease Agreement during the compliance period set forth in the amendment. If Century fails to satisfy any of the foregoing conditions, Century will be required to satisfy the capital expenditure obligations set forth in the Century Portfolio Lease Agreement or, in certain cases, to deposit amounts in respect thereof into a capital expenditure reserve for expenditure in accordance with the amendment.</w:t>
      </w:r>
    </w:p>
    <w:p>
      <w:pPr>
        <w:spacing w:after="0" w:line="2" w:lineRule="exact"/>
        <w:rPr>
          <w:rFonts w:ascii="Arial" w:cs="Arial" w:eastAsia="Arial" w:hAnsi="Arial"/>
          <w:sz w:val="14"/>
          <w:szCs w:val="14"/>
          <w:i w:val="1"/>
          <w:iCs w:val="1"/>
          <w:color w:val="auto"/>
        </w:rPr>
      </w:pPr>
    </w:p>
    <w:p>
      <w:pPr>
        <w:ind w:firstLine="8"/>
        <w:spacing w:after="0" w:line="255" w:lineRule="auto"/>
        <w:tabs>
          <w:tab w:leader="none" w:pos="23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 which includes $18.0 million advanced by us and expended by JACK Entertainment for the construction of the new gaming patio amenity at JACK Thistledown Racino (which construction has been completed as of March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March 31, 2021 and December 31,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6"/>
                <w:szCs w:val="16"/>
                <w:b w:val="1"/>
                <w:bCs w:val="1"/>
                <w:color w:val="auto"/>
              </w:rPr>
              <w:t>March 31, 2021</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Principal</w:t>
            </w:r>
          </w:p>
        </w:tc>
        <w:tc>
          <w:tcPr>
            <w:tcW w:w="180" w:type="dxa"/>
            <w:vAlign w:val="bottom"/>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ind w:left="400"/>
              <w:spacing w:after="0" w:line="155" w:lineRule="exact"/>
              <w:rPr>
                <w:sz w:val="20"/>
                <w:szCs w:val="20"/>
                <w:color w:val="auto"/>
              </w:rPr>
            </w:pPr>
            <w:r>
              <w:rPr>
                <w:rFonts w:ascii="Arial" w:cs="Arial" w:eastAsia="Arial" w:hAnsi="Arial"/>
                <w:sz w:val="16"/>
                <w:szCs w:val="16"/>
                <w:b w:val="1"/>
                <w:bCs w:val="1"/>
                <w:color w:val="auto"/>
              </w:rPr>
              <w:t>Final</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Maturity</w:t>
            </w:r>
            <w:r>
              <w:rPr>
                <w:rFonts w:ascii="Arial" w:cs="Arial" w:eastAsia="Arial" w:hAnsi="Arial"/>
                <w:sz w:val="21"/>
                <w:szCs w:val="21"/>
                <w:b w:val="1"/>
                <w:bCs w:val="1"/>
                <w:i w:val="1"/>
                <w:iCs w:val="1"/>
                <w:color w:val="auto"/>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400,043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w w:val="89"/>
              </w:rPr>
              <w:t>9/18/2025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Amended and Restated ROV Loan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ROV Term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ROV Credit Facility</w:t>
            </w:r>
          </w:p>
        </w:tc>
        <w:tc>
          <w:tcPr>
            <w:tcW w:w="172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6"/>
                <w:szCs w:val="16"/>
                <w:b w:val="1"/>
                <w:bCs w:val="1"/>
                <w:color w:val="auto"/>
              </w:rPr>
              <w:t>December 31, 2020</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Principal</w:t>
            </w:r>
          </w:p>
        </w:tc>
        <w:tc>
          <w:tcPr>
            <w:tcW w:w="180" w:type="dxa"/>
            <w:vAlign w:val="bottom"/>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ind w:left="400"/>
              <w:spacing w:after="0" w:line="155" w:lineRule="exact"/>
              <w:rPr>
                <w:sz w:val="20"/>
                <w:szCs w:val="20"/>
                <w:color w:val="auto"/>
              </w:rPr>
            </w:pPr>
            <w:r>
              <w:rPr>
                <w:rFonts w:ascii="Arial" w:cs="Arial" w:eastAsia="Arial" w:hAnsi="Arial"/>
                <w:sz w:val="16"/>
                <w:szCs w:val="16"/>
                <w:b w:val="1"/>
                <w:bCs w:val="1"/>
                <w:color w:val="auto"/>
              </w:rPr>
              <w:t>Final</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Maturity</w:t>
            </w:r>
            <w:r>
              <w:rPr>
                <w:rFonts w:ascii="Arial" w:cs="Arial" w:eastAsia="Arial" w:hAnsi="Arial"/>
                <w:sz w:val="21"/>
                <w:szCs w:val="21"/>
                <w:b w:val="1"/>
                <w:bCs w:val="1"/>
                <w:i w:val="1"/>
                <w:iCs w:val="1"/>
                <w:color w:val="auto"/>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400,045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w w:val="89"/>
              </w:rPr>
              <w:t>9/18/2025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Amended and Restated ROV Loan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ROV Term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ROV Credit Facility</w:t>
            </w:r>
          </w:p>
        </w:tc>
        <w:tc>
          <w:tcPr>
            <w:tcW w:w="172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06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loan origination costs and allowance for credit losses.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4"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current interest rate per annum. The interest rate of the Forum Convention Center Mortgage Loan is subject to 2.0% annual escalation (resulting in a year two interest rate of 7.854%).</w:t>
      </w: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assumes all extension options are exercised; however, our loans may be repaid, subject to certain conditions, prior to such date.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Allowance for Credit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2020, we adopted ASC 326 and, as a result, we are required to estimate and record non-cash credit losses related to our historical and any future investments in sales-type leases, lease financing receivables and loans. Upon adoption, we recorded a $309.4 million cumulative adjustment, representing a 2.88% CECL allowance. Such amount was recorded as a cumulative-effect adjustment to our opening balance sheet with a reduction in our Investments in leases - sales-type and a corresponding charge to retained (deficit)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we recognized a $4.4 million decrease in our allowance for credit losses primarily driven by the decrease in the R&amp;S Period PD of our tenants and their parent guarantors as a result of an improvement in their economic outlook due to the reopening of a majority of their gaming operations and relative performance of such operations during the first quarter of 2021.</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2020, we recognized a $149.5 million increase in our allowance for credit losses. The increase in the CECL allowance was primarily driven by (i) an increase in the R&amp;S Period PD and LGD of our tenants and their parent guarantors due to decreases in the equity market capitalization of the stock of the parent public-entities of certain of our tenants due to the uncertain economic conditions caused by the COVID-19 pandemic and closure of the tenants operations at our properties during such period, as well as the utilization of forecasted scenarios that incorporated the expected negative impact of the COVID-19 pandemic on the economy, (ii) an increase in the Long-term Period PD of our tenants due to downgrades on certain of the credit ratings of our tenants’ senior secured debt and (iii) an increase related to our initial investment in JACK Cleveland/Thistledown and the ROV Loan in January 2020.</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and since our formation date on October 6, 2017, all of our Lease Agreements and loan investments are current in payment of their obligations to us and no investments are on non-accrual status.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detail the allowance for credit losses included as a component in our Investments in leases - sales-type, Investments in leases - financing receivables and Investments in loans as of March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4"/>
              </w:rPr>
              <w:t>March 31, 2021</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3"/>
                <w:szCs w:val="13"/>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Allowance</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Allowance as a %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13,054,135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2,719,868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(91,446)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2,628,422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515,251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277,498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17,024,805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16,475,306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1"/>
              </w:rPr>
              <w:t>December 31, 2020</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3"/>
                <w:szCs w:val="13"/>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Allowance</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13,481,845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2,709,520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(90,958)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277,482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16,460,409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chart reflects the roll-forward of the allowance for credit losses on our real estate portfolio for the three months ended March 31, 2021 and 2020:</w:t>
      </w:r>
    </w:p>
    <w:p>
      <w:pPr>
        <w:spacing w:after="0" w:line="103"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791"/>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December 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Initial allowance upon adoption</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309,362</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allowance from current period investments</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Current period change in credit allowance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(4,380)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127,350</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March 31,</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180"/>
              <w:spacing w:after="0" w:line="172" w:lineRule="exact"/>
              <w:rPr>
                <w:sz w:val="20"/>
                <w:szCs w:val="20"/>
                <w:color w:val="auto"/>
              </w:rPr>
            </w:pPr>
            <w:r>
              <w:rPr>
                <w:rFonts w:ascii="Arial" w:cs="Arial" w:eastAsia="Arial" w:hAnsi="Arial"/>
                <w:sz w:val="16"/>
                <w:szCs w:val="16"/>
                <w:b w:val="1"/>
                <w:bCs w:val="1"/>
                <w:color w:val="auto"/>
              </w:rPr>
              <w:t>Ba2</w:t>
            </w:r>
          </w:p>
        </w:tc>
        <w:tc>
          <w:tcPr>
            <w:tcW w:w="280" w:type="dxa"/>
            <w:vAlign w:val="bottom"/>
          </w:tcPr>
          <w:p>
            <w:pPr>
              <w:spacing w:after="0"/>
              <w:rPr>
                <w:sz w:val="14"/>
                <w:szCs w:val="14"/>
                <w:color w:val="auto"/>
              </w:rPr>
            </w:pPr>
          </w:p>
        </w:tc>
        <w:tc>
          <w:tcPr>
            <w:tcW w:w="1000" w:type="dxa"/>
            <w:vAlign w:val="bottom"/>
            <w:gridSpan w:val="3"/>
          </w:tcPr>
          <w:p>
            <w:pPr>
              <w:ind w:left="180"/>
              <w:spacing w:after="0" w:line="172" w:lineRule="exact"/>
              <w:rPr>
                <w:sz w:val="20"/>
                <w:szCs w:val="20"/>
                <w:color w:val="auto"/>
              </w:rPr>
            </w:pPr>
            <w:r>
              <w:rPr>
                <w:rFonts w:ascii="Arial" w:cs="Arial" w:eastAsia="Arial" w:hAnsi="Arial"/>
                <w:sz w:val="16"/>
                <w:szCs w:val="16"/>
                <w:b w:val="1"/>
                <w:bCs w:val="1"/>
                <w:color w:val="auto"/>
              </w:rPr>
              <w:t>Ba3</w:t>
            </w:r>
          </w:p>
        </w:tc>
        <w:tc>
          <w:tcPr>
            <w:tcW w:w="240" w:type="dxa"/>
            <w:vAlign w:val="bottom"/>
          </w:tcPr>
          <w:p>
            <w:pPr>
              <w:spacing w:after="0"/>
              <w:rPr>
                <w:sz w:val="14"/>
                <w:szCs w:val="14"/>
                <w:color w:val="auto"/>
              </w:rPr>
            </w:pPr>
          </w:p>
        </w:tc>
        <w:tc>
          <w:tcPr>
            <w:tcW w:w="1100" w:type="dxa"/>
            <w:vAlign w:val="bottom"/>
            <w:gridSpan w:val="2"/>
          </w:tcPr>
          <w:p>
            <w:pPr>
              <w:ind w:left="280"/>
              <w:spacing w:after="0" w:line="172" w:lineRule="exact"/>
              <w:rPr>
                <w:sz w:val="20"/>
                <w:szCs w:val="20"/>
                <w:color w:val="auto"/>
              </w:rPr>
            </w:pPr>
            <w:r>
              <w:rPr>
                <w:rFonts w:ascii="Arial" w:cs="Arial" w:eastAsia="Arial" w:hAnsi="Arial"/>
                <w:sz w:val="16"/>
                <w:szCs w:val="16"/>
                <w:b w:val="1"/>
                <w:bCs w:val="1"/>
                <w:color w:val="auto"/>
              </w:rPr>
              <w:t>B1</w:t>
            </w:r>
          </w:p>
        </w:tc>
        <w:tc>
          <w:tcPr>
            <w:tcW w:w="320" w:type="dxa"/>
            <w:vAlign w:val="bottom"/>
          </w:tcPr>
          <w:p>
            <w:pPr>
              <w:spacing w:after="0"/>
              <w:rPr>
                <w:sz w:val="14"/>
                <w:szCs w:val="14"/>
                <w:color w:val="auto"/>
              </w:rPr>
            </w:pPr>
          </w:p>
        </w:tc>
        <w:tc>
          <w:tcPr>
            <w:tcW w:w="980" w:type="dxa"/>
            <w:vAlign w:val="bottom"/>
            <w:gridSpan w:val="2"/>
          </w:tcPr>
          <w:p>
            <w:pPr>
              <w:jc w:val="center"/>
              <w:ind w:right="420"/>
              <w:spacing w:after="0" w:line="172" w:lineRule="exact"/>
              <w:rPr>
                <w:sz w:val="20"/>
                <w:szCs w:val="20"/>
                <w:color w:val="auto"/>
              </w:rPr>
            </w:pPr>
            <w:r>
              <w:rPr>
                <w:rFonts w:ascii="Arial" w:cs="Arial" w:eastAsia="Arial" w:hAnsi="Arial"/>
                <w:sz w:val="16"/>
                <w:szCs w:val="16"/>
                <w:b w:val="1"/>
                <w:bCs w:val="1"/>
                <w:color w:val="auto"/>
                <w:w w:val="97"/>
              </w:rPr>
              <w:t>B2</w:t>
            </w:r>
          </w:p>
        </w:tc>
        <w:tc>
          <w:tcPr>
            <w:tcW w:w="300" w:type="dxa"/>
            <w:vAlign w:val="bottom"/>
          </w:tcPr>
          <w:p>
            <w:pPr>
              <w:spacing w:after="0"/>
              <w:rPr>
                <w:sz w:val="14"/>
                <w:szCs w:val="14"/>
                <w:color w:val="auto"/>
              </w:rPr>
            </w:pPr>
          </w:p>
        </w:tc>
        <w:tc>
          <w:tcPr>
            <w:tcW w:w="1000" w:type="dxa"/>
            <w:vAlign w:val="bottom"/>
            <w:gridSpan w:val="2"/>
          </w:tcPr>
          <w:p>
            <w:pPr>
              <w:ind w:left="200"/>
              <w:spacing w:after="0" w:line="172" w:lineRule="exact"/>
              <w:rPr>
                <w:sz w:val="20"/>
                <w:szCs w:val="20"/>
                <w:color w:val="auto"/>
              </w:rPr>
            </w:pPr>
            <w:r>
              <w:rPr>
                <w:rFonts w:ascii="Arial" w:cs="Arial" w:eastAsia="Arial" w:hAnsi="Arial"/>
                <w:sz w:val="16"/>
                <w:szCs w:val="16"/>
                <w:b w:val="1"/>
                <w:bCs w:val="1"/>
                <w:color w:val="auto"/>
              </w:rPr>
              <w:t>B3</w:t>
            </w:r>
          </w:p>
        </w:tc>
        <w:tc>
          <w:tcPr>
            <w:tcW w:w="240" w:type="dxa"/>
            <w:vAlign w:val="bottom"/>
          </w:tcPr>
          <w:p>
            <w:pPr>
              <w:spacing w:after="0"/>
              <w:rPr>
                <w:sz w:val="14"/>
                <w:szCs w:val="14"/>
                <w:color w:val="auto"/>
              </w:rPr>
            </w:pPr>
          </w:p>
        </w:tc>
        <w:tc>
          <w:tcPr>
            <w:tcW w:w="1060" w:type="dxa"/>
            <w:vAlign w:val="bottom"/>
            <w:gridSpan w:val="4"/>
          </w:tcPr>
          <w:p>
            <w:pPr>
              <w:ind w:left="160"/>
              <w:spacing w:after="0" w:line="172" w:lineRule="exact"/>
              <w:rPr>
                <w:sz w:val="20"/>
                <w:szCs w:val="20"/>
                <w:color w:val="auto"/>
              </w:rPr>
            </w:pPr>
            <w:r>
              <w:rPr>
                <w:rFonts w:ascii="Arial" w:cs="Arial" w:eastAsia="Arial" w:hAnsi="Arial"/>
                <w:sz w:val="19"/>
                <w:szCs w:val="19"/>
                <w:b w:val="1"/>
                <w:bCs w:val="1"/>
                <w:color w:val="auto"/>
                <w:vertAlign w:val="subscript"/>
              </w:rPr>
              <w:t>N/A</w:t>
            </w:r>
            <w:r>
              <w:rPr>
                <w:rFonts w:ascii="Arial" w:cs="Arial" w:eastAsia="Arial" w:hAnsi="Arial"/>
                <w:sz w:val="8"/>
                <w:szCs w:val="8"/>
                <w:b w:val="1"/>
                <w:bCs w:val="1"/>
                <w:i w:val="1"/>
                <w:iCs w:val="1"/>
                <w:color w:val="auto"/>
              </w:rPr>
              <w:t>(1)</w:t>
            </w:r>
          </w:p>
        </w:tc>
        <w:tc>
          <w:tcPr>
            <w:tcW w:w="240" w:type="dxa"/>
            <w:vAlign w:val="bottom"/>
          </w:tcPr>
          <w:p>
            <w:pPr>
              <w:spacing w:after="0"/>
              <w:rPr>
                <w:sz w:val="14"/>
                <w:szCs w:val="14"/>
                <w:color w:val="auto"/>
              </w:rPr>
            </w:pPr>
          </w:p>
        </w:tc>
        <w:tc>
          <w:tcPr>
            <w:tcW w:w="1020" w:type="dxa"/>
            <w:vAlign w:val="bottom"/>
          </w:tcPr>
          <w:p>
            <w:pPr>
              <w:jc w:val="right"/>
              <w:ind w:right="375"/>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Investments in leases - sales-</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type and financing</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receivable, Investments in</w:t>
            </w:r>
          </w:p>
        </w:tc>
        <w:tc>
          <w:tcPr>
            <w:tcW w:w="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15,761,205</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917,138</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281,450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17,024,805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Other assets</w:t>
            </w:r>
          </w:p>
        </w:tc>
        <w:tc>
          <w:tcPr>
            <w:tcW w:w="30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March 31, 2020</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Ba2</w:t>
            </w:r>
          </w:p>
        </w:tc>
        <w:tc>
          <w:tcPr>
            <w:tcW w:w="280" w:type="dxa"/>
            <w:vAlign w:val="bottom"/>
          </w:tcPr>
          <w:p>
            <w:pPr>
              <w:spacing w:after="0"/>
              <w:rPr>
                <w:sz w:val="14"/>
                <w:szCs w:val="14"/>
                <w:color w:val="auto"/>
              </w:rPr>
            </w:pPr>
          </w:p>
        </w:tc>
        <w:tc>
          <w:tcPr>
            <w:tcW w:w="1000" w:type="dxa"/>
            <w:vAlign w:val="bottom"/>
            <w:gridSpan w:val="3"/>
          </w:tcPr>
          <w:p>
            <w:pPr>
              <w:ind w:left="180"/>
              <w:spacing w:after="0" w:line="172" w:lineRule="exact"/>
              <w:rPr>
                <w:sz w:val="20"/>
                <w:szCs w:val="20"/>
                <w:color w:val="auto"/>
              </w:rPr>
            </w:pPr>
            <w:r>
              <w:rPr>
                <w:rFonts w:ascii="Arial" w:cs="Arial" w:eastAsia="Arial" w:hAnsi="Arial"/>
                <w:sz w:val="16"/>
                <w:szCs w:val="16"/>
                <w:b w:val="1"/>
                <w:bCs w:val="1"/>
                <w:color w:val="auto"/>
              </w:rPr>
              <w:t>Ba3</w:t>
            </w:r>
          </w:p>
        </w:tc>
        <w:tc>
          <w:tcPr>
            <w:tcW w:w="240" w:type="dxa"/>
            <w:vAlign w:val="bottom"/>
          </w:tcPr>
          <w:p>
            <w:pPr>
              <w:spacing w:after="0"/>
              <w:rPr>
                <w:sz w:val="14"/>
                <w:szCs w:val="14"/>
                <w:color w:val="auto"/>
              </w:rPr>
            </w:pPr>
          </w:p>
        </w:tc>
        <w:tc>
          <w:tcPr>
            <w:tcW w:w="1100" w:type="dxa"/>
            <w:vAlign w:val="bottom"/>
            <w:gridSpan w:val="2"/>
          </w:tcPr>
          <w:p>
            <w:pPr>
              <w:ind w:left="300"/>
              <w:spacing w:after="0" w:line="172" w:lineRule="exact"/>
              <w:rPr>
                <w:sz w:val="20"/>
                <w:szCs w:val="20"/>
                <w:color w:val="auto"/>
              </w:rPr>
            </w:pPr>
            <w:r>
              <w:rPr>
                <w:rFonts w:ascii="Arial" w:cs="Arial" w:eastAsia="Arial" w:hAnsi="Arial"/>
                <w:sz w:val="16"/>
                <w:szCs w:val="16"/>
                <w:b w:val="1"/>
                <w:bCs w:val="1"/>
                <w:color w:val="auto"/>
              </w:rPr>
              <w:t>B1</w:t>
            </w:r>
          </w:p>
        </w:tc>
        <w:tc>
          <w:tcPr>
            <w:tcW w:w="320" w:type="dxa"/>
            <w:vAlign w:val="bottom"/>
          </w:tcPr>
          <w:p>
            <w:pPr>
              <w:spacing w:after="0"/>
              <w:rPr>
                <w:sz w:val="14"/>
                <w:szCs w:val="14"/>
                <w:color w:val="auto"/>
              </w:rPr>
            </w:pPr>
          </w:p>
        </w:tc>
        <w:tc>
          <w:tcPr>
            <w:tcW w:w="980" w:type="dxa"/>
            <w:vAlign w:val="bottom"/>
            <w:gridSpan w:val="2"/>
          </w:tcPr>
          <w:p>
            <w:pPr>
              <w:jc w:val="center"/>
              <w:ind w:right="420"/>
              <w:spacing w:after="0" w:line="172" w:lineRule="exact"/>
              <w:rPr>
                <w:sz w:val="20"/>
                <w:szCs w:val="20"/>
                <w:color w:val="auto"/>
              </w:rPr>
            </w:pPr>
            <w:r>
              <w:rPr>
                <w:rFonts w:ascii="Arial" w:cs="Arial" w:eastAsia="Arial" w:hAnsi="Arial"/>
                <w:sz w:val="16"/>
                <w:szCs w:val="16"/>
                <w:b w:val="1"/>
                <w:bCs w:val="1"/>
                <w:color w:val="auto"/>
                <w:w w:val="97"/>
              </w:rPr>
              <w:t>B2</w:t>
            </w:r>
          </w:p>
        </w:tc>
        <w:tc>
          <w:tcPr>
            <w:tcW w:w="300" w:type="dxa"/>
            <w:vAlign w:val="bottom"/>
          </w:tcPr>
          <w:p>
            <w:pPr>
              <w:spacing w:after="0"/>
              <w:rPr>
                <w:sz w:val="14"/>
                <w:szCs w:val="14"/>
                <w:color w:val="auto"/>
              </w:rPr>
            </w:pPr>
          </w:p>
        </w:tc>
        <w:tc>
          <w:tcPr>
            <w:tcW w:w="1000" w:type="dxa"/>
            <w:vAlign w:val="bottom"/>
            <w:gridSpan w:val="2"/>
          </w:tcPr>
          <w:p>
            <w:pPr>
              <w:ind w:left="200"/>
              <w:spacing w:after="0" w:line="172" w:lineRule="exact"/>
              <w:rPr>
                <w:sz w:val="20"/>
                <w:szCs w:val="20"/>
                <w:color w:val="auto"/>
              </w:rPr>
            </w:pPr>
            <w:r>
              <w:rPr>
                <w:rFonts w:ascii="Arial" w:cs="Arial" w:eastAsia="Arial" w:hAnsi="Arial"/>
                <w:sz w:val="16"/>
                <w:szCs w:val="16"/>
                <w:b w:val="1"/>
                <w:bCs w:val="1"/>
                <w:color w:val="auto"/>
              </w:rPr>
              <w:t>B3</w:t>
            </w:r>
          </w:p>
        </w:tc>
        <w:tc>
          <w:tcPr>
            <w:tcW w:w="240" w:type="dxa"/>
            <w:vAlign w:val="bottom"/>
          </w:tcPr>
          <w:p>
            <w:pPr>
              <w:spacing w:after="0"/>
              <w:rPr>
                <w:sz w:val="14"/>
                <w:szCs w:val="14"/>
                <w:color w:val="auto"/>
              </w:rPr>
            </w:pPr>
          </w:p>
        </w:tc>
        <w:tc>
          <w:tcPr>
            <w:tcW w:w="1060" w:type="dxa"/>
            <w:vAlign w:val="bottom"/>
            <w:gridSpan w:val="4"/>
          </w:tcPr>
          <w:p>
            <w:pPr>
              <w:ind w:left="14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(1)</w:t>
            </w:r>
          </w:p>
        </w:tc>
        <w:tc>
          <w:tcPr>
            <w:tcW w:w="240" w:type="dxa"/>
            <w:vAlign w:val="bottom"/>
          </w:tcPr>
          <w:p>
            <w:pPr>
              <w:spacing w:after="0"/>
              <w:rPr>
                <w:sz w:val="14"/>
                <w:szCs w:val="14"/>
                <w:color w:val="auto"/>
              </w:rPr>
            </w:pPr>
          </w:p>
        </w:tc>
        <w:tc>
          <w:tcPr>
            <w:tcW w:w="1020" w:type="dxa"/>
            <w:vAlign w:val="bottom"/>
          </w:tcPr>
          <w:p>
            <w:pPr>
              <w:jc w:val="right"/>
              <w:ind w:right="375"/>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Investments in leases - sales-</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type and financing</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receivable, Investments in</w:t>
            </w:r>
          </w:p>
        </w:tc>
        <w:tc>
          <w:tcPr>
            <w:tcW w:w="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561,349</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9,889,284</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901,005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280,485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11,632,123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Other assets</w:t>
            </w:r>
          </w:p>
        </w:tc>
        <w:tc>
          <w:tcPr>
            <w:tcW w:w="3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60" w:type="dxa"/>
            <w:vAlign w:val="bottom"/>
            <w:gridSpan w:val="4"/>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We estimate the CECL allowance for the Chelsea Piers Mortgage Loan using a traditional commercial real estate model based on standardized credit metrics to estimate potential losses.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March 31, 2021 and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16"/>
                <w:szCs w:val="16"/>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Sales-type sub-leases</w:t>
            </w:r>
          </w:p>
        </w:tc>
        <w:tc>
          <w:tcPr>
            <w:tcW w:w="25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Property and equipment used in operations, net</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69,556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financing costs</w:t>
            </w:r>
          </w:p>
        </w:tc>
        <w:tc>
          <w:tcPr>
            <w:tcW w:w="2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17,337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acquisition costs</w:t>
            </w:r>
          </w:p>
        </w:tc>
        <w:tc>
          <w:tcPr>
            <w:tcW w:w="2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Tenant receivables</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2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March 31, 2021 and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292"/>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r>
      <w:tr>
        <w:trPr>
          <w:trHeight w:val="229"/>
        </w:trPr>
        <w:tc>
          <w:tcPr>
            <w:tcW w:w="20" w:type="dxa"/>
            <w:vAlign w:val="bottom"/>
          </w:tcPr>
          <w:p>
            <w:pPr>
              <w:spacing w:after="0"/>
              <w:rPr>
                <w:sz w:val="19"/>
                <w:szCs w:val="19"/>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14,697</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60" w:type="dxa"/>
            <w:vAlign w:val="bottom"/>
            <w:gridSpan w:val="3"/>
          </w:tcPr>
          <w:p>
            <w:pPr>
              <w:ind w:left="180"/>
              <w:spacing w:after="0"/>
              <w:rPr>
                <w:sz w:val="20"/>
                <w:szCs w:val="20"/>
                <w:color w:val="auto"/>
              </w:rPr>
            </w:pPr>
            <w:r>
              <w:rPr>
                <w:rFonts w:ascii="Arial" w:cs="Arial" w:eastAsia="Arial" w:hAnsi="Arial"/>
                <w:sz w:val="18"/>
                <w:szCs w:val="18"/>
                <w:color w:val="auto"/>
              </w:rPr>
              <w:t>Total property and equipment used in operations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81,886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80,832</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60" w:type="dxa"/>
            <w:vAlign w:val="bottom"/>
            <w:gridSpan w:val="3"/>
          </w:tcPr>
          <w:p>
            <w:pPr>
              <w:ind w:left="180"/>
              <w:spacing w:after="0"/>
              <w:rPr>
                <w:sz w:val="20"/>
                <w:szCs w:val="20"/>
                <w:color w:val="auto"/>
              </w:rPr>
            </w:pPr>
            <w:r>
              <w:rPr>
                <w:rFonts w:ascii="Arial" w:cs="Arial" w:eastAsia="Arial" w:hAnsi="Arial"/>
                <w:sz w:val="18"/>
                <w:szCs w:val="18"/>
                <w:color w:val="auto"/>
              </w:rPr>
              <w:t>Total property and equipment used in operations, net</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69,556</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69,204</w:t>
            </w: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5"/>
          </w:tcPr>
          <w:p>
            <w:pPr>
              <w:jc w:val="right"/>
              <w:ind w:right="892"/>
              <w:spacing w:after="0"/>
              <w:rPr>
                <w:sz w:val="20"/>
                <w:szCs w:val="20"/>
                <w:color w:val="auto"/>
              </w:rPr>
            </w:pPr>
            <w:r>
              <w:rPr>
                <w:rFonts w:ascii="Arial" w:cs="Arial" w:eastAsia="Arial" w:hAnsi="Arial"/>
                <w:sz w:val="16"/>
                <w:szCs w:val="16"/>
                <w:b w:val="1"/>
                <w:bCs w:val="1"/>
                <w:color w:val="auto"/>
              </w:rPr>
              <w:t>Three Months Ended March 31,</w:t>
            </w:r>
          </w:p>
        </w:tc>
      </w:tr>
      <w:tr>
        <w:trPr>
          <w:trHeight w:val="172"/>
        </w:trPr>
        <w:tc>
          <w:tcPr>
            <w:tcW w:w="20" w:type="dxa"/>
            <w:vAlign w:val="bottom"/>
          </w:tcPr>
          <w:p>
            <w:pPr>
              <w:spacing w:after="0"/>
              <w:rPr>
                <w:sz w:val="14"/>
                <w:szCs w:val="14"/>
                <w:color w:val="auto"/>
              </w:rPr>
            </w:pPr>
          </w:p>
        </w:tc>
        <w:tc>
          <w:tcPr>
            <w:tcW w:w="698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ind w:right="77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right"/>
              <w:ind w:right="772"/>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March 31, 2021 and December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284,376</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92,521</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17,507</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Accrued payroll and other compensation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8,474</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413,663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March 31, 2021 and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900"/>
              <w:spacing w:after="0"/>
              <w:rPr>
                <w:sz w:val="20"/>
                <w:szCs w:val="20"/>
                <w:color w:val="auto"/>
              </w:rPr>
            </w:pPr>
            <w:r>
              <w:rPr>
                <w:rFonts w:ascii="Arial" w:cs="Arial" w:eastAsia="Arial" w:hAnsi="Arial"/>
                <w:sz w:val="16"/>
                <w:szCs w:val="16"/>
                <w:b w:val="1"/>
                <w:bCs w:val="1"/>
                <w:color w:val="auto"/>
              </w:rPr>
              <w:t>March 31, 2021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vMerge w:val="continue"/>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Interest Rate</w:t>
            </w: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1340" w:type="dxa"/>
            <w:vAlign w:val="bottom"/>
            <w:gridSpan w:val="2"/>
          </w:tcPr>
          <w:p>
            <w:pPr>
              <w:jc w:val="right"/>
              <w:spacing w:after="0" w:line="210"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3"/>
                <w:szCs w:val="23"/>
                <w:i w:val="1"/>
                <w:iCs w:val="1"/>
                <w:color w:val="auto"/>
                <w:w w:val="95"/>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 + 2.00%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 + 1.75%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1,233,832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986,130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6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6"/>
                <w:szCs w:val="16"/>
                <w:b w:val="1"/>
                <w:bCs w:val="1"/>
                <w:color w:val="auto"/>
              </w:rPr>
              <w:t>Description of Debt</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Face Value</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60" w:type="dxa"/>
            <w:vAlign w:val="bottom"/>
            <w:gridSpan w:val="3"/>
          </w:tcPr>
          <w:p>
            <w:pPr>
              <w:ind w:left="2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 + 2.00%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 + 1.750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6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1,233,119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985,730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1"/>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Borrowings under the Revolving Credit Facility will bear interest at a rate based on a leverage-based pricing grid with a range of 1.75% to 2.00% over LIBOR, or between 0.75% and 1.00% over the base rate depending on our total net debt to adjusted total assets ratio. Additionally, the commitment fee under the Revolving Credit Facility is calculated on a leverage-based pricing grid with a range of 0.375% to 0.5%, in each case depending on our total net debt to adjusted total assets ratio. For the three months ended March 31, 2021, the commitment fee was 0.375%.</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As of March 31, 2021, we had four interest rate swap agreements outstanding with third-party financial institutions having an aggregate notional amount of $1.5 billion at a LIBOR rate of 2.8297%. As of December 31, 2020, we had six interest rate swap agreements outstanding with third-party financial institutions having an aggregate notional amount of $2.0 billion at a blended LIBOR rate of 2.7173%.</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March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272"/>
              <w:spacing w:after="0"/>
              <w:rPr>
                <w:sz w:val="20"/>
                <w:szCs w:val="20"/>
                <w:color w:val="auto"/>
              </w:rPr>
            </w:pPr>
            <w:r>
              <w:rPr>
                <w:rFonts w:ascii="Arial" w:cs="Arial" w:eastAsia="Arial" w:hAnsi="Arial"/>
                <w:sz w:val="16"/>
                <w:szCs w:val="16"/>
                <w:b w:val="1"/>
                <w:bCs w:val="1"/>
                <w:color w:val="auto"/>
              </w:rPr>
              <w:t>Future Minimum</w:t>
            </w:r>
          </w:p>
        </w:tc>
      </w:tr>
      <w:tr>
        <w:trPr>
          <w:trHeight w:val="175"/>
        </w:trPr>
        <w:tc>
          <w:tcPr>
            <w:tcW w:w="20" w:type="dxa"/>
            <w:vAlign w:val="bottom"/>
          </w:tcPr>
          <w:p>
            <w:pPr>
              <w:spacing w:after="0"/>
              <w:rPr>
                <w:sz w:val="15"/>
                <w:szCs w:val="15"/>
                <w:color w:val="auto"/>
              </w:rPr>
            </w:pPr>
          </w:p>
        </w:tc>
        <w:tc>
          <w:tcPr>
            <w:tcW w:w="9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170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Payments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2,068,000</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1,250,000</w:t>
            </w: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Total minimum repayments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26, 2019, the Operating Partnership and the Co-Issuer (together with the Operating Partnership, the “Issuers”), our wholly owned subsidiaries, issued (i) $1,250.0 million in aggregate principal amount of 4.250% 2026 Notes, which mature on December 1, 2026, and (ii) $1,000.0 million in aggregate principal amount of 4.625% 2029 Notes, which mature on December 1, 2029, under separate indentures, each dated as of November 26, 2019, among the Issuers, the subsidiary guarantors party thereto and UMB Bank, National Association, as trustee (the “Trustee”). We used a portion of the net proceeds of the offering to repay in full the $1.55 billion mortgage financing of Caesars Palace Las Vegas, and pay certain fees and expenses including the net prepayment penalty of $55.4 million. On January 24, 2020, the remaining net proceeds were used to pay for a portion of the purchase price of the JACK Cleveland/Thistledown Acquisition.</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on the November 2019 Senior Unsecured Notes is payable semi-annually in cash in arrears on June 1 and December 1 of each year. The 2026 Notes and 2029 Notes are redeemable at our option, in whole or in part, at any time on or after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December 1, 2022 and December 1, 2024, respectively, at the redemption prices set forth in the respective indenture. We may redeem some or all of the 2026 Notes or the 2029 Notes prior to such respective dates at a price equal to 100% of the principal amount thereof plus a “make-whole” premium. Prior to December 1, 2022, we may redeem up to 40% of the aggregate principal amount of the 2026 Notes or the 2029 Notes using the proceeds of certain equity offerings at the redemption price set forth in the respective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5, 2020, the Issuers issued (i) $750.0 million in aggregate principal amount of 3.500% 2025 Notes, which mature on February 15, 2025, (ii) $750.0 million in aggregate principal amount of 3.750% 2027 Notes, which mature on February 15, 2027, and (iii) $1.0 billion in aggregate principal amount of 4.125% 2030 Notes, which mature on August 15, 2030, under separate indentures, each dated as of February 5, 2020, among the Issuers, the subsidiary guarantors party thereto and the Trustee. We placed $2.0 billion of the net proceeds of the offering into escrow pending the consummation of the Eldorado Transaction (which was subsequently released from escrow and used to fund a portion of the purchase price of the Eldorado Transaction on July 20, 2020), and used the remaining net proceeds from the 2025 Notes, together with cash on hand, to redeem in full the outstanding $498.5 million in aggregate principal amount of the Second Lien Notes plus the Second Lien Notes Applicable Premium (as defined in the Second Lien Notes indenture), for a total redemption cost of approximately $537.5 million.</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the February 2020 Senior Unsecured Notes is payable semi-annually in cash in arrears on February 15 and August 15 of each year. The 2025 Notes, 2027 Notes and 2030 Notes are redeemable at our option, in whole or in part, at any time on or after February 15, 2022, February 15, 2023, and February 15, 2025, respectively, at the redemption prices set forth in the respective indenture. We may redeem some or all of the 2025 Notes, 2027 Notes or 2030 Notes prior to such respective dates at a price equal to 100% of the principal amount thereof plus a “make-whole” premium. Prior to February 15, 2022, with respect to the 2025 Notes, and February 15, 2023, with respect to the 2027 Notes and 2030 Notes, we may redeem up to 40% of the aggregate principal amount of the 2025 Notes, 2027 Notes or 2030 Notes using the proceeds of certain equity offerings at the redemption price set forth in the respective indenture.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November 2019 Senior Unsecured Notes and the February 2020 Senior Unsecured Notes (together, the “Senior Unsecured Notes”) are fully and unconditionally guaranteed, jointly and severally, on a senior unsecured basis by each existing and future direct and indirect wholly owned material domestic subsidiary of the Operating Partnership that incurs or guarantees certain bank indebtedness or any other material capital market indebtedness, other than certain excluded subsidiaries and the Co-Issuer.</w:t>
      </w:r>
    </w:p>
    <w:p>
      <w:pPr>
        <w:spacing w:after="0" w:line="133"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Operating Partnership and its subsidiaries represent our “Real Property Business” segment, with the “Golf Course Business” segment corresponding to the portion of our business operated through entities that are not direct or indirect subsidiaries of the Operating Partnership or obligors of the Senior Unsecured Notes. Refer to </w:t>
      </w:r>
      <w:hyperlink w:anchor="page45">
        <w:r>
          <w:rPr>
            <w:rFonts w:ascii="Arial" w:cs="Arial" w:eastAsia="Arial" w:hAnsi="Arial"/>
            <w:sz w:val="18"/>
            <w:szCs w:val="18"/>
            <w:u w:val="single" w:color="auto"/>
            <w:color w:val="0000FF"/>
          </w:rPr>
          <w:t>Note 14 -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respective indentures for the Senior Unsecured Notes each contain covenants that limit the Issuers’ and their restricted subsidiaries’ ability to, among other things: (i) incur additional debt; (ii) pay dividends on or make other distributions in respect of their capital stock or make other restricted payments;</w:t>
      </w:r>
    </w:p>
    <w:p>
      <w:pPr>
        <w:jc w:val="both"/>
        <w:ind w:firstLine="8"/>
        <w:spacing w:after="0" w:line="281" w:lineRule="auto"/>
        <w:tabs>
          <w:tab w:leader="none" w:pos="3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w:t>
      </w:r>
    </w:p>
    <w:p>
      <w:pPr>
        <w:spacing w:after="0" w:line="1" w:lineRule="exact"/>
        <w:rPr>
          <w:rFonts w:ascii="Arial" w:cs="Arial" w:eastAsia="Arial" w:hAnsi="Arial"/>
          <w:sz w:val="16"/>
          <w:szCs w:val="16"/>
          <w:color w:val="auto"/>
        </w:rPr>
      </w:pPr>
    </w:p>
    <w:p>
      <w:pPr>
        <w:jc w:val="both"/>
        <w:ind w:firstLine="8"/>
        <w:spacing w:after="0" w:line="269" w:lineRule="auto"/>
        <w:tabs>
          <w:tab w:leader="none" w:pos="4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 As of March 31, 2021, the restricted net assets of the Operating Partnership were approximately $8.1 billion.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previous revolving credit facility under the Revolving Credit Facility. After giving effect to Amendment No. 2, the Credit Agreement, provided total borrowing capacity pursuant to the revolving credit commitments in the aggregate principal amount of $1.0 billion.</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May 15, 2019, immediately after giving effect to Amendment No. 2, VICI PropCo entered into Amendment No. 3 (“Amendment No. 3”) to the Credit Agreement, which amended and restated the Credit Agreement in its entirety as of May 15, 2019 (as subsequently amended,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restricted payments in an aggregate amount not to exceed the greater of 0.6% of Adjusted Total Assets or $30.0 million. We are also subject to the financial covenants under the Revolving Credit Facility, as previously described above.</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2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7">
        <w:r>
          <w:rPr>
            <w:rFonts w:ascii="Arial" w:cs="Arial" w:eastAsia="Arial" w:hAnsi="Arial"/>
            <w:sz w:val="18"/>
            <w:szCs w:val="18"/>
            <w:u w:val="single" w:color="auto"/>
            <w:color w:val="0000FF"/>
          </w:rPr>
          <w:t>Note 8 - 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our interest rate swap agreements related to the Term Loan B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Bridge Facility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 2021, in connection with the Venetian Acquisition, VICI PropCo entered into a Commitment Letter (the “Venetian Acquisition Commitment Letter”) with Deutsche Bank Securities Inc. and Deutsche Bank AG Cayman Islands Branch, and Morgan Stanley Senior Funding, Inc. (collectively, the “Venetian Acquisition Bridge Lender”), pursuant to which, and subject to the terms and conditions set forth therein, the Venetian Acquisition Bridge Lender has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Venetian PropCo Acquisition. The commitment fee is equal to, (i) with respect to any commitments that remain outstanding prior to April 1, 2021, 0.25% of such commitments, (ii) with respect to any commitments that remain outstanding on April 1, 2021 and are terminated prior to March 2, 2022, 0.50% of such commitments, and (iii) with respect to any commitments that remain outstanding after March 2, 2022, 0.75% of such commitments. For the three months ended March 31, 2021, we have recognized $2.4 million of fees related to the Venetian Acquisition Bridge Facility in Interest expense on our Statement of Operations.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Commitments and loans under the Venetian Acquisition Bridge Facility will be reduced or prepaid, as applicable, in part with the proceeds of certain incurrences of indebtedness, issuances of equity and asset sales. If we use the Venetian Acquisition Bridge Facility, funding is contingent on the satisfaction of certain customary conditions set forth in the Venetian Acquisition Commitment Letter, including, among others, (i) the execution and delivery of definitive documentation with respect to the Venetian Acquisition Bridge Facility in accordance with the terms set forth in the Venetian Acquisition Commitment Letter and (ii) the consummation of the Venetian Acquisition in accordance with the Purchase Agreements. Although we do not currently expect VICI PropCo to make any borrowings under the Venetian Acquisition Bridge Facility, there can be no assurance that such borrowings will not be made or that we will be able to incur alternative long-term debt financing in lieu of borrowings under the Venetian Acquisition Bridge Facility on favorable terms, or at all. Interest under the Venetian Acquisition Bridge Facility, if funded, will be calculated on a rate between (i) LIBOR plus 200 basis points and LIBOR plus 275 basis points or (ii) the base rate plus 100 basis points and the base rate plus 175 basis points, in each case depending on duration. The Venetian Acquisition Bridge Facility, if funded, will contain restrictive covenants and events of default substantially similar to those contained in Senior Secured Credit Facilities. If we draw upon the Venetian Acquisition Bridge Facility, there can be no assurances that we would be able to refinance the Venetian Acquisition Bridge Facility on satisfactory terms, or at all.</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8, 2021, following the entry into the March 2021 Forward Sale Agreements, the commitments under the Venetian Acquisition Bridge Facility were reduced by $1,890.0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Transaction Bridge Facilities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24, 2019, in connection with the Eldorado Transaction, VICI PropCo entered into a commitment letter with Deutsche Bank Securities Inc. and Deutsche Bank AG Cayman Islands Branch (collectively, the “Eldorado Transaction Bridge Lender”), pursuant to which and subject to the terms and conditions set forth therein, the Eldorado Transaction Bridge Lender agreed to provide (i) a 364-day first lien secured bridge facility of up to $3.3 billion in the aggregate and (ii) a 364-day second lien secured bridge facility of up to $1.5 billion in the aggregate (collectively the “Eldorado Transaction Bridge Facilities”), for the purpose of providing a portion of the financing necessary to fund the consideration to be paid pursuant to the terms of the Eldorado Transaction documents and related fees and expenses. Following the November 2019 Senior Unsecured Notes offering, the commitments under the Bridge Facilities were reduced by $1.6 billion, to $3.2 billion. Following the February 2020 Senior Unsecured Notes offering, we placed $2.0 billion of the net proceeds of the offering into escrow pending the consummation of the Eldorado Transaction and the commitments under the Bridge Facilities were further reduced by $2.0 billion to $1.2 billion. The Eldorado Transaction Bridge Facilities were subject to a tiered commitment fee based on the period the commitment is outstanding and a structuring fee. The structuring fee was equal to 0.10% of the total aggregate commitments at June 24, 2019 and was payable as such commitments were terminated. For the three months ended March 31, 2020, we recognized $2.6 million of fees related to the Eldorado Transaction Bridge Facilities in Interest expense on our Statement of Operations. No such amount was recognized for the three months ended March 31, 2021 as the Eldorado Transaction Bridge Facilities were fully terminated at our election in June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on October 6, 2017, pursuant to an indenture by and among VICI PropCo and its wholly owned subsidiary, VICI FC Inc., the subsidiary guarantors party thereto, and UMB Bank National Association, as trustee. On February 20, 2020, we used a portion of the proceeds from the issuance of the 2025 Notes, together with cash on hand, to redeem in full the Second Lien Notes at a redemption price of 100% of the principal amount of the Second Lien Notes then outstanding plus the Second Lien Notes Applicable Premium (as defined in the Second Lien Notes indenture), for a total redemption cost of $537.5 million. In connection with the full redemption, we recognized a loss on extinguishment of debt of $39.1 million during three months ended March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the Operating Partnership,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March 31, 2021, we are in compliance with all financial covenants under our 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24, 2018, we entered into four interest rate swap agreements with third-party financial institutions having an aggregate notional amount of $1.5 billion. On January 3, 2019, we entered into two additional interest rate swap agreements with third-party financial institutions having an aggregate notional amount of $500.0 million, which matured on January 22, 2021. The interest rate swap transactions are designated as cash flow hedges that effectively fix the LIBOR component of the interest rate on a portion of the outstanding debt under the Term Loan B Facility at 2.8297%. As of March 31, 2021 and for the duration of the remaining interest rate swap transactions, we are subject to interest rate risk on $600.0 million of variable rate debt.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our outstanding interest rate derivatives that were designated as cash flow hedges of interest rate risk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6"/>
                <w:szCs w:val="16"/>
                <w:b w:val="1"/>
                <w:bCs w:val="1"/>
                <w:color w:val="auto"/>
              </w:rPr>
              <w:t>March 31, 2021</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5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580" w:type="dxa"/>
            <w:vAlign w:val="bottom"/>
            <w:gridSpan w:val="3"/>
            <w:vMerge w:val="continue"/>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2.8297%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ind w:left="300"/>
              <w:spacing w:after="0"/>
              <w:rPr>
                <w:sz w:val="20"/>
                <w:szCs w:val="20"/>
                <w:color w:val="auto"/>
              </w:rPr>
            </w:pPr>
            <w:r>
              <w:rPr>
                <w:rFonts w:ascii="Arial" w:cs="Arial" w:eastAsia="Arial" w:hAnsi="Arial"/>
                <w:sz w:val="16"/>
                <w:szCs w:val="16"/>
                <w:b w:val="1"/>
                <w:bCs w:val="1"/>
                <w:color w:val="auto"/>
              </w:rPr>
              <w:t>December 31, 2020</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5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580" w:type="dxa"/>
            <w:vAlign w:val="bottom"/>
            <w:gridSpan w:val="3"/>
            <w:vMerge w:val="continue"/>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the interest rate swaps are in net unrealized loss positions and are recorded within Other liabilities. The following table presents the effect of our derivative financial instruments on our Statement of Operations:</w:t>
      </w:r>
    </w:p>
    <w:p>
      <w:pPr>
        <w:spacing w:after="0" w:line="103"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3"/>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3"/>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 (loss) recorded in other comprehensive income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(53,138)</w:t>
            </w: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Interest recorded in interest expense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5,580</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assets and liabilities measured at fair value on a recurring basis as of March 31, 2021 and December 31,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w w:val="94"/>
              </w:rPr>
              <w:t>March 31, 2021</w:t>
            </w: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54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80,143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80,143</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57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50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19,973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92,521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92,521</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investments is equal to their fair value due to the short-term nature of the investments as well as their credit quality.</w:t>
      </w:r>
    </w:p>
    <w:p>
      <w:pPr>
        <w:spacing w:after="0" w:line="55" w:lineRule="exact"/>
        <w:rPr>
          <w:rFonts w:ascii="Arial" w:cs="Arial" w:eastAsia="Arial" w:hAnsi="Arial"/>
          <w:sz w:val="14"/>
          <w:szCs w:val="14"/>
          <w:i w:val="1"/>
          <w:iCs w:val="1"/>
          <w:color w:val="auto"/>
        </w:rPr>
      </w:pPr>
    </w:p>
    <w:p>
      <w:pPr>
        <w:ind w:right="240" w:firstLine="8"/>
        <w:spacing w:after="0" w:line="273" w:lineRule="auto"/>
        <w:tabs>
          <w:tab w:leader="none" w:pos="204"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as of March 31, 2021 and December 31, 2020 for which fair value is only disclosed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ind w:left="540"/>
              <w:spacing w:after="0"/>
              <w:rPr>
                <w:sz w:val="20"/>
                <w:szCs w:val="20"/>
                <w:color w:val="auto"/>
              </w:rPr>
            </w:pPr>
            <w:r>
              <w:rPr>
                <w:rFonts w:ascii="Arial" w:cs="Arial" w:eastAsia="Arial" w:hAnsi="Arial"/>
                <w:sz w:val="16"/>
                <w:szCs w:val="16"/>
                <w:b w:val="1"/>
                <w:bCs w:val="1"/>
                <w:color w:val="auto"/>
              </w:rPr>
              <w:t>March 31, 2021</w:t>
            </w:r>
          </w:p>
        </w:tc>
        <w:tc>
          <w:tcPr>
            <w:tcW w:w="320" w:type="dxa"/>
            <w:vAlign w:val="bottom"/>
          </w:tcPr>
          <w:p>
            <w:pPr>
              <w:spacing w:after="0"/>
              <w:rPr>
                <w:sz w:val="18"/>
                <w:szCs w:val="18"/>
                <w:color w:val="auto"/>
              </w:rPr>
            </w:pPr>
          </w:p>
        </w:tc>
        <w:tc>
          <w:tcPr>
            <w:tcW w:w="24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2020</w:t>
            </w:r>
          </w:p>
        </w:tc>
      </w:tr>
      <w:tr>
        <w:trPr>
          <w:trHeight w:val="172"/>
        </w:trPr>
        <w:tc>
          <w:tcPr>
            <w:tcW w:w="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31"/>
              <w:spacing w:after="0" w:line="172"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11"/>
              <w:spacing w:after="0" w:line="172" w:lineRule="exact"/>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i w:val="1"/>
                <w:iCs w:val="1"/>
                <w:color w:val="auto"/>
              </w:rPr>
              <w:t>Financial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5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2,628,422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2,804,602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2,684,955</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538,151</w:t>
            </w:r>
          </w:p>
        </w:tc>
      </w:tr>
      <w:tr>
        <w:trPr>
          <w:trHeight w:val="229"/>
        </w:trPr>
        <w:tc>
          <w:tcPr>
            <w:tcW w:w="20" w:type="dxa"/>
            <w:vAlign w:val="bottom"/>
          </w:tcPr>
          <w:p>
            <w:pPr>
              <w:spacing w:after="0"/>
              <w:rPr>
                <w:sz w:val="19"/>
                <w:szCs w:val="19"/>
                <w:color w:val="auto"/>
              </w:rPr>
            </w:pPr>
          </w:p>
        </w:tc>
        <w:tc>
          <w:tcPr>
            <w:tcW w:w="552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315,993</w:t>
            </w: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(3)</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Term Loan B Facility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2,082,161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2,073,750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2,080,974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2,065,875</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2025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766,875</w:t>
            </w:r>
          </w:p>
        </w:tc>
      </w:tr>
      <w:tr>
        <w:trPr>
          <w:trHeight w:val="229"/>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2026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1,233,832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1,271,875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1,233,119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1,296,875</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2027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763,125</w:t>
            </w:r>
          </w:p>
        </w:tc>
      </w:tr>
      <w:tr>
        <w:trPr>
          <w:trHeight w:val="229"/>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2029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1,070,000</w:t>
            </w: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2030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1,045,000</w:t>
            </w:r>
          </w:p>
        </w:tc>
      </w:tr>
      <w:tr>
        <w:trPr>
          <w:trHeight w:val="155"/>
        </w:trPr>
        <w:tc>
          <w:tcPr>
            <w:tcW w:w="5540" w:type="dxa"/>
            <w:vAlign w:val="bottom"/>
            <w:gridSpan w:val="3"/>
          </w:tcPr>
          <w:p>
            <w:pPr>
              <w:spacing w:after="0" w:line="155" w:lineRule="exact"/>
              <w:rPr>
                <w:sz w:val="20"/>
                <w:szCs w:val="20"/>
                <w:color w:val="auto"/>
              </w:rPr>
            </w:pPr>
            <w:r>
              <w:rPr>
                <w:rFonts w:ascii="Arial" w:cs="Arial" w:eastAsia="Arial" w:hAnsi="Arial"/>
                <w:sz w:val="14"/>
                <w:szCs w:val="14"/>
                <w:color w:val="auto"/>
              </w:rPr>
              <w:t>____________________</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ind w:left="340" w:right="20" w:hanging="332"/>
        <w:spacing w:after="0" w:line="241" w:lineRule="auto"/>
        <w:tabs>
          <w:tab w:leader="none" w:pos="332"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JACK Cleveland/Thistledown Lease Agreement and the MTA Properties. The fair value of these assets are based on significant “unobservable” market inputs and, as such, these fair value measurements are considered Level 3 of the fair value hierarchy.</w:t>
      </w:r>
    </w:p>
    <w:p>
      <w:pPr>
        <w:ind w:left="340" w:hanging="332"/>
        <w:spacing w:after="0" w:line="241" w:lineRule="auto"/>
        <w:tabs>
          <w:tab w:leader="none" w:pos="332"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(i) Caesars Forum Convention Center Mortgage Loan, (ii) Chelsea Piers Mortgage Loan and (iii) Amended and Restated ROV Loan. We believe the current principal balance of the investments approximates their fair value.</w:t>
      </w:r>
    </w:p>
    <w:p>
      <w:pPr>
        <w:ind w:left="340" w:hanging="332"/>
        <w:spacing w:after="0" w:line="255" w:lineRule="auto"/>
        <w:tabs>
          <w:tab w:leader="none" w:pos="332"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March 31, 2021,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(ii) offices in New Orleans, LA and New York, NY, which expire in 2021 and 2030, respectively. The discount rates for the leases was determined based on the yield of our current secured borrowings, adjusted to match borrowings of similar terms, and are between 5.3% and 5.5%. The weighted average remaining lease term as of March 31, 2021 under our operating leases was 15.2 years. Our Cascata ground lease has three 10-year extension options. The rent of such options would be the in-place rent at the time of renewal.</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49"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40" w:type="dxa"/>
            <w:vAlign w:val="bottom"/>
            <w:tcBorders>
              <w:top w:val="single" w:sz="8" w:color="auto"/>
            </w:tcBorders>
          </w:tcPr>
          <w:p>
            <w:pPr>
              <w:jc w:val="right"/>
              <w:ind w:right="173"/>
              <w:spacing w:after="0" w:line="175" w:lineRule="exact"/>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3"/>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Contractual rent</w:t>
            </w:r>
          </w:p>
        </w:tc>
        <w:tc>
          <w:tcPr>
            <w:tcW w:w="1440" w:type="dxa"/>
            <w:vAlign w:val="bottom"/>
          </w:tcPr>
          <w:p>
            <w:pPr>
              <w:jc w:val="right"/>
              <w:ind w:right="125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323</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we have a $17.3 million right of use asset and corresponding lease liability recorded in Other assets and Other liabilities, respectively, on our Balance Sheet related to our operating lease commitments for which we are the lessee.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March 31, 2021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230"/>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r>
      <w:tr>
        <w:trPr>
          <w:trHeight w:val="223"/>
        </w:trPr>
        <w:tc>
          <w:tcPr>
            <w:tcW w:w="20" w:type="dxa"/>
            <w:vAlign w:val="bottom"/>
          </w:tcPr>
          <w:p>
            <w:pPr>
              <w:spacing w:after="0"/>
              <w:rPr>
                <w:sz w:val="19"/>
                <w:szCs w:val="19"/>
                <w:color w:val="auto"/>
              </w:rPr>
            </w:pPr>
          </w:p>
        </w:tc>
        <w:tc>
          <w:tcPr>
            <w:tcW w:w="87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r>
      <w:tr>
        <w:trPr>
          <w:trHeight w:val="230"/>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17,337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 Commitments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of our acquisitions necessitate that we assume, as the lessee, ground and use leases, the cost of which is passed to our tenants through the Lease Agreements, which require the tenants to pay all costs associated with such ground and use leases and provide for their direct payment to the landlord.</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determined we are the primary obligor of certain of such ground and use leases and, accordingly, have presented these leases on a gross basis on our Balance Sheet and Statement of Operations. Further, we assessed the classification of the sub-lease to our tenant through the Lease Agreements, and our obligation as primary obligor of the ground and use leases and determined that they meet the definition of a sales-type lease and finance lease, respectively. The following table details the balance and location in our Balance Sheet of the ground and use leases as of March 31, 2021 and December 31, 2020, which is primarily comprised of the HNO Ground Lease: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(sales-type sub-leases)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liabilities (finance sub-lease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284,190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284,376</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03"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3"/>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3"/>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Rental income and expense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Contractual rent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relating to the ground and use leases at March 31, 2021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26,350</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23,350</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23,350</w:t>
            </w:r>
          </w:p>
        </w:tc>
      </w:tr>
      <w:tr>
        <w:trPr>
          <w:trHeight w:val="229"/>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741,730</w:t>
            </w:r>
          </w:p>
        </w:tc>
      </w:tr>
      <w:tr>
        <w:trPr>
          <w:trHeight w:val="223"/>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881,993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597,803</w:t>
            </w:r>
          </w:p>
        </w:tc>
      </w:tr>
      <w:tr>
        <w:trPr>
          <w:trHeight w:val="230"/>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Finance sub-lease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284,190</w:t>
            </w:r>
          </w:p>
        </w:tc>
      </w:tr>
    </w:tbl>
    <w:p>
      <w:pPr>
        <w:spacing w:after="0" w:line="20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discount rate for the ground and use leases was determined based on the yield of our current secured borrowings, adjusted to match borrowings of similar terms, and are between 6% and 8%. The weighted average remaining lease term as of March 31, 2021 under our finance leases was 37.5 years.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March 2, 2021, we amended our Articles of Amendment and Restatement to increase: (i) the number of shares of stock that we are authorized to issue from 750,000,000 to 1,000,000,000, (ii) the number of shares of common stock, par value $0.01 per share, that we are authorized to issue from 700,000,000 to 950,000,000, and (iii) the aggregate par value of all authorized shares of our stock having par value from $7,500,000 to $10,000,000. As of March 31, 2021, we have the authority to issue 1,000,000,000 shares of stock, consisting of 950,000,000 shares of common stock, $0.01 par value per share, and 50,000,000 shares of preferred stock, $0.01 par value per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Offering</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4, 2021, we completed a primary follow-on offering of 69,000,000 shares of common stock (inclusive of 9,000,000 shares sold pursuant to the exercise in full of the underwriters’ option to purchase additional common stock) at a public offering price of $29.00 per share for an aggregate offering value of $2,001.0 million, all of which are subject to forward sale agreements (the “March 2021 Forward Sale Agreements”), which require settlement by March 4, 2022. We did not initially receive any proceeds from the sale of the shares of common stock in the offering, which were sold to the underwriters by the forward purchasers or their respective affiliates. We determined that the March 2021 Forward Sale Agreements meet the criteria for equity classification and are therefore exempt from derivative accounting. We recorded the March 2021 Forward Sale Agreements at fair value at inception, which we determined to be zero. Subsequent changes to fair value are not required under equity classification.</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settle the 69,000,000 shares under the March 2021 Forward Sale Agreements entirely by the physical delivery of shares of our common stock in exchange for cash proceeds, although we may elect cash settlement or net share settlement for all or a portion of our obligations under the March 2021 Forward Sale Agreements. As of March 31, 2021, the forward share price was $27.72 and would result in us receiving approximately $1,912.6 million in cash proceeds if we were to physically settle the shares under the March 2021 Forward Sale Agreements. Alternatively, if we were to net cash settle the shares under the March 2021 Forward Sale Agreements, it would result in a cash outflow of $36.0 million or, if we were to net share settle the shares under the March 2021 Forward Sale Agreements, it would result in us delivering approximately 1.3 million shares.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are subject to a forward sale agreement (the “June 2020 Forward Sale Agreement”), which initially required settlement by September 17, 2020. On September 16, 2020, we amended the June 2020 Forward Sale Agreement to extend the maturity date from September 17, 2020 to June 17, 2021. Subsequent to March 31, 2021, on April 26, 2021, we further amended the June 2020 Forward Sale Agreement to extend the maturity date from June 17, 2021 to December 17, 2021. We did not initially receive any proceeds from the sale of the shares of common stock in the offering, which were sold to the underwriters by the forward purchaser or its affiliates. We determined that the June 2020 Forward Sale Agreement meets the criteria for equity classification and is therefore exempt from derivative accounting. We recorded the June 2020 Forward Sale Agreement at fair value at inception, which we determined to be zero. Subsequent changes to fair value are not required under equity classification.</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The physical settlement of the June 2020 Forward Sale Agreement is calculated based on the initial forward sale price per share of $21.37, as adjusted for a floating interest rate factor and other fixed amounts based on the passage of time, as specified in the June 2020 Forward Sale Agreement.</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settle the remaining 26,900,000 shares under the June 2020 Forward Sale Agreement entirely by the physical delivery of shares of our common stock in exchange for cash proceeds, although we may elect cash settlement or net share settlement for all or a portion of our remaining obligations under the June 2020 Forward Sale Agreement. As of March 31, 2021, the forward share price was $19.98 and would result in us receiving approximately $537.4 million in cash proceeds if we were to physically settle the remaining shares under the June 2020 Forward Sale Agreement. Alternatively, if we were to net cash settle the remaining shares under the June 2020 Forward Sale Agreement, it would result in a cash outflow of $222.3 million or, if we were to net share settle the remaining shares under the June 2020 Forward Sale Agreement, it would result in us delivering approximately 7.9 million shares.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shares of common stock issuable upon settlement of the March 2021 Forward Sale Agreements and June 2020 Forward Sale Agreement are reflected in our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shares under the March 2021 Forward Sale Agreements and remaining shares under the June 2020 Forward Sale Agreement over the number of shares of common stock that could be purchased by us in the market (based on the average market price during the period) using the proceeds receivable upon physical settlement of the remaining shares (based on the adjusted forward sales price at the end of the reporting period). If and when we physically settle the shares under the March 2021 Forward Sale Agreements and remaining shares under the June 2020 Forward Sale Agreement, the delivery of shares of our common stock will result in an increase in the number of shares of common stock outstanding and dilution to our earnings per share. We intend to use the net proceeds upon settlement of the shares under the March 2021 Forward Sale Agreements and the remaining shares under the June 2020 Forward Sale Agreement for general corporate purposes, which may include future transactions, the acquisition and improvement of properties, capital expenditures, working capital and the repayment of indebtedness.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an equity distribution agreement, as amended (the “ATM Agreement”), pursuant to which we may sell, from time to time, up to an aggregate sales price of $750.0 million of our common stock (the “ATM Program”). Sales of common stock, if any, made pursuant to the ATM Agreement may be sold in negotiated transactions or transactions that are deemed to be “at the market” offerings, as defined in Rule 415 of the Securities Act. Actual sales under the ATM Program will depend on a variety of factors including market conditions, the trading price of our common stock, our capital needs, and our determination of the appropriate sources of funding to meet such needs. During the three months ended March 31, 2020, we sold a total of 7,500,000 shares under the ATM Program for net proceeds of $200.0 million. During the three months ended March 31, 2021, we did not sell any shares under the ATM Program. We have no obligation to sell the remaining shares available for sale under the ATM Program.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02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6"/>
                <w:szCs w:val="16"/>
                <w:b w:val="1"/>
                <w:bCs w:val="1"/>
                <w:color w:val="auto"/>
              </w:rPr>
              <w:t xml:space="preserve">Beginning Balance January 1, </w:t>
            </w:r>
            <w:r>
              <w:rPr>
                <w:rFonts w:ascii="Arial" w:cs="Arial" w:eastAsia="Arial" w:hAnsi="Arial"/>
                <w:sz w:val="21"/>
                <w:szCs w:val="21"/>
                <w:b w:val="1"/>
                <w:bCs w:val="1"/>
                <w:i w:val="1"/>
                <w:iCs w:val="1"/>
                <w:color w:val="auto"/>
                <w:vertAlign w:val="superscript"/>
              </w:rPr>
              <w:t>(1)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536,669,722</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461,004,742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under the at-the-market offering program</w:t>
            </w: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76"/>
        </w:trPr>
        <w:tc>
          <w:tcPr>
            <w:tcW w:w="7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346,031</w:t>
            </w:r>
          </w:p>
        </w:tc>
        <w:tc>
          <w:tcPr>
            <w:tcW w:w="8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111,798</w:t>
            </w:r>
          </w:p>
        </w:tc>
        <w:tc>
          <w:tcPr>
            <w:tcW w:w="0" w:type="dxa"/>
            <w:vAlign w:val="bottom"/>
          </w:tcPr>
          <w:p>
            <w:pPr>
              <w:spacing w:after="0"/>
              <w:rPr>
                <w:sz w:val="1"/>
                <w:szCs w:val="1"/>
                <w:color w:val="auto"/>
              </w:rPr>
            </w:pPr>
          </w:p>
        </w:tc>
      </w:tr>
      <w:tr>
        <w:trPr>
          <w:trHeight w:val="23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2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Ending Balance March 31,</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537,015,753</w:t>
            </w:r>
          </w:p>
        </w:tc>
        <w:tc>
          <w:tcPr>
            <w:tcW w:w="8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468,616,540</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55"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69,000,000 and 26,900,000 remaining shares subject to the March 2021 Forward Sale Agreements and June 2020 Forward Sale Agreement, respectively, as such shares are not yet settled.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three months ended March 31, 2021 and 2020 were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0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2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tcBorders>
              <w:top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Payment Date</w:t>
            </w:r>
          </w:p>
        </w:tc>
        <w:tc>
          <w:tcPr>
            <w:tcW w:w="346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March 11,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April 8,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January 1, 2021 - March 31,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c>
          <w:tcPr>
            <w:tcW w:w="20" w:type="dxa"/>
            <w:vAlign w:val="bottom"/>
            <w:tcBorders>
              <w:top w:val="single" w:sz="8" w:color="auto"/>
            </w:tcBorders>
            <w:shd w:val="clear" w:color="auto" w:fill="CCEEFF"/>
          </w:tcPr>
          <w:p>
            <w:pPr>
              <w:spacing w:after="0"/>
              <w:rPr>
                <w:sz w:val="19"/>
                <w:szCs w:val="19"/>
                <w:color w:val="auto"/>
              </w:rPr>
            </w:pPr>
          </w:p>
        </w:tc>
      </w:tr>
      <w:tr>
        <w:trPr>
          <w:trHeight w:val="483"/>
        </w:trPr>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Three Months Ended March 31, 2020</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000" w:type="dxa"/>
            <w:vAlign w:val="bottom"/>
            <w:gridSpan w:val="4"/>
          </w:tcPr>
          <w:p>
            <w:pPr>
              <w:ind w:left="340"/>
              <w:spacing w:after="0"/>
              <w:rPr>
                <w:sz w:val="20"/>
                <w:szCs w:val="20"/>
                <w:color w:val="auto"/>
              </w:rPr>
            </w:pPr>
            <w:r>
              <w:rPr>
                <w:rFonts w:ascii="Arial" w:cs="Arial" w:eastAsia="Arial" w:hAnsi="Arial"/>
                <w:sz w:val="16"/>
                <w:szCs w:val="16"/>
                <w:b w:val="1"/>
                <w:bCs w:val="1"/>
                <w:color w:val="auto"/>
              </w:rPr>
              <w:t>Declaration Date</w:t>
            </w:r>
          </w:p>
        </w:tc>
        <w:tc>
          <w:tcPr>
            <w:tcW w:w="20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3"/>
              </w:rPr>
              <w:t>Record Date</w:t>
            </w:r>
          </w:p>
        </w:tc>
        <w:tc>
          <w:tcPr>
            <w:tcW w:w="1920" w:type="dxa"/>
            <w:vAlign w:val="bottom"/>
            <w:gridSpan w:val="4"/>
          </w:tcPr>
          <w:p>
            <w:pPr>
              <w:ind w:left="400"/>
              <w:spacing w:after="0"/>
              <w:rPr>
                <w:sz w:val="20"/>
                <w:szCs w:val="20"/>
                <w:color w:val="auto"/>
              </w:rPr>
            </w:pPr>
            <w:r>
              <w:rPr>
                <w:rFonts w:ascii="Arial" w:cs="Arial" w:eastAsia="Arial" w:hAnsi="Arial"/>
                <w:sz w:val="16"/>
                <w:szCs w:val="16"/>
                <w:b w:val="1"/>
                <w:bCs w:val="1"/>
                <w:color w:val="auto"/>
              </w:rPr>
              <w:t>Payment Date</w:t>
            </w:r>
          </w:p>
        </w:tc>
        <w:tc>
          <w:tcPr>
            <w:tcW w:w="34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Pr>
          <w:p>
            <w:pPr>
              <w:spacing w:after="0"/>
              <w:rPr>
                <w:sz w:val="18"/>
                <w:szCs w:val="18"/>
                <w:color w:val="auto"/>
              </w:rPr>
            </w:pPr>
          </w:p>
        </w:tc>
        <w:tc>
          <w:tcPr>
            <w:tcW w:w="1460" w:type="dxa"/>
            <w:vAlign w:val="bottom"/>
          </w:tcPr>
          <w:p>
            <w:pPr>
              <w:jc w:val="right"/>
              <w:ind w:right="515"/>
              <w:spacing w:after="0"/>
              <w:rPr>
                <w:sz w:val="20"/>
                <w:szCs w:val="20"/>
                <w:color w:val="auto"/>
              </w:rPr>
            </w:pPr>
            <w:r>
              <w:rPr>
                <w:rFonts w:ascii="Arial" w:cs="Arial" w:eastAsia="Arial" w:hAnsi="Arial"/>
                <w:sz w:val="16"/>
                <w:szCs w:val="16"/>
                <w:b w:val="1"/>
                <w:bCs w:val="1"/>
                <w:color w:val="auto"/>
              </w:rPr>
              <w:t>Dividend</w:t>
            </w:r>
          </w:p>
        </w:tc>
        <w:tc>
          <w:tcPr>
            <w:tcW w:w="20" w:type="dxa"/>
            <w:vAlign w:val="bottom"/>
          </w:tcPr>
          <w:p>
            <w:pPr>
              <w:spacing w:after="0"/>
              <w:rPr>
                <w:sz w:val="18"/>
                <w:szCs w:val="18"/>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March 12, 2020</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31, 2020</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April 9, 2020</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2020 - March 31, 2020</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5" w:lineRule="exact"/>
        <w:rPr>
          <w:sz w:val="20"/>
          <w:szCs w:val="20"/>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the March 2021 Forward Sale Agreements and the remaining shares under the June 2020 Forward Sale Agreement. The shares issuable upon settlement of the March 2021 Forward Sale Agreements and the remaining shares under the June 2020 Forward Sale Agreement, as described in </w:t>
      </w:r>
      <w:hyperlink w:anchor="page41">
        <w:r>
          <w:rPr>
            <w:rFonts w:ascii="Arial" w:cs="Arial" w:eastAsia="Arial" w:hAnsi="Arial"/>
            <w:sz w:val="16"/>
            <w:szCs w:val="16"/>
            <w:u w:val="single" w:color="auto"/>
            <w:color w:val="0000FF"/>
          </w:rPr>
          <w:t>Note 11 - Stockholders' Equity</w:t>
        </w:r>
      </w:hyperlink>
      <w:r>
        <w:rPr>
          <w:rFonts w:ascii="Arial" w:cs="Arial" w:eastAsia="Arial" w:hAnsi="Arial"/>
          <w:sz w:val="16"/>
          <w:szCs w:val="16"/>
          <w:color w:val="auto"/>
        </w:rPr>
        <w:t>, are reflected in the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remaining shares under the March 2021 Forward Sale Agreements and the June 2020 Forward Sale Agreement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shares under the March 2021 Forward Sale Agreements and the remaining shares under the June 2020 Forward Sale Agreement, the delivery of shares of common stock would result in an increase in the number of shares outstanding and dilution to earnings per share.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57"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tcBorders>
              <w:top w:val="single" w:sz="8" w:color="auto"/>
            </w:tcBorders>
          </w:tcPr>
          <w:p>
            <w:pPr>
              <w:jc w:val="right"/>
              <w:ind w:right="77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right"/>
              <w:ind w:right="772"/>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Determination of shares: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2060" w:type="dxa"/>
            <w:vAlign w:val="bottom"/>
          </w:tcPr>
          <w:p>
            <w:pPr>
              <w:jc w:val="right"/>
              <w:spacing w:after="0"/>
              <w:rPr>
                <w:sz w:val="20"/>
                <w:szCs w:val="20"/>
                <w:color w:val="auto"/>
              </w:rPr>
            </w:pPr>
            <w:r>
              <w:rPr>
                <w:rFonts w:ascii="Arial" w:cs="Arial" w:eastAsia="Arial" w:hAnsi="Arial"/>
                <w:sz w:val="18"/>
                <w:szCs w:val="18"/>
                <w:color w:val="auto"/>
              </w:rPr>
              <w:t>536,481</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465,177</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Assumed conversion of restricted stock </w:t>
            </w:r>
            <w:r>
              <w:rPr>
                <w:rFonts w:ascii="Arial" w:cs="Arial" w:eastAsia="Arial" w:hAnsi="Arial"/>
                <w:sz w:val="23"/>
                <w:szCs w:val="23"/>
                <w:i w:val="1"/>
                <w:iCs w:val="1"/>
                <w:color w:val="auto"/>
                <w:vertAlign w:val="superscript"/>
              </w:rPr>
              <w:t>(1)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ind w:left="200"/>
              <w:spacing w:after="0" w:line="230" w:lineRule="exact"/>
              <w:rPr>
                <w:sz w:val="20"/>
                <w:szCs w:val="20"/>
                <w:color w:val="auto"/>
              </w:rPr>
            </w:pPr>
            <w:r>
              <w:rPr>
                <w:rFonts w:ascii="Arial" w:cs="Arial" w:eastAsia="Arial" w:hAnsi="Arial"/>
                <w:sz w:val="18"/>
                <w:szCs w:val="18"/>
                <w:color w:val="auto"/>
              </w:rPr>
              <w:t xml:space="preserve">Assumed settlement of forward sale agreements </w:t>
            </w:r>
            <w:r>
              <w:rPr>
                <w:rFonts w:ascii="Arial" w:cs="Arial" w:eastAsia="Arial" w:hAnsi="Arial"/>
                <w:sz w:val="23"/>
                <w:szCs w:val="23"/>
                <w:i w:val="1"/>
                <w:iCs w:val="1"/>
                <w:color w:val="auto"/>
                <w:vertAlign w:val="superscript"/>
              </w:rPr>
              <w:t>(1)</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544,802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left="340" w:hanging="332"/>
        <w:spacing w:after="0" w:line="246" w:lineRule="auto"/>
        <w:tabs>
          <w:tab w:leader="none" w:pos="332"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March 31, 2020, any such amounts have been excluded from the diluted weighted average number of shares of common stock as we were in a net loss position and the effect of inclusion would have been anti-dilutive. Assuming we had net income, using the treasury stock method, the assumed conversion of our restricted stock would have been in the amount of 83,367 shares and the assumed settlement of the March 2021 Forward Sale Agreements and June 2020 Forward Sale Agreement would have been in the amount of 10,291,832 shares.</w:t>
      </w:r>
    </w:p>
    <w:p>
      <w:pPr>
        <w:spacing w:after="0" w:line="21"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income (loss) attributable to common stockholders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269,801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(24,012)</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465,177</w:t>
            </w:r>
          </w:p>
        </w:tc>
      </w:tr>
      <w:tr>
        <w:trPr>
          <w:trHeight w:val="223"/>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Basic EPS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common stockholders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w:t>
            </w:r>
          </w:p>
        </w:tc>
      </w:tr>
      <w:tr>
        <w:trPr>
          <w:trHeight w:val="229"/>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465,177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EPS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2021, 11,617,723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24"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5"/>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5"/>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9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81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60" w:type="dxa"/>
            <w:vAlign w:val="bottom"/>
          </w:tcPr>
          <w:p>
            <w:pPr>
              <w:jc w:val="right"/>
              <w:ind w:right="121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 March 31, 2021</w:t>
            </w:r>
          </w:p>
        </w:tc>
        <w:tc>
          <w:tcPr>
            <w:tcW w:w="3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 2020</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6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3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120" w:type="dxa"/>
            <w:vAlign w:val="bottom"/>
          </w:tcPr>
          <w:p>
            <w:pPr>
              <w:spacing w:after="0"/>
              <w:rPr>
                <w:sz w:val="13"/>
                <w:szCs w:val="13"/>
                <w:color w:val="auto"/>
              </w:rPr>
            </w:pPr>
          </w:p>
        </w:tc>
        <w:tc>
          <w:tcPr>
            <w:tcW w:w="186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5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5"/>
              </w:rPr>
              <w:t>Date Fair Value</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372"/>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9"/>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29"/>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there was $16.5 million of unrecognized compensation cost related to non-vested stock-based compensation arrangements under the Plan. This cost is expected to be recognized over a weighted average period of 2.2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consists of four golf courses, with each being operating segments that are aggregated into one reportable segment.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 presents certain information with respect to our segments: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3"/>
              </w:rPr>
              <w:t>Three Months Ended March 31, 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4"/>
              </w:rPr>
              <w:t>Three Months Ended March 31, 2020</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VICI Consolidated</w:t>
            </w:r>
          </w:p>
        </w:tc>
        <w:tc>
          <w:tcPr>
            <w:tcW w:w="0" w:type="dxa"/>
            <w:vAlign w:val="bottom"/>
          </w:tcPr>
          <w:p>
            <w:pPr>
              <w:spacing w:after="0"/>
              <w:rPr>
                <w:sz w:val="1"/>
                <w:szCs w:val="1"/>
                <w:color w:val="auto"/>
              </w:rPr>
            </w:pPr>
          </w:p>
        </w:tc>
      </w:tr>
      <w:tr>
        <w:trPr>
          <w:trHeight w:val="175"/>
        </w:trPr>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Business</w:t>
            </w: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255,001</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(76,093)</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upon lease modification</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0" w:type="dxa"/>
            <w:vAlign w:val="bottom"/>
          </w:tcPr>
          <w:p>
            <w:pPr>
              <w:spacing w:after="0"/>
              <w:rPr>
                <w:sz w:val="1"/>
                <w:szCs w:val="1"/>
                <w:color w:val="auto"/>
              </w:rPr>
            </w:pPr>
          </w:p>
        </w:tc>
      </w:tr>
      <w:tr>
        <w:trPr>
          <w:trHeight w:val="175"/>
        </w:trPr>
        <w:tc>
          <w:tcPr>
            <w:tcW w:w="2460" w:type="dxa"/>
            <w:vAlign w:val="bottom"/>
            <w:gridSpan w:val="2"/>
          </w:tcPr>
          <w:p>
            <w:pPr>
              <w:spacing w:after="0" w:line="176" w:lineRule="exact"/>
              <w:rPr>
                <w:sz w:val="20"/>
                <w:szCs w:val="20"/>
                <w:color w:val="auto"/>
              </w:rPr>
            </w:pPr>
            <w:r>
              <w:rPr>
                <w:rFonts w:ascii="Arial" w:cs="Arial" w:eastAsia="Arial" w:hAnsi="Arial"/>
                <w:sz w:val="18"/>
                <w:szCs w:val="18"/>
                <w:color w:val="auto"/>
              </w:rPr>
              <w:t>Income (loss) before income</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271,035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272,583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(22,713)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(21,611)</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16,994,473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90,528</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17,085,001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14,818,556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88,657</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14,907,213</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7,468,648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7,166,984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Subsequent Events</w:t>
      </w:r>
    </w:p>
    <w:p>
      <w:pPr>
        <w:spacing w:after="0" w:line="246"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have evaluated subsequent events and, except for the payment of dividends on April 8, 2021 and the extension of the maturity of the June 2020 Forward Sale Agreement on April 26, 2021 (both as described in </w:t>
      </w:r>
      <w:hyperlink w:anchor="page41">
        <w:r>
          <w:rPr>
            <w:rFonts w:ascii="Arial" w:cs="Arial" w:eastAsia="Arial" w:hAnsi="Arial"/>
            <w:sz w:val="18"/>
            <w:szCs w:val="18"/>
            <w:u w:val="single" w:color="auto"/>
            <w:color w:val="0000FF"/>
          </w:rPr>
          <w:t>Note 11 - Stockholders' Equity</w:t>
        </w:r>
      </w:hyperlink>
      <w:r>
        <w:rPr>
          <w:rFonts w:ascii="Arial" w:cs="Arial" w:eastAsia="Arial" w:hAnsi="Arial"/>
          <w:sz w:val="18"/>
          <w:szCs w:val="18"/>
          <w:color w:val="auto"/>
        </w:rPr>
        <w:t>), there were no other events relative to the Financial Statements that require additional disclosure.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of the financial position and operating results of VICI Properties Inc. for the three months ended March 31, 2021 should be read in conjunction with the Financial Statements and related notes thereto and other financial information contained elsewhere in this Quarterly Report on Form 10-Q and the audited consolidated financial statements and related notes for the year ended December 31, 2020, which were included in our </w:t>
      </w:r>
      <w:hyperlink r:id="rId69">
        <w:r>
          <w:rPr>
            <w:rFonts w:ascii="Arial" w:cs="Arial" w:eastAsia="Arial" w:hAnsi="Arial"/>
            <w:sz w:val="17"/>
            <w:szCs w:val="17"/>
            <w:i w:val="1"/>
            <w:iCs w:val="1"/>
            <w:u w:val="single" w:color="auto"/>
            <w:color w:val="0000FF"/>
          </w:rPr>
          <w:t>Annual Report on Form 10-K for the year ended December 31, 2020</w:t>
        </w:r>
      </w:hyperlink>
      <w:r>
        <w:rPr>
          <w:rFonts w:ascii="Arial" w:cs="Arial" w:eastAsia="Arial" w:hAnsi="Arial"/>
          <w:sz w:val="17"/>
          <w:szCs w:val="17"/>
          <w:i w:val="1"/>
          <w:iCs w:val="1"/>
          <w:color w:val="auto"/>
        </w:rPr>
        <w:t xml:space="preserve">. All defined terms included herein have the same meaning as those set forth in the </w:t>
      </w:r>
      <w:hyperlink w:anchor="page7">
        <w:r>
          <w:rPr>
            <w:rFonts w:ascii="Arial" w:cs="Arial" w:eastAsia="Arial" w:hAnsi="Arial"/>
            <w:sz w:val="17"/>
            <w:szCs w:val="17"/>
            <w:i w:val="1"/>
            <w:iCs w:val="1"/>
            <w:u w:val="single" w:color="auto"/>
            <w:color w:val="0000FF"/>
          </w:rPr>
          <w:t>Notes to the Consolidated Financial Statements</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contained within this Quarterly Report on Form 10-Q.</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24" w:lineRule="exact"/>
        <w:rPr>
          <w:sz w:val="20"/>
          <w:szCs w:val="20"/>
          <w:color w:val="auto"/>
        </w:rPr>
      </w:pPr>
    </w:p>
    <w:p>
      <w:pPr>
        <w:jc w:val="both"/>
        <w:spacing w:after="0" w:line="285" w:lineRule="auto"/>
        <w:rPr>
          <w:rFonts w:ascii="Arial" w:cs="Arial" w:eastAsia="Arial" w:hAnsi="Arial"/>
          <w:sz w:val="16"/>
          <w:szCs w:val="16"/>
          <w:color w:val="0000FF"/>
        </w:rPr>
      </w:pPr>
      <w:r>
        <w:rPr>
          <w:rFonts w:ascii="Arial" w:cs="Arial" w:eastAsia="Arial" w:hAnsi="Arial"/>
          <w:sz w:val="16"/>
          <w:szCs w:val="16"/>
          <w:color w:val="auto"/>
        </w:rPr>
        <w:t xml:space="preserve">Currently, one of the most significant factors that could cause actual outcomes to differ materially from our forward-looking statements is the impact of the COVID-19 pandemic on our, and our tenants’ financial condition, results of operations, cash flows and performance. The extent to which the COVID-19 pandemic continues to adversely affect our tenants, and ultimately impacts our business and financial condition, will largely depend on future developments that are highly uncertain and cannot be predicted with confidence, including the impact of the actions taken to contain the pandemic or mitigate its impact, the availability, distribution, public acceptance and efficacy of one or more approved vaccines, the direct and indirect economic effects of the pandemic and containment measures on our tenants, including various state governments and/or regulatory authorities issuing directives, mandates, orders or similar actions restricting freedom of movement and business operations, such as travel restrictions, border closures, business closures, limitations on public gatherings, quarantines and “shelter-at-home” orders that have resulted and may in the future result in the temporary closure of our tenants’ operations at our properties, the ability of our tenants to successfully operate their businesses following the reopening of their respective facilities, including the costs of complying with regulatory requirements necessary to keep the facilities open, including compliance with restrictions and reduced capacity requirements, the need to close any of the facilities after reopening as a result of the COVID-19 pandemic, and the effects of the negotiated capital expenditure reductions and other amendments to the Lease Agreements that we agreed to with certain of its tenants in response to the COVID-19 pandemic. Each of the foregoing could have a material adverse effect on our tenants’ ability to satisfy their obligations under their Lease Agreements with us, including their continued ability to pay rent in a timely manner, or at all, and/or to fund capital expenditures or make other payments required under their leases. In addition, changes and instability in global, national and regional economic activity and financial markets as a result of the COVID-19 pandemic have negatively impacted consumer discretionary spending and travel and may continue to do so, which could have a material adverse effect on </w:t>
      </w:r>
      <w:hyperlink r:id="rId70">
        <w:r>
          <w:rPr>
            <w:rFonts w:ascii="Arial" w:cs="Arial" w:eastAsia="Arial" w:hAnsi="Arial"/>
            <w:sz w:val="16"/>
            <w:szCs w:val="16"/>
            <w:color w:val="auto"/>
          </w:rPr>
          <w:t xml:space="preserve">our tenants’ businesses. Investors are cautioned to interpret many of the risks identified under the section entitled “Risk Factors” in our </w:t>
        </w:r>
        <w:r>
          <w:rPr>
            <w:rFonts w:ascii="Arial" w:cs="Arial" w:eastAsia="Arial" w:hAnsi="Arial"/>
            <w:sz w:val="16"/>
            <w:szCs w:val="16"/>
            <w:u w:val="single" w:color="auto"/>
            <w:color w:val="0000FF"/>
          </w:rPr>
          <w:t>Annual Report on</w:t>
        </w:r>
      </w:hyperlink>
      <w:r>
        <w:rPr>
          <w:rFonts w:ascii="Arial" w:cs="Arial" w:eastAsia="Arial" w:hAnsi="Arial"/>
          <w:sz w:val="16"/>
          <w:szCs w:val="16"/>
          <w:color w:val="auto"/>
        </w:rPr>
        <w:t xml:space="preserve"> </w:t>
      </w:r>
      <w:hyperlink r:id="rId70">
        <w:r>
          <w:rPr>
            <w:rFonts w:ascii="Arial" w:cs="Arial" w:eastAsia="Arial" w:hAnsi="Arial"/>
            <w:sz w:val="16"/>
            <w:szCs w:val="16"/>
            <w:u w:val="single" w:color="auto"/>
            <w:color w:val="0000FF"/>
          </w:rPr>
          <w:t>Form 10-K for the year ended December 31, 2020</w:t>
        </w:r>
        <w:r>
          <w:rPr>
            <w:rFonts w:ascii="Arial" w:cs="Arial" w:eastAsia="Arial" w:hAnsi="Arial"/>
            <w:sz w:val="16"/>
            <w:szCs w:val="16"/>
            <w:color w:val="000000"/>
          </w:rPr>
          <w:t>, our Quarterly Reports on Form 10-Q and Current Reports on Form 8-K as being heightened as a result</w:t>
        </w:r>
      </w:hyperlink>
      <w:r>
        <w:rPr>
          <w:rFonts w:ascii="Arial" w:cs="Arial" w:eastAsia="Arial" w:hAnsi="Arial"/>
          <w:sz w:val="16"/>
          <w:szCs w:val="16"/>
          <w:color w:val="0000FF"/>
        </w:rPr>
        <w:t xml:space="preserve"> </w:t>
      </w:r>
      <w:r>
        <w:rPr>
          <w:rFonts w:ascii="Arial" w:cs="Arial" w:eastAsia="Arial" w:hAnsi="Arial"/>
          <w:sz w:val="16"/>
          <w:szCs w:val="16"/>
          <w:color w:val="000000"/>
        </w:rPr>
        <w:t>of the ongoing and numerous adverse impacts of the COVID-19 pandemic.</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including low consumer confidence, unemployment levels and depressed real estate prices resulting from the severity and duration of any downturn in the U.S. or global economy; our dependence on subsidiaries of Caesars, Penn National, Hard Rock, Century Casinos and JACK Entertainment as tenants of our properties and Caesars, Penn National, Seminole Hard Rock, Century Casinos and Rock Ohio Ventures LLC or certain of their respective subsidiaries as guarantors of the lease payments and the negative consequences any material adverse effect on their respective businesses could have on us; our borrowers’ ability to repay their outstanding loan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obligations to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and the completion of pending transactions; the possibility that our tenants may choose not to renew the Lease Agreements following the initial or subsequent terms of the leases; restrictions on our ability to sell our properties subject to the Lease Agreements; Caesars’, Penn National’s, Hard Rock’s, Century Casinos’ and JACK Entertainment’s historical results may not be a reliable indicator of their future results; our substantial amount of indebtedness and ability to service, refinance and otherwise fulfill our obligations under such indebtedness; our historical financial information may not be reliable indicators of our future results of operations, financial condition and cash flows; our ability to obtain the financing necessary to complete our pending acquisitions on the terms we currently expect or at all; the possibility that our pending transactions may not be completed or that completion may be unduly delayed; the possibility that we identify significant environmental, tax, legal or other issues that materially and adversely impact the value of assets acquired or secured as collateral (or other benefits we expect to receive) in any of our pending or recently completed transactions; the effects of our pending and recently completed transactions on us, including the future impact on our financial condition, financial and operating results, cash flows, strategy and plans; the impact of changes to the U.S. Federal income tax laws; the possibility of foreclosure on our properties if we are unable to meet required debt service payments; the impact of a rise in interest rates on us; our inability to successfully pursue investments in, and acquisitions of, additional properties; the impact of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inability to maintain our qualification for taxation as a REIT; our reliance on distributions received from the Operating Partnership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28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47 million square feet, our well-maintained properties are currently located across urban, destination and drive-to markets in twelve states, contain approximately 17,800 hotel rooms and feature over 200 restaurants, bars and nightclubs.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also includes three secured real estate mortgages that we have originated for strategic reasons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chart summarizes our current portfolio of properties, our pending transactions and our properties subject to right of first refusal agreements and put/call agreements with Caesars: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83185</wp:posOffset>
            </wp:positionV>
            <wp:extent cx="5863590" cy="4397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our properties to subsidiaries of Caesars, Penn National, Hard Rock, Century Casinos and JACK Entertainment, with Caesars being our largest tenant. We believe we have a mutually beneficial relationship with each of Caesars, Penn National, Hard Rock, Century Casinos and JACK Entertainment, all of which are leading owners and operators of gaming, entertainment and leisure properties. Our long-term triple-net Lease Agreements with subsidiaries of our operators provide us with a highly predictable revenue stream with embedded growth potential. We believe our geographic diversification limits the effect of</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 Despite the ongoing impact and uncertainty of the COVID-19 pandemic, we continue to evaluate and may opportunistically pursue accretive acquisitions or investments that may arise in the market.</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(subject in certain cases to temporary relief we granted certain tenants on a portion of their capital expenditure obligations in connection with the impact of the COVID-19 pandemic),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current macroeconomic impact of the COVID-19 pandemic and market conditions more broadly. We conduct our real property business through our Operating Partnership and our golf course business through a taxable REIT subsidiary (a “TRS”), VICI Golf.</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months ended March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state governments and/or regulatory authorities issuing various directives, mandates, orders or similar actions, which resulted in temporary closures of our tenants’ operations at all of our properties. Our golf course business was also impacted, with all four courses temporarily ceasing operations in March 2020 until their reopening in early to mid-May 2020 and, following such reopening, have continued to operate in compliance with applicable regulations and restrictions. Although all of our leased properties and our golf courses are currently open, they remain subject to any current or future operating limitations or closures imposed by state and local governments and/or regulatory authorities. As a result, our tenants’ facilities at our properties are currently generally operating at reduced capacity and subject to additional operating restrictions, and we cannot predict how long they will be required to operate subject to such operating restrictions, or whether they will be subject to additional restrictions or forced to close again in the future. Our tenants have experienced additional challenges due to the impact of the COVID-19 pandemic, including, for example, cancellations and reductions in future events and reservations and satisfaction of capital expenditure and other contractual obligations. Due to these closures, operating restrictions and other factors, our tenants’ operations, liquidity and financial performance have been adversely affected, and the ongoing nature of the pandemic may further impact our tenants’ businesses and, accordingly, our business and financial performance.</w:t>
      </w:r>
    </w:p>
    <w:p>
      <w:pPr>
        <w:spacing w:after="0" w:line="125" w:lineRule="exact"/>
        <w:rPr>
          <w:sz w:val="20"/>
          <w:szCs w:val="20"/>
          <w:color w:val="auto"/>
        </w:rPr>
      </w:pPr>
    </w:p>
    <w:p>
      <w:pPr>
        <w:jc w:val="both"/>
        <w:spacing w:after="0" w:line="269" w:lineRule="auto"/>
        <w:rPr>
          <w:rFonts w:ascii="Arial" w:cs="Arial" w:eastAsia="Arial" w:hAnsi="Arial"/>
          <w:sz w:val="17"/>
          <w:szCs w:val="17"/>
          <w:color w:val="0000FF"/>
        </w:rPr>
      </w:pPr>
      <w:r>
        <w:rPr>
          <w:rFonts w:ascii="Arial" w:cs="Arial" w:eastAsia="Arial" w:hAnsi="Arial"/>
          <w:sz w:val="17"/>
          <w:szCs w:val="17"/>
          <w:color w:val="auto"/>
        </w:rPr>
        <w:t xml:space="preserve">All of our tenants have fulfilled their rent obligations through April 2021 and we continue to engage with our tenants in connection with the ongoing COVID-19 pandemic and its impact on their businesses, including with respect to their operations, liquidity, financial performance and contingency planning.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will depend on future developments, which are highly uncertain and cannot be predicted with confidence, including the scope, severity and duration of the pandemic, the actions taken to contain the pandemic or mitigate its impact, including the availability, distribution, public acceptance and efficacy of one or more approved vaccines, new or mutated strains of COVID-19 (including vaccine-resistant strains) or a similar virus, the direct and indirect economic effects of the pandemic and containment measures on our tenants, the length of time our tenants’ operations at our properties remain restricted or are required to close again in the future, our tenants’ financial performance and any future operating limitations. These factors may contribute to increased uncertainty with respect to our business and operating results through 2021 and we will continue to closely monitor the impact of </w:t>
      </w:r>
      <w:hyperlink r:id="rId70">
        <w:r>
          <w:rPr>
            <w:rFonts w:ascii="Arial" w:cs="Arial" w:eastAsia="Arial" w:hAnsi="Arial"/>
            <w:sz w:val="17"/>
            <w:szCs w:val="17"/>
            <w:color w:val="auto"/>
          </w:rPr>
          <w:t xml:space="preserve">the COVID-19 pandemic on us and our tenants. For more information, refer to the section entitled “Risk Factors” in our </w:t>
        </w:r>
        <w:r>
          <w:rPr>
            <w:rFonts w:ascii="Arial" w:cs="Arial" w:eastAsia="Arial" w:hAnsi="Arial"/>
            <w:sz w:val="17"/>
            <w:szCs w:val="17"/>
            <w:u w:val="single" w:color="auto"/>
            <w:color w:val="0000FF"/>
          </w:rPr>
          <w:t>Annual Report on Form 10-K for</w:t>
        </w:r>
      </w:hyperlink>
      <w:r>
        <w:rPr>
          <w:rFonts w:ascii="Arial" w:cs="Arial" w:eastAsia="Arial" w:hAnsi="Arial"/>
          <w:sz w:val="17"/>
          <w:szCs w:val="17"/>
          <w:color w:val="auto"/>
        </w:rPr>
        <w:t xml:space="preserve"> </w:t>
      </w:r>
      <w:hyperlink r:id="rId70">
        <w:r>
          <w:rPr>
            <w:rFonts w:ascii="Arial" w:cs="Arial" w:eastAsia="Arial" w:hAnsi="Arial"/>
            <w:sz w:val="17"/>
            <w:szCs w:val="17"/>
            <w:u w:val="single" w:color="auto"/>
            <w:color w:val="0000FF"/>
          </w:rPr>
          <w:t>the year ended December 31, 2020</w:t>
        </w:r>
        <w:r>
          <w:rPr>
            <w:rFonts w:ascii="Arial" w:cs="Arial" w:eastAsia="Arial" w:hAnsi="Arial"/>
            <w:sz w:val="17"/>
            <w:szCs w:val="17"/>
            <w:color w:val="000000"/>
          </w:rPr>
          <w:t>.</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Collected 100% of rent in cash.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revenues increased 46.8% year-over-year to $374.3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attributable to common stockholders was $269.8 million, or $0.50 per diluted share.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AFFO increased 41.7% year-over-year to $255.0 million and AFFO per diluted share increased 23.7% to $0.47.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17" w:lineRule="exact"/>
        <w:rPr>
          <w:sz w:val="20"/>
          <w:szCs w:val="20"/>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Announced the acquisition of the Venetian Resort in Las Vegas, Nevada for total consideration of $4.0 billion. Simultaneous with the closing of the acquisition of the Venetian Resort, we will enter into a triple-net lease agreement with the OpCo Buyer, which will have an initial total annual rent of $250.0 million and an initial term of 30 years, with two ten-year tenant renewal options.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 and Financing Activity</w:t>
      </w:r>
    </w:p>
    <w:p>
      <w:pPr>
        <w:spacing w:after="0" w:line="117" w:lineRule="exact"/>
        <w:rPr>
          <w:sz w:val="20"/>
          <w:szCs w:val="20"/>
          <w:color w:val="auto"/>
        </w:rPr>
      </w:pPr>
    </w:p>
    <w:p>
      <w:pPr>
        <w:ind w:left="660" w:hanging="328"/>
        <w:spacing w:after="0" w:line="277" w:lineRule="auto"/>
        <w:tabs>
          <w:tab w:leader="none" w:pos="65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Completed an equity offering in which 69,000,000 shares of common stock were sold through forward sale agreements at $29.00 per share, raising gross future proceeds of $2.0 billion.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71" w:lineRule="exact"/>
        <w:rPr>
          <w:sz w:val="20"/>
          <w:szCs w:val="20"/>
          <w:color w:val="auto"/>
        </w:rPr>
      </w:pPr>
    </w:p>
    <w:p>
      <w:pPr>
        <w:jc w:val="both"/>
        <w:ind w:left="660" w:hanging="328"/>
        <w:spacing w:after="0" w:line="287" w:lineRule="auto"/>
        <w:tabs>
          <w:tab w:leader="none" w:pos="655"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Venetian Acquisition. </w:t>
      </w:r>
      <w:r>
        <w:rPr>
          <w:rFonts w:ascii="Arial" w:cs="Arial" w:eastAsia="Arial" w:hAnsi="Arial"/>
          <w:sz w:val="16"/>
          <w:szCs w:val="16"/>
          <w:color w:val="auto"/>
        </w:rPr>
        <w:t>On March 2, 2021, the we entered into definitive agreements to acquire from Las Vegas Sands Corp. (“LVS”), all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 and real estate assets associated with the Venetian Resort Las Vegas and the Sands Expo and Convention Center, located in Las Vegas, Nevada (collectively, the “Venetian Resort”), for $4.0 billion in cash (the “Venetian PropCo Acquisition”), and an affiliate of certain funds managed by affiliates of Apollo Global Management, Inc. (the “OpCo Buyer”), has agreed to acquire the operating assets of the Venetian Resort for $2.25 billion, subject to certain post-closing adjustments, of which $1.2 billion is in the form of a secured term loan from LVS and the remainder is payable in cash (together with the Venetian PropCo Acquisition, the “Venetian Acquisition”). Simultaneous with the closing of the Venetian Acquisition, we will enter into a triple-net lease agreement for the Venetian Resort (the “Venetian Lease”) with OpCo Buyer (in such capacity, the “Venetian Tenant”). The Venetian Lease will have an initial total annual rent of $250.0 million and an initial term of 30 years, with two ten-year tenant renewal options. The annual rent will be subject to escalation equal to the greater of 2.0% and the increase in the consumer price index,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The closing of the Venetian Acquisition is subject to customary closing conditions, including regulatory approvals.</w:t>
      </w:r>
    </w:p>
    <w:p>
      <w:pPr>
        <w:spacing w:after="0" w:line="113" w:lineRule="exact"/>
        <w:rPr>
          <w:rFonts w:ascii="Arial" w:cs="Arial" w:eastAsia="Arial" w:hAnsi="Arial"/>
          <w:sz w:val="16"/>
          <w:szCs w:val="16"/>
          <w:b w:val="1"/>
          <w:bCs w:val="1"/>
          <w:i w:val="1"/>
          <w:iCs w:val="1"/>
          <w:color w:val="auto"/>
        </w:rPr>
      </w:pPr>
    </w:p>
    <w:p>
      <w:pPr>
        <w:jc w:val="both"/>
        <w:ind w:left="660"/>
        <w:spacing w:after="0" w:line="269"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addition, LVS has agreed with the Venetian Tenant pursuant to an agreement (the “Contingent Lease Support Agreement”) to be entered into simultaneous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 million, or a tenant change of control occurs. We will be a third-party beneficiary of the Contingent Lease Support Agreement and will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will not be guaranteed by Apollo Global Management, Inc.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 We expect the Venetian Acquisition to close during the second half of 2021. However, we can provide no assurances that the Venetian Acquisition will close in the anticipated timeframe, on the contemplated terms or at all.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PENDING TRANSACTIONS</w:t>
      </w:r>
    </w:p>
    <w:p>
      <w:pPr>
        <w:spacing w:after="0" w:line="170" w:lineRule="exact"/>
        <w:rPr>
          <w:sz w:val="20"/>
          <w:szCs w:val="20"/>
          <w:color w:val="auto"/>
        </w:rPr>
      </w:pPr>
    </w:p>
    <w:p>
      <w:pPr>
        <w:jc w:val="both"/>
        <w:ind w:left="660" w:hanging="328"/>
        <w:spacing w:after="0" w:line="279" w:lineRule="auto"/>
        <w:tabs>
          <w:tab w:leader="none" w:pos="65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Sale of Louisiana Downs. </w:t>
      </w:r>
      <w:r>
        <w:rPr>
          <w:rFonts w:ascii="Arial" w:cs="Arial" w:eastAsia="Arial" w:hAnsi="Arial"/>
          <w:sz w:val="17"/>
          <w:szCs w:val="17"/>
          <w:color w:val="auto"/>
        </w:rPr>
        <w:t>On September 3, 2020, we and Caesars entered into definitive agreements to sell Harrah’s Louisiana Downs Casino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remains subject to regulatory approval and customary closing conditions.</w:t>
      </w:r>
    </w:p>
    <w:p>
      <w:pPr>
        <w:spacing w:after="0" w:line="117" w:lineRule="exact"/>
        <w:rPr>
          <w:rFonts w:ascii="Arial" w:cs="Arial" w:eastAsia="Arial" w:hAnsi="Arial"/>
          <w:sz w:val="17"/>
          <w:szCs w:val="17"/>
          <w:b w:val="1"/>
          <w:bCs w:val="1"/>
          <w:color w:val="auto"/>
        </w:rPr>
      </w:pPr>
    </w:p>
    <w:p>
      <w:pPr>
        <w:jc w:val="both"/>
        <w:ind w:left="660" w:hanging="328"/>
        <w:spacing w:after="0" w:line="269"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Caesars Southern Indiana Lease Agreement. </w:t>
      </w:r>
      <w:r>
        <w:rPr>
          <w:rFonts w:ascii="Arial" w:cs="Arial" w:eastAsia="Arial" w:hAnsi="Arial"/>
          <w:sz w:val="17"/>
          <w:szCs w:val="17"/>
          <w:color w:val="auto"/>
        </w:rPr>
        <w:t>On December 24, 2020, in connection with the Eastern Band of Cherokee Indians’ (“EBCI”)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to acquire the operations of Caesars Southern Indiana from Caesars, we agreed to enter into a triple-net lease agreement with EBCI with respect to the real property associated with Caesars Southern Indiana, at the closing of EBCI’s acquisition. In addition, as part of the transaction, the parties have agreed to negotiate a right of first refusal for us on the real property associated with the development of a new casino resort in Danville, Virginia. Initial total annual rent under the lease with EBCI will be $32.5 million. The lease will have an initial term of 15 years, with four 5-year tenant renewal options. The tenant’s obligations under the lease will be guaranteed by EBCI. Annual base rent payments under the Regional Master Lease Agreement will be reduced by $32.5 million upon completion of EBCI’s acquisition of the operations of Caesars Southern Indiana and the execution of the lease between us and the tenant. The property is expected to retain the Caesars brand name and to continue to be a part of the Caesars Rewards loyalty program in accordance with the terms of a licensing agreement negotiated between EBCI and Caesars. The transaction is subject to customary regulatory and other approvals (and, with respect to the right of first refusal, negotiation of definitive documentation and applicable regulatory and other [governmental] approvals) and is expected to be completed in the third quarter of 2021.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real property business and our golf course business represent our two reportable segments. The real property business segment consists of leased real property and loan investments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i w:val="1"/>
                <w:iCs w:val="1"/>
                <w:color w:val="auto"/>
                <w:w w:val="88"/>
              </w:rPr>
              <w:t>(In thousands)</w:t>
            </w:r>
          </w:p>
        </w:tc>
        <w:tc>
          <w:tcPr>
            <w:tcW w:w="56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0"/>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0"/>
              <w:spacing w:after="0" w:line="175" w:lineRule="exact"/>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from sales-type and direct financing leases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Income from operating leases</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255,001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119,309</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272,583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294,164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our revenue was comprised of the following items: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2"/>
              <w:spacing w:after="0" w:line="175" w:lineRule="exact"/>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102,853</w:t>
            </w:r>
          </w:p>
        </w:tc>
      </w:tr>
      <w:tr>
        <w:trPr>
          <w:trHeight w:val="230"/>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from loans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9,662</w:t>
            </w: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r>
      <w:tr>
        <w:trPr>
          <w:trHeight w:val="229"/>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Golf revenues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direct financing, operating and financing receivables leases: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1"/>
              <w:spacing w:after="0" w:line="175" w:lineRule="exact"/>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sales-type and direct financing leases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Total leasing revenue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247,185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102,853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Total contractual leasing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250,439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71,722</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41" w:lineRule="auto"/>
        <w:tabs>
          <w:tab w:leader="none" w:pos="211"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the certain operating land parcels were reassessed for lease classification and determined to be a sales-type lease. Accordingly, subsequent to July 20, 2020, such income is recognized as Income from sales-type and direct financing leases.</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27"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4"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direct financing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Leasing revenue is generated from rent from our Lease Agreements. Total leasing revenue increased $102.9 million during the three months ended March 31, 2021 compared to the three months ended March 31, 2020. Total contractual leasing revenue increased $71.7 million during the three months ended March 31, 2021 compared to the three months ended March 31, 2020. The increase was primarily driven by the addition of the MTA Properties to our real estate portfolio in July 2020, as well as the CPLV Additional Rent Acquisition and the HLV Additional Rent Acquisition in July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from loans increased $9.7 million during the three months ended March 31, 2021 compared to the three months ended March 31, 2020. The increase was driven by the addition of the Amended and Restated ROV Loan, the Chelsea Piers Mortgage Loan and the Forum Convention Center Mortgage Loan to our real estate portfolio in July 2020, August 2020 and September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Other income increased $6.3 million during the three months ended March 31, 2021 compared to the three months ended March 31, 2020. The increase was driven by the additional income and offsetting expense as a result of the assumption of the HNO Ground Lease as part of the MTA Properties Acquisitions. Refer to </w:t>
      </w:r>
      <w:hyperlink w:anchor="page15">
        <w:r>
          <w:rPr>
            <w:rFonts w:ascii="Arial" w:cs="Arial" w:eastAsia="Arial" w:hAnsi="Arial"/>
            <w:sz w:val="18"/>
            <w:szCs w:val="18"/>
            <w:u w:val="single" w:color="auto"/>
            <w:color w:val="0000FF"/>
          </w:rPr>
          <w:t>Note 3 - Property Transactions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description of the HNO Ground Lease.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golf operations increased $0.5 million during the three months ended March 31, 2021 compared to the three months ended March 31, 2020. The change was primarily driven by the closure of our golf courses in mid-March 2020 until early to mid-May 2020 as a result of the COVID-19 pandemic and an increase in the contractual fees paid to us by Caesars for the use of our golf courses, pursuant to a golf course use agreement.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our operating expenses were comprised of the following items: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1"/>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(153,888)</w:t>
            </w:r>
          </w:p>
        </w:tc>
      </w:tr>
      <w:tr>
        <w:trPr>
          <w:trHeight w:val="229"/>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166,980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increased $1.1 million for the three months ended March 31, 2021 as compared to the three months ended March 31, 2020. The increase was primarily driven by an increase in compensation, including 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Other expenses increased $6.3 million during the three months ended March 31, 2021 compared to the three months ended March 31, 2020. The increase was driven by the additional income and offsetting expense as a result of the assumption of the HNO Ground Lease as part of the MTA Properties Acquisitions. Refer to </w:t>
      </w:r>
      <w:hyperlink w:anchor="page15">
        <w:r>
          <w:rPr>
            <w:rFonts w:ascii="Arial" w:cs="Arial" w:eastAsia="Arial" w:hAnsi="Arial"/>
            <w:sz w:val="18"/>
            <w:szCs w:val="18"/>
            <w:u w:val="single" w:color="auto"/>
            <w:color w:val="0000FF"/>
          </w:rPr>
          <w:t>Note 3 - Property Transactions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description of the HNO Ground 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Expenses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Expenses from golf operations increased $0.1 million during the three months ended March 31, 2021 compared to the three months ended March 31, 2020. The change was primarily driven by the closure of our golf courses in mid-March 2020 until early to mid-May 2020 as a result of the ongoing COVID-19 pandemic, partially offset by an increase in the water usage charges at one of our golf courses during 2020. Additionally, even though our courses were closed from mid-March 2020 until early to mid-May as a result of the ongoing COVID-19 pandemic, we continued to pay all of our golf course employees their full salaries and benefits for a period of time and, accordingly, the change in our golf course operating revenues during this time was not proportionately offset by the change in golf course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ASU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we are required to record an estimated credit loss for our (i) Investments in leases - sales-type, (ii) Investments in leases - financing receivables and (iii) Investments in loans. During the three months ended March 31, 2021, we recognized a $4.4 million decrease in our allowance for credit losses primarily driven by the decrease in the R&amp;S Period PD of our tenants and their parent guarantors as a result of an improvement in their economic outlook due to the reopening of a majority of their gaming operations and relative performance of such operations during the first quarter of 2021.</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we recognized a $149.5 million increase in our allowance for credit losses. The increase in the CECL allowance was primarily driven by (i) an increase in the R&amp;S Period PD and LGD of our tenants and their parent guarantors due to decreases in the equity market capitalization of the stock of the parent public-entities of certain of our tenants due to the uncertain economic conditions caused by the COVID-19 pandemic and closure of the tenants operations at our properties during such period, as well as the utilization of forecasted scenarios that incorporated the expected negative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impact of the COVID-19 pandemic on the economy, (ii) an increase in the Long-term Period PD of our tenants due to downgrades on certain of the credit ratings of our tenants’ senior secured debt and (iii) an increase related to our initial investment in JACK Cleveland/Thistledown and the ROV Loan in January 2020. Refer to </w:t>
      </w:r>
      <w:hyperlink w:anchor="page29">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and acquisition expenses increased $4.2 million during the three months ended March 31, 2021 compared to the three months ended March 31, 2020. Changes in transaction and acquisition expenses are related to fluctuations in (i) costs incurred for investments during the period that are not capitalizable under GAAP and (ii) costs incurred for investments that we are no longer pursuing.</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increased $1.0 million during the three months ended March 31, 2021 as compared to the three months ended March 31, 2020. The increase is primarily attributable to the increase in debt of $2.5 billion in the aggregate from the February 2020 Senior Unsecured Notes offering, partially offset by a reduction in debt of $498.5 million as a result of the full redemption of the Second Lien Notes in February 2020.</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weighted average annualized interest rate of our debt decreased to 4.05% during the three months ended March 31, 2021, from 4.58% during the three months ended March 31, 2020 as a result of (i) the weighted average interest rate on the February 2020 Senior Unsecured Notes being lower than the weighted average interest rate of the Second Lien Notes and (ii) a decrease in LIBOR on the $600.0 million portion of our variable rate debt that is not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decreased $5.5 million during the three months ended March 31, 2021 compared to the three months ended March 31, 2020. The decrease was primarily driven by an overall decrease in our cash on hand and a decrease in the interest rates earned on our excess cash.</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March 31, 2020, we recognized a loss on extinguishment of debt of $39.1 million resulting from the full redemption of our Second Lien Notes in February 2020. We had no such related extinguishment of debt during the three months ended March 31,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other non-recurring non-cash transactions (such as non-cash gain upon lease modification) and non-cash adjustments attributable to non-controlling interest with respect to certain of the foregoing.</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contractual interest expense and interest income (collectively, interest expense, net) and income tax expense.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FFO per Share, AFFO, AFFO per Share and Adjusted EBITDA</w:t>
      </w:r>
    </w:p>
    <w:p>
      <w:pPr>
        <w:spacing w:after="0" w:line="216"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0"/>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0"/>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Real estate depreciation</w:t>
            </w:r>
          </w:p>
        </w:tc>
        <w:tc>
          <w:tcPr>
            <w:tcW w:w="5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FFO</w:t>
            </w:r>
          </w:p>
        </w:tc>
        <w:tc>
          <w:tcPr>
            <w:tcW w:w="5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269,801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(24,012)</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Non-cash leasing and financing adjustments</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(27,852)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change in allowance for credit losses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149,508</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and acquisition expenses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6,299</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depreciation</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5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r>
      <w:tr>
        <w:trPr>
          <w:trHeight w:val="229"/>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Non-cash adjustments attributable to non-controlling interest</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AFFO</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255,012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179,976</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70,338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64,274</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325,834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common share</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FFO per common share</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AFFO per common share</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of common stock outstanding</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536,480,505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465,177,425</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i w:val="1"/>
                <w:iCs w:val="1"/>
                <w:color w:val="auto"/>
                <w:vertAlign w:val="superscript"/>
              </w:rPr>
              <w:t>(1)</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544,801,802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465,177,425</w:t>
            </w:r>
          </w:p>
        </w:tc>
      </w:tr>
      <w:tr>
        <w:trPr>
          <w:trHeight w:val="209"/>
        </w:trPr>
        <w:tc>
          <w:tcPr>
            <w:tcW w:w="314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3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jc w:val="both"/>
        <w:ind w:firstLine="8"/>
        <w:spacing w:after="0" w:line="271" w:lineRule="auto"/>
        <w:tabs>
          <w:tab w:leader="none" w:pos="208" w:val="left"/>
        </w:tabs>
        <w:numPr>
          <w:ilvl w:val="0"/>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For the three months ended March 31, 2020, the diluted weighted average number of shares of common stock outstanding in relation to AFFO is adjusted to include the dilutive effect, using the treasury stock method, of the assumed conversion of our restricted stock in the amount of 83,367 shares and the assumed settlement of our forward sale agreements entered into in June 2019 in the amount of 10,291,832 shares to a total diluted share number of 475,552,624. For the three months ended March 31, 2020, such amounts have been excluded from the diluted weighted average number of shares of common stock in relation to net (loss) income and FFO as these were in loss positions and the effect of inclusion would have been anti-dilutive.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our available cash balances, capacity under our Revolving Credit Facility and additional available proceeds were as follows:</w:t>
      </w:r>
    </w:p>
    <w:p>
      <w:pPr>
        <w:sectPr>
          <w:pgSz w:w="11900" w:h="16838" w:orient="portrait"/>
          <w:cols w:equalWidth="0" w:num="1">
            <w:col w:w="11240"/>
          </w:cols>
          <w:pgMar w:left="320" w:top="368"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line="247" w:lineRule="auto"/>
        <w:rPr>
          <w:sz w:val="20"/>
          <w:szCs w:val="20"/>
          <w:color w:val="auto"/>
        </w:rPr>
      </w:pPr>
      <w:r>
        <w:rPr>
          <w:rFonts w:ascii="Arial" w:cs="Arial" w:eastAsia="Arial" w:hAnsi="Arial"/>
          <w:sz w:val="18"/>
          <w:szCs w:val="18"/>
          <w:color w:val="auto"/>
        </w:rPr>
        <w:t xml:space="preserve">Proceeds available from settlement of the June 2020 Forward Sale Agreement and March 2021 Forward Sale Agreements </w:t>
      </w:r>
      <w:r>
        <w:rPr>
          <w:rFonts w:ascii="Arial" w:cs="Arial" w:eastAsia="Arial" w:hAnsi="Arial"/>
          <w:sz w:val="23"/>
          <w:szCs w:val="23"/>
          <w:i w:val="1"/>
          <w:iCs w:val="1"/>
          <w:color w:val="auto"/>
          <w:vertAlign w:val="superscript"/>
        </w:rPr>
        <w:t>(2)</w:t>
      </w: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5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913"/>
              <w:spacing w:after="0"/>
              <w:rPr>
                <w:sz w:val="20"/>
                <w:szCs w:val="20"/>
                <w:color w:val="auto"/>
              </w:rPr>
            </w:pPr>
            <w:r>
              <w:rPr>
                <w:rFonts w:ascii="Arial" w:cs="Arial" w:eastAsia="Arial" w:hAnsi="Arial"/>
                <w:sz w:val="15"/>
                <w:szCs w:val="15"/>
                <w:b w:val="1"/>
                <w:bCs w:val="1"/>
                <w:color w:val="auto"/>
              </w:rPr>
              <w:t>March 31, 2021</w:t>
            </w:r>
          </w:p>
        </w:tc>
      </w:tr>
      <w:tr>
        <w:trPr>
          <w:trHeight w:val="226"/>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322,530</w:t>
            </w:r>
          </w:p>
        </w:tc>
      </w:tr>
      <w:tr>
        <w:trPr>
          <w:trHeight w:val="230"/>
        </w:trPr>
        <w:tc>
          <w:tcPr>
            <w:tcW w:w="5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59"/>
        </w:trPr>
        <w:tc>
          <w:tcPr>
            <w:tcW w:w="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2,450,010</w:t>
            </w: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3,772,540</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ectPr>
          <w:pgSz w:w="11900" w:h="16838" w:orient="portrait"/>
          <w:cols w:equalWidth="0" w:num="2">
            <w:col w:w="7880" w:space="340"/>
            <w:col w:w="3020"/>
          </w:cols>
          <w:pgMar w:left="320" w:top="368" w:right="339" w:bottom="1440" w:gutter="0" w:footer="0" w:header="0"/>
          <w:type w:val="continuous"/>
        </w:sectPr>
      </w:pPr>
    </w:p>
    <w:p>
      <w:pPr>
        <w:ind w:left="320" w:hanging="312"/>
        <w:spacing w:after="0"/>
        <w:tabs>
          <w:tab w:leader="none" w:pos="3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3" w:lineRule="exact"/>
        <w:rPr>
          <w:rFonts w:ascii="Arial" w:cs="Arial" w:eastAsia="Arial" w:hAnsi="Arial"/>
          <w:sz w:val="14"/>
          <w:szCs w:val="14"/>
          <w:i w:val="1"/>
          <w:iCs w:val="1"/>
          <w:color w:val="auto"/>
        </w:rPr>
      </w:pPr>
    </w:p>
    <w:p>
      <w:pPr>
        <w:ind w:left="340" w:hanging="332"/>
        <w:spacing w:after="0" w:line="255" w:lineRule="auto"/>
        <w:tabs>
          <w:tab w:leader="none" w:pos="332"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Assumes the physical settlement of 69,000,000 shares and the remaining 26,900,000 shares under the March 2021 Forward Sale Agreements and June 2020 Forward Sale Agreement, respectively, at the forward sale price of $27.72 and $19.98, respectively, calculated as of March 31, 2021.</w:t>
      </w:r>
    </w:p>
    <w:p>
      <w:pPr>
        <w:spacing w:after="0" w:line="136"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39">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FF"/>
          </w:rPr>
          <w:t>Note 10 - Commitments and Contingent</w:t>
        </w:r>
      </w:hyperlink>
      <w:r>
        <w:rPr>
          <w:rFonts w:ascii="Arial" w:cs="Arial" w:eastAsia="Arial" w:hAnsi="Arial"/>
          <w:sz w:val="18"/>
          <w:szCs w:val="18"/>
          <w:color w:val="auto"/>
        </w:rPr>
        <w:t xml:space="preserve"> </w:t>
      </w:r>
      <w:hyperlink w:anchor="page39">
        <w:r>
          <w:rPr>
            <w:rFonts w:ascii="Arial" w:cs="Arial" w:eastAsia="Arial" w:hAnsi="Arial"/>
            <w:sz w:val="18"/>
            <w:szCs w:val="18"/>
            <w:u w:val="single" w:color="auto"/>
            <w:color w:val="0000FF"/>
          </w:rPr>
          <w:t>Liabilities</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Our long-term obligations consist primarily of principal payments on our outstanding debt obligations and future funding commitments under our lease and loan agreements. As of March 31, 2021, we have $6.9 billion of debt obligations outstanding, none of which are maturing in the next twelve months. As of March 31, 2021, we have $40.0 million in future funding commitments consisting of $25.0 million related to the ROV Credit Facility and $15.0 million related to the Chelsea Piers Mortgage Loan. For a summary of principal debt balances and their maturity dates and principal terms refer to </w:t>
      </w:r>
      <w:hyperlink w:anchor="page32">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xml:space="preserve">, in </w:t>
      </w:r>
      <w:hyperlink w:anchor="page22">
        <w:r>
          <w:rPr>
            <w:rFonts w:ascii="Arial" w:cs="Arial" w:eastAsia="Arial" w:hAnsi="Arial"/>
            <w:sz w:val="18"/>
            <w:szCs w:val="18"/>
            <w:color w:val="auto"/>
          </w:rPr>
          <w:t xml:space="preserve">the Notes to our Consolidated Financial Statements. For a summary of our future funding commitments under our loan portfolio refer to </w:t>
        </w:r>
        <w:r>
          <w:rPr>
            <w:rFonts w:ascii="Arial" w:cs="Arial" w:eastAsia="Arial" w:hAnsi="Arial"/>
            <w:sz w:val="18"/>
            <w:szCs w:val="18"/>
            <w:u w:val="single" w:color="auto"/>
            <w:color w:val="0000FF"/>
          </w:rPr>
          <w:t>Note 4 - Real</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FF"/>
          </w:rPr>
          <w:t>Estate Portfolio</w:t>
        </w:r>
        <w:r>
          <w:rPr>
            <w:rFonts w:ascii="Arial" w:cs="Arial" w:eastAsia="Arial" w:hAnsi="Arial"/>
            <w:sz w:val="18"/>
            <w:szCs w:val="18"/>
            <w:color w:val="000000"/>
          </w:rPr>
          <w:t>, in the Notes to our Consolidated Financial Statements.</w:t>
        </w:r>
      </w:hyperlink>
    </w:p>
    <w:p>
      <w:pPr>
        <w:spacing w:after="0" w:line="138" w:lineRule="exact"/>
        <w:rPr>
          <w:rFonts w:ascii="Arial" w:cs="Arial" w:eastAsia="Arial" w:hAnsi="Arial"/>
          <w:sz w:val="18"/>
          <w:szCs w:val="18"/>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pursuant to the Lease Agreements are described in </w:t>
      </w:r>
      <w:hyperlink w:anchor="page22">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March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2021 (remaining)</w:t>
            </w:r>
          </w:p>
        </w:tc>
        <w:tc>
          <w:tcPr>
            <w:tcW w:w="280" w:type="dxa"/>
            <w:vAlign w:val="bottom"/>
          </w:tcPr>
          <w:p>
            <w:pPr>
              <w:spacing w:after="0"/>
              <w:rPr>
                <w:sz w:val="13"/>
                <w:szCs w:val="13"/>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2025 and</w:t>
            </w:r>
          </w:p>
        </w:tc>
        <w:tc>
          <w:tcPr>
            <w:tcW w:w="0" w:type="dxa"/>
            <w:vAlign w:val="bottom"/>
          </w:tcPr>
          <w:p>
            <w:pPr>
              <w:spacing w:after="0"/>
              <w:rPr>
                <w:sz w:val="1"/>
                <w:szCs w:val="1"/>
                <w:color w:val="auto"/>
              </w:rPr>
            </w:pPr>
          </w:p>
        </w:tc>
      </w:tr>
      <w:tr>
        <w:trPr>
          <w:trHeight w:val="213"/>
        </w:trPr>
        <w:tc>
          <w:tcPr>
            <w:tcW w:w="3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2026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2027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2029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2030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668,437</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 contractual obligations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8,508,119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2,308,762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5,418,437</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Leases and contracts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w w:val="95"/>
              </w:rPr>
              <w:t>Operating lease for Cascata Golf Course</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Golf maintenance contract for Rio Secco</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Cascata Golf Course</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Office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leases and contract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60,984</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commitments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5,479,421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jc w:val="both"/>
        <w:ind w:firstLine="8"/>
        <w:spacing w:after="0" w:line="241" w:lineRule="auto"/>
        <w:tabs>
          <w:tab w:leader="none" w:pos="209"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 The Term Loan B Facility will mature on December 22, 2024 (or if the maturity is extended pursuant to the terms of the agreement, such extended maturity date as determined pursuant thereto).</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Revolving Credit Facility will mature on May 15, 2024.</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interest payments on variable interest loans are based on a LIBOR rate as of March 31, 2021.</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6"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commitment funding date or expiration date, as applicable, however we may be obligated to fund these commitments earlier than such date.</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the Venetian Acquisition to close in the second half of 2021, and expect to fund the purchase with a mix of cash on hand, the physical settlement of our June 2020 Forward Sale Agreement and March 2021 Forward Sale Agreements, and debt (through additional long-term debt financing, under our Revolving Credit Facility and/or under our Venetian Acquisition Bridge Facility). In particular, we currently intend to issue additional senior unsecured notes to fund a portion of the cash consideration for the Venetian Acquisition, but, absent such a long-term debt financing, we may draw on our Venetian Acquisition Bridge Facility in connection with the closing of the Venetian Acquisition to fund a portion of the consideration and then, in the future, would expect to incur long-term debt financing to refinance such amounts borrowed under the Venetian Acquisition Bridge Facility, subject to market and other conditions. Our ability to raise long-term debt financing on favorable terms or at all may be adversely affected by market or economic conditions that change after the date of this Quarterly Report on Form 10-Q. If we draw upon the Venetian Acquisition Bridge Facility, there can be no assurances that we would be able to refinance the Venetian Acquisition Bridge Facility on terms satisfactory to us, or at all. We anticipate funding future transactions with a mix of debt, equity and available cash.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short-term investments, cash received under our Lease Agreements, borrowings from banks, including undrawn capacity under our Revolving Credit Facility, and proceeds from the issuance of debt and equity securities (including issuances under the June 2020 Forward Sale Agreement, March 2021 Forward Sale Agreements and our ATM Agreement).</w:t>
      </w:r>
    </w:p>
    <w:p>
      <w:pPr>
        <w:spacing w:after="0" w:line="133"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All of the Lease Agreements call for an initial term of between fifteen and twenty years with additional tenant renewal options and are designed to provide us with a reliable and predictable long-term revenue stream. However, the COVID-19 pandemic has adversely impacted our tenants and their financial condition, and may continue to do so, due to the impact of operating restrictions and limitations imposed from time to time, as well as potential property reclosures.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2024. For more information, refer to the risk factors incorporated by reference into </w:t>
      </w:r>
      <w:hyperlink w:anchor="page64">
        <w:r>
          <w:rPr>
            <w:rFonts w:ascii="Arial" w:cs="Arial" w:eastAsia="Arial" w:hAnsi="Arial"/>
            <w:sz w:val="17"/>
            <w:szCs w:val="17"/>
            <w:u w:val="single" w:color="auto"/>
            <w:color w:val="0000FF"/>
          </w:rPr>
          <w:t>Part II. 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herein from our </w:t>
      </w:r>
      <w:hyperlink r:id="rId70">
        <w:r>
          <w:rPr>
            <w:rFonts w:ascii="Arial" w:cs="Arial" w:eastAsia="Arial" w:hAnsi="Arial"/>
            <w:sz w:val="17"/>
            <w:szCs w:val="17"/>
            <w:u w:val="single" w:color="auto"/>
            <w:color w:val="0000FF"/>
          </w:rPr>
          <w:t>Annual Report on Form 10-K for the year ended December 31, 2020</w:t>
        </w:r>
      </w:hyperlink>
      <w:r>
        <w:rPr>
          <w:rFonts w:ascii="Arial" w:cs="Arial" w:eastAsia="Arial" w:hAnsi="Arial"/>
          <w:sz w:val="17"/>
          <w:szCs w:val="17"/>
          <w:color w:val="auto"/>
        </w:rPr>
        <w:t>.</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cash flows from operations and our ability to access capital resources could be adversely affected due to uncertain economic factors and volatility in the financial and credit markets, including as a result of the COVID-19 pandemic. In particular, in connection with the ongoing COVID-19 pandemic and its impact on our tenants’ operations and financial performance, we can provide no assurances that our tenants will not default on their leases or fail to make full rental payments if their businesses become challenged due to, among other things, current or future adverse economic conditions. In addition, any such tenant default or failure to make full rental payments could impact our operating performance and result in us not satisfying the financial covenants applicable to our outstanding indebtedness, which could result in us not being able to incur additional debt, including the available capacity under our Revolving Credit Facility, or result in a default. Further, current or future economic conditions could impact our tenants’ ability to meet capital improvement requirements or other obligations required in our Lease Agreements that could result in a decrease in the value of our properties.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three months ended March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2"/>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155,726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137,446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18,280</w:t>
            </w: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Provided by (used in) investing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871,988</w:t>
            </w: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(Used in) provided by financing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1,971,324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(2,152,922)</w:t>
            </w: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(1,262,654)</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(2,048,554)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increased $18.3 million for the three months ended March 31, 2021 compared with the three months ended March 31, 2020. The increase is primarily driven by an increase in cash rental and interest payments from the Eldorado Transaction in July 2020 and the addition of the Amended and Restated ROV Loan, the Chelsea Piers Mortgage Loan and the Forum Convention Center Mortgage Loan to our real estate portfolio in July 2020, August 2020 and September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increased $872.0 million for the three months ended March 31, 2021 compared with the three months ended March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$20.0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Proceeds from partial repayment of the Amended and Restated ROV loan of $20.0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Final payment of the funding of a new gaming patio amenity at JACK Thistledown Racino of $6.0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Acquisition of property and equipment costs of $1.2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primary sources and uses of cash from investing activities include:</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JACK Cleveland/Thistledown Acquisition for a total cost of $897.4 million, including acquisition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$59.5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 of property and equipment costs of $1.3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financing activities decreased $2,152.9 million for the three months ended March 31, 2021, compared with the three months ended March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the primary uses of cash in financing activities included:</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Dividend payments of $178.0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Distributions of $2.1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proceeds from the sale of an aggregate of $199.9 million of our common stock pursuant to our ATM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Gross proceeds from our February 2020 Senior Unsecured Notes offering of $2,500.0 million;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Full redemption of the $498.5 million outstanding aggregate principal amount of our Second Lien Notes, as well as the $39.0 million Second Lien Notes Applicable Premium (as defined in the Second Lien Notes indenture), plus fees;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 payments of $137.1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issuance costs of $51.7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Distributions of $2.0 million to non-controlling interest.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summary of our debt obligations as of March 31, 2021, refer to </w:t>
      </w:r>
      <w:hyperlink w:anchor="page32">
        <w:r>
          <w:rPr>
            <w:rFonts w:ascii="Arial" w:cs="Arial" w:eastAsia="Arial" w:hAnsi="Arial"/>
            <w:sz w:val="18"/>
            <w:szCs w:val="18"/>
            <w:u w:val="single" w:color="auto"/>
            <w:color w:val="0000FF"/>
          </w:rPr>
          <w:t>Note 7 - Debt</w:t>
        </w:r>
      </w:hyperlink>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2021, we were in compliance with all debt-related covenants.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Non-Guarantor Subsidiaries of Senior Unsecured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subsidiaries of the Operating Partnership that do not guarantee the Senior Unsecured Notes accounted for (i) 4.6% of the Operating Partnership’s revenue (or 4.5% of our consolidated revenue) for the three months ended March 31, 2021 and (ii) 3.8% of the Operating Partnership’s total assets (or 3.8% of our consolidated total assets) as of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three months ended March 31, 2021 and 2020 were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0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2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tcBorders>
              <w:top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Payment Date</w:t>
            </w:r>
          </w:p>
        </w:tc>
        <w:tc>
          <w:tcPr>
            <w:tcW w:w="346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March 11,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April 8,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January 1, 2021 - March 31,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c>
          <w:tcPr>
            <w:tcW w:w="20" w:type="dxa"/>
            <w:vAlign w:val="bottom"/>
            <w:tcBorders>
              <w:top w:val="single" w:sz="8" w:color="auto"/>
            </w:tcBorders>
            <w:shd w:val="clear" w:color="auto" w:fill="CCEEFF"/>
          </w:tcPr>
          <w:p>
            <w:pPr>
              <w:spacing w:after="0"/>
              <w:rPr>
                <w:sz w:val="19"/>
                <w:szCs w:val="19"/>
                <w:color w:val="auto"/>
              </w:rPr>
            </w:pPr>
          </w:p>
        </w:tc>
      </w:tr>
      <w:tr>
        <w:trPr>
          <w:trHeight w:val="483"/>
        </w:trPr>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Three Months Ended March 31, 2020</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000" w:type="dxa"/>
            <w:vAlign w:val="bottom"/>
            <w:gridSpan w:val="4"/>
          </w:tcPr>
          <w:p>
            <w:pPr>
              <w:ind w:left="340"/>
              <w:spacing w:after="0"/>
              <w:rPr>
                <w:sz w:val="20"/>
                <w:szCs w:val="20"/>
                <w:color w:val="auto"/>
              </w:rPr>
            </w:pPr>
            <w:r>
              <w:rPr>
                <w:rFonts w:ascii="Arial" w:cs="Arial" w:eastAsia="Arial" w:hAnsi="Arial"/>
                <w:sz w:val="16"/>
                <w:szCs w:val="16"/>
                <w:b w:val="1"/>
                <w:bCs w:val="1"/>
                <w:color w:val="auto"/>
              </w:rPr>
              <w:t>Declaration Date</w:t>
            </w:r>
          </w:p>
        </w:tc>
        <w:tc>
          <w:tcPr>
            <w:tcW w:w="20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3"/>
              </w:rPr>
              <w:t>Record Date</w:t>
            </w:r>
          </w:p>
        </w:tc>
        <w:tc>
          <w:tcPr>
            <w:tcW w:w="1920" w:type="dxa"/>
            <w:vAlign w:val="bottom"/>
            <w:gridSpan w:val="4"/>
          </w:tcPr>
          <w:p>
            <w:pPr>
              <w:ind w:left="400"/>
              <w:spacing w:after="0"/>
              <w:rPr>
                <w:sz w:val="20"/>
                <w:szCs w:val="20"/>
                <w:color w:val="auto"/>
              </w:rPr>
            </w:pPr>
            <w:r>
              <w:rPr>
                <w:rFonts w:ascii="Arial" w:cs="Arial" w:eastAsia="Arial" w:hAnsi="Arial"/>
                <w:sz w:val="16"/>
                <w:szCs w:val="16"/>
                <w:b w:val="1"/>
                <w:bCs w:val="1"/>
                <w:color w:val="auto"/>
              </w:rPr>
              <w:t>Payment Date</w:t>
            </w:r>
          </w:p>
        </w:tc>
        <w:tc>
          <w:tcPr>
            <w:tcW w:w="34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Pr>
          <w:p>
            <w:pPr>
              <w:spacing w:after="0"/>
              <w:rPr>
                <w:sz w:val="18"/>
                <w:szCs w:val="18"/>
                <w:color w:val="auto"/>
              </w:rPr>
            </w:pPr>
          </w:p>
        </w:tc>
        <w:tc>
          <w:tcPr>
            <w:tcW w:w="1460" w:type="dxa"/>
            <w:vAlign w:val="bottom"/>
          </w:tcPr>
          <w:p>
            <w:pPr>
              <w:jc w:val="right"/>
              <w:ind w:right="515"/>
              <w:spacing w:after="0"/>
              <w:rPr>
                <w:sz w:val="20"/>
                <w:szCs w:val="20"/>
                <w:color w:val="auto"/>
              </w:rPr>
            </w:pPr>
            <w:r>
              <w:rPr>
                <w:rFonts w:ascii="Arial" w:cs="Arial" w:eastAsia="Arial" w:hAnsi="Arial"/>
                <w:sz w:val="16"/>
                <w:szCs w:val="16"/>
                <w:b w:val="1"/>
                <w:bCs w:val="1"/>
                <w:color w:val="auto"/>
              </w:rPr>
              <w:t>Dividend</w:t>
            </w:r>
          </w:p>
        </w:tc>
        <w:tc>
          <w:tcPr>
            <w:tcW w:w="20" w:type="dxa"/>
            <w:vAlign w:val="bottom"/>
          </w:tcPr>
          <w:p>
            <w:pPr>
              <w:spacing w:after="0"/>
              <w:rPr>
                <w:sz w:val="18"/>
                <w:szCs w:val="18"/>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March 12, 2020</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31, 2020</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April 9, 2020</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2020 - March 31, 2020</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c>
          <w:tcPr>
            <w:tcW w:w="20" w:type="dxa"/>
            <w:vAlign w:val="bottom"/>
          </w:tcPr>
          <w:p>
            <w:pPr>
              <w:spacing w:after="0"/>
              <w:rPr>
                <w:sz w:val="19"/>
                <w:szCs w:val="19"/>
                <w:color w:val="auto"/>
              </w:rPr>
            </w:pPr>
          </w:p>
        </w:tc>
      </w:tr>
    </w:tbl>
    <w:p>
      <w:pPr>
        <w:spacing w:after="0" w:line="35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308" w:lineRule="auto"/>
        <w:rPr>
          <w:rFonts w:ascii="Arial" w:cs="Arial" w:eastAsia="Arial" w:hAnsi="Arial"/>
          <w:sz w:val="17"/>
          <w:szCs w:val="17"/>
          <w:color w:val="0000FF"/>
        </w:rPr>
      </w:pPr>
      <w:hyperlink r:id="rId69">
        <w:r>
          <w:rPr>
            <w:rFonts w:ascii="Arial" w:cs="Arial" w:eastAsia="Arial" w:hAnsi="Arial"/>
            <w:sz w:val="17"/>
            <w:szCs w:val="17"/>
            <w:color w:val="auto"/>
          </w:rPr>
          <w:t xml:space="preserve">A complete discussion of our critical accounting policies and estimates is included in our </w:t>
        </w:r>
        <w:r>
          <w:rPr>
            <w:rFonts w:ascii="Arial" w:cs="Arial" w:eastAsia="Arial" w:hAnsi="Arial"/>
            <w:sz w:val="17"/>
            <w:szCs w:val="17"/>
            <w:u w:val="single" w:color="auto"/>
            <w:color w:val="0000FF"/>
          </w:rPr>
          <w:t>Annual Report on Form 10-K for the year ended December 31,</w:t>
        </w:r>
      </w:hyperlink>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FF"/>
          </w:rPr>
          <w:t>2020</w:t>
        </w:r>
        <w:r>
          <w:rPr>
            <w:rFonts w:ascii="Arial" w:cs="Arial" w:eastAsia="Arial" w:hAnsi="Arial"/>
            <w:sz w:val="17"/>
            <w:szCs w:val="17"/>
            <w:color w:val="000000"/>
          </w:rPr>
          <w:t>. There have been no significant changes in our critical policies and estimates for the three months ended March 31, 2021.</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we had $6.9 billion aggregate principal amount of outstanding indebtedness. Approximately $2.1 billion of our indebtedness has variable interest rates. We manage most of our interest rate risks related to variable rate borrowings by means of interest rate swap agreements. However, the REIT provisions of the Code substantially limit our ability to hedge our assets and liabilities. We also expect to manage our exposure to interest rate risk by maintaining a mix of fixed and variable rates for our indebtedness.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we had entered into interest rate swap agreements that hedge $1.5 billion of our variable rate debt. Accordingly, we have approximately $600.0 million in variable rate debt that is not hedged. A one percent increase or decrease in the interest rate on our variable-rate borrowings that are not hedged would increase or decrease our annual cash interest expense by approximately $6.0 million.</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March 31, 2021, we are not subject to any litigation that we believe could have, individually or in the aggregate, a material adverse effect on our business, financial condition or results of operations, liquidity or cash flows.</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spacing w:after="0" w:line="259" w:lineRule="auto"/>
        <w:rPr>
          <w:rFonts w:ascii="Arial" w:cs="Arial" w:eastAsia="Arial" w:hAnsi="Arial"/>
          <w:sz w:val="18"/>
          <w:szCs w:val="18"/>
          <w:color w:val="0000FF"/>
        </w:rPr>
      </w:pPr>
      <w:hyperlink r:id="rId69">
        <w:r>
          <w:rPr>
            <w:rFonts w:ascii="Arial" w:cs="Arial" w:eastAsia="Arial" w:hAnsi="Arial"/>
            <w:sz w:val="18"/>
            <w:szCs w:val="18"/>
            <w:color w:val="auto"/>
          </w:rPr>
          <w:t xml:space="preserve">A description of certain factors that may affect our future results and risk factors is set forth in our </w:t>
        </w:r>
        <w:r>
          <w:rPr>
            <w:rFonts w:ascii="Arial" w:cs="Arial" w:eastAsia="Arial" w:hAnsi="Arial"/>
            <w:sz w:val="18"/>
            <w:szCs w:val="18"/>
            <w:u w:val="single" w:color="auto"/>
            <w:color w:val="0000FF"/>
          </w:rPr>
          <w:t>Annual Report on Form 10-K for the year ended</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FF"/>
          </w:rPr>
          <w:t>December 31, 2020</w:t>
        </w:r>
        <w:r>
          <w:rPr>
            <w:rFonts w:ascii="Arial" w:cs="Arial" w:eastAsia="Arial" w:hAnsi="Arial"/>
            <w:sz w:val="18"/>
            <w:szCs w:val="18"/>
            <w:color w:val="000000"/>
          </w:rPr>
          <w:t>. There have been no material changes to those factors for the three months ended March 31, 2021, which risk factors are incorporated</w:t>
        </w:r>
      </w:hyperlink>
      <w:r>
        <w:rPr>
          <w:rFonts w:ascii="Arial" w:cs="Arial" w:eastAsia="Arial" w:hAnsi="Arial"/>
          <w:sz w:val="18"/>
          <w:szCs w:val="18"/>
          <w:color w:val="0000FF"/>
        </w:rPr>
        <w:t xml:space="preserve"> </w:t>
      </w:r>
      <w:r>
        <w:rPr>
          <w:rFonts w:ascii="Arial" w:cs="Arial" w:eastAsia="Arial" w:hAnsi="Arial"/>
          <w:sz w:val="18"/>
          <w:szCs w:val="18"/>
          <w:color w:val="000000"/>
        </w:rPr>
        <w:t>herein by reference, except as set forth below. The risk factors set forth below supplement, and should be read together with, the risk factors disclosed in our Annual Report on Form 10-K for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Venetian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complete the Venetian Acquisition or may not complete it on the terms described herein.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completion of Venetian Acquisition is subject to certain customary regulatory and other closing conditions, many of which are beyond our control, which make the completion and timing thereof uncertain; there can be no assurance that such conditions will be satisfied on the anticipated schedule, or at all. Completion of certain of the transactions contemplated by the Venetian Acquisition are subject to the negotiation of definitive documentation and, while the principal terms of these transactions are specified in the Venetian Acquisition transaction documents, there can be no assurance that we will be successful in negotiating definitive documentation.</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this transaction is not completed on the anticipated schedule, on the contemplated terms or at all, we could be subject to a number of risks that may adversely affect our business and the market price of our common stock, including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incurred and expect to continue to incur significant transaction expenses relating to this transaction, such as legal, accounting and financial advisory fees, whether or not any or all of these transactions are completed;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this transaction could otherwise have been devoted to pursuing other opportunities;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 to the extent that the current market price reflects a market assumption that this transaction will be completed;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would not realize the potential benefits, including the increased revenue, that we expect to realize from consummating this transaction, and our earnings, FFO or AFFO per share could be materially and adversely affected.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provide any assurance that the Venetian Acquisition will be completed or that there will not be a delay in the completion of this transaction. If the Venetian Acquisition is not consummated, our reputation in our industry and in the investment community could be damaged, and the market price of our common stock could decline.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completion of the Venetian Acquisition is subject to the receipt of consents and approvals, which cannot be assured or which may impose conditions that could have a material adverse effect on us.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Completion of the Venetian Acquisition is conditioned upon the receipt of certain consents and approvals, including, without limitation, gaming regulatory approvals. Although we have agreed to use our reasonable best efforts to obtain such consents and approvals, there can be no assurance that these consents or approvals will be obtained and that the other conditions to completing the Venetian Acquisition will be satisfied. In addition, the governmental authorities from which the regulatory approvals are required may impose conditions on the completion of the Venetian Acquisition or require changes to the terms of the transaction documents. Such conditions or changes and the process of obtaining regulatory approvals could have the effect of delaying or impeding consummation of one or more of these transactions or of imposing additional costs or limitations on us following completion of the Venetian Acquisition, any of which might have a material adverse effect on us following completion of the Venetian Acquisition.</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obligations of the Venetian Tenant under the Venetian Lease will not be guaranteed by Apollo Global Management, Inc., Apollo Management Holdings, L.P. or any other affiliate of the Venetian Tenant.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depend on the Venetian Tenant to operate the Venetian Resort in a manner that generates revenues sufficient to allow the Venetian Tenant to meet its obligations to us, and such obligations will not be guaranteed by Apollo Global Management, Inc., Apollo Management Holdings, L.P. or any other affiliate of the Venetian Tenant. Because the Venetian Lease is a triple-net lease, in addition to the rent the Venetian Tenant will owe us, we will depend on the Venetian Tenant to pay substantially all insurance, taxes, utilities and maintenance and repair expenses in connection with the Venetian Resort and to indemnify, defend and hold us harmless from and against various claims, litigation and liabilities arising in connection with its business. There can be no assurance that the Venetian Tenant will have sufficient assets, income or access to financing to enable it to satisfy their payment and other obligations under the Venetian Lease.</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Venetian Tenant will be a newly formed entity and we do not expect it to have any operations other than operating the Venetian Resort. Accordingly, the Venetian Tenant will rely on the Venetian Resort for income to satisfy its obligations, including its debt service requirements and lease and other payments due to us or others, and will not be able to rely on the income or assets of Apollo Global Management, Inc., Apollo Management Holdings, L.P. or any other affiliate of the Venetian Tenant, or any other business operations, to satisfy its obligations to us. If income at the Venetian Resort fails to recover from COVID-19 related declines, were to decline further for any reason, including as a result of the ongoing COVID-19 pandemic, or if the Venetian Tenant’s debt service requirements were to increase or if its creditworthiness were to become impaired for any reason, the Venetian Tenant may become unable or unwilling to satisfy its payment and other obligations under the Venetian Lease or other agreements with us.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Contingent Lease Support Agreement is not a full and unconditional guarantee by LVS of the Venetian Tenant’s obligations to us and will not require LVS to cover any environmental expenses, litigation claims, or any cure or enforcement costs. Furthermore, LVS will not be required to provide the Venetian Tenant or us with such lease support after the termination of the Contingent Lease Support Agreement, which runs through 2023, but may be terminated earlier if the EBITDAR (as defined in the applicable agreement) generated by the Venetian Resort in 2022 equals or exceeds $550 million or if a change of control occurs with respect to the Venetian Tenant. We are not a party to the Contingent Lease Support Agreement, but we are a third-party beneficiary of the agreement. It is possible that under certain circumstances that our rights as a third-party beneficiary may be unenforceable.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inability or unwillingness of the Venetian Tenant to meet its payment or other obligations under a lease or other payment obligation with us could materially and adversely affect our business, financial condition, liquidity, results of operations and prospects, including our ability to make distributions to our stockholders.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provisions under the respective transaction documents for the Venetian Acquisition that, in specified circumstances, could require us to pay significant termination fees or liquidated damages to the seller in the Venetian Acquisition.</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transaction documents for the Venetian Acquisition provide that, in specified circumstances, we could be required to pay significant termination fees or liquidated damages to the seller. If the Venetian Acquisition is terminated under certain circumstances, we could become liable to LVS for a termination fee of up to $150.0 million. If we become obligated to pay a termination fee or liquidated damages, the payment could have a material adverse effect on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March 2021 Forward Sale Agreements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contained in the March 2021 Forward Sale Agreements could result in substantial dilution to our earnings per share or result in substantial cash payment obligations.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any forward purchaser under the March 2021 Forward Sale Agreements or its affiliate does not sell all of the shares of our common stock that it has agreed to sell to the underwriters (including because insufficient shares of common stock were made available by securities lenders for borrowing at a stock loan cost below a specified threshold) after using commercially reasonable efforts, we will issue and sell to the underwriters a number of shares of our common stock equal to the number of shares of common stock that such forward purchaser or its affiliate does not sell, and the number of shares of common stock underlying the relevant forward sale agreement will be decreased by the number of shares of common stock that we issue and sell.</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forward purchasers under the March 2021 Forward Sale Agreements will have the right to accelerate the March 2021 Forward Sale Agreements (with respect to all or, in certain cases, any portion of the transaction under the March 2021 Forward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 Agreements that a forward purchaser under the March 2021 Forward Sale Agreements determines is affected by an event described below) and require us to settle on a date specified by the relevant forward purchaser if:</w:t>
      </w:r>
    </w:p>
    <w:p>
      <w:pPr>
        <w:spacing w:after="0" w:line="116" w:lineRule="exact"/>
        <w:rPr>
          <w:sz w:val="20"/>
          <w:szCs w:val="20"/>
          <w:color w:val="auto"/>
        </w:rPr>
      </w:pPr>
    </w:p>
    <w:p>
      <w:pPr>
        <w:jc w:val="both"/>
        <w:ind w:left="660" w:hanging="328"/>
        <w:spacing w:after="0" w:line="31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such forward purchaser or its affiliate (x) is unable in its commercially reasonable good faith judgment to hedge its exposure under the applicable forward sale agreement because insufficient shares of common stock have been made available for borrowing by securities lenders or (y) would incur a stock loan cost in excess of a specified threshold to hedge its exposure under the applicable forward sale agreement;</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declare any dividend, issue or distribution on our common stock payable in (x) cash in excess of specified amounts, (y) securities of another company that we acquire or own (directly or indirectly) as a result of a spin-off or similar transaction or (z) any other type of securities (other than our common stock), rights, warrants or other assets for payment at less than the prevailing market price;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ownership thresholds applicable to the applicable forward purchaser and its affiliate are exceeded;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event (x) is announced that, if consummated, would result in a specified extraordinary event (including certain mergers or tender offers, certain events involving our nationalization, or insolvency, or a delisting of our common shares) or (y) occurs that would constitute a delisting or change in law; or</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other events of default or termination events occur, including, among others, any material misrepresentation made in connection with the applicable March 2021 Forward Sale Agreement or our insolvency (each as more fully described in the applicable March 2021 Forward Sale Agreement).</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forward purchaser’s decision to exercise its right to accelerate the settlement of its March 2021 Forward Sale Agreement will be made irrespective of our interests, including our need for capital. In such cases, we could be required to issue and deliver shares of our common stock under the physical settlement provisions of the applicable March 2021 Forward Sale Agreement, which would result in dilution to our earnings per share.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physically settle the March 2021 Forward Sale Agreements and receive proceeds from the sale of those shares of our common stock upon one or more forward settlement dates no later than approximately March 3, 2022 . However, the March 2021 Forward Sale Agreements may be settled earlier in whole or in part at our option. Subject to certain conditions, we have the right to elect physical, cash or net share settlement under the March 2021 Forward Sale Agreements at any time and from time to time, in part or in full. The March 2021 Forward Sale Agreements will be physically settled by delivery of shares of our common stock, unless we elect to cash settle or net share settle the forward sale agreements. Delivery of shares of our common stock upon physical settlement (or, if we elect net share settlement, upon such settlement to the extent we are obligated to deliver shares of our common stock) will result in dilution to our earnings per share.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elect cash settlement or net share settlement with respect to all or a portion of the shares of our common stock underlying the March 2021 Forward Sale Agreements, we expect the applicable forward purchaser (or its affiliate) to purchase a number of shares of our common stock in secondary market transactions over an unwind period to:</w:t>
      </w:r>
    </w:p>
    <w:p>
      <w:pPr>
        <w:spacing w:after="0" w:line="130"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return shares of our common stock to securities lenders in order to unwind its hedge (after taking into consideration any shares of our common stock to be delivered by us to such forward purchaser, in the case of net share settlement);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in the case of net share settlement, deliver shares of our common stock to us to the extent required in settlement of such forward sale agreement.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purchase of shares of our common stock in connection with the forward purchasers under the March 2021 Forward Sale Agreements or their respective affiliates unwinding their respective hedge positions could cause the price of shares of our common stock to increase over such time (or reduce the amount of a decrease over such time), thereby increasing the amount of cash we would be required to pay to such forward purchasers (or decreasing the amount of cash that such forward purchasers would be required to pay us) upon a cash settlement of the March 2021 Forward Sale Agreements or increasing the number of shares of common stock we would be required to deliver to such forward purchasers (or decreasing the number of shares of common stock that such forward purchasers would be required to deliver to us) upon net share settlement of the March 2021 Forward Sale Agreements.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forward sale price that we expect to receive upon physical settlement of the March 2021 Forward Sale Agreements will be subject to adjustment on a daily basis based on a floating interest rate factor determined by reference to a specified daily rate less a spread and will be decreased by amounts related to expected dividends on our common stock during the term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March 2021 Forward Sale Agreements. If the specified daily rate is less than the spread on any day, the interest rate factor will result in a reduction of the forward sale price for that day. As of March 3, 2021, the date of the prospectus supplement governing the offering of our common stock pursuant to the March 2021 Forward Sale Agreements, the specified daily rate was less than the spread, reducing the proceeds that we would receive upon settlement of the March 2021 Forward Sale Agreements. If the prevailing market price for our common stock during the unwind period under the March 2021 Forward Sale Agreements is above the forward sale price, in the case of cash settlement, we would pay the forward purchasers under the March 2021 Forward Sale Agreements an amount per share in cash equal to the difference or, in the case of net share settlement, we would deliver to such forward purchasers a number of shares of common stock having a value equal to the difference. Thus, we could be responsible for a potentially substantial cash payment in the case of cash settlement.</w:t>
      </w:r>
    </w:p>
    <w:p>
      <w:pPr>
        <w:spacing w:after="0" w:line="1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have in the past entered into forward sale transactions other than the March 2021 Forward Sale Agreements, including the June 2020 Forward Sale Agreement, and we may in the future enter into forward sale transactions, all of which subject us to risks similar to those described above.</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in the past entered into forward sale transactions and may in the future enter into forward sale transactions in connection with public offerings or other transactions other than the June 2020 Forward Sale Agreement and the March 2021 Forward Sale Agreements. The non-settled forward sale transactions that we entered into in the past, to the extent not fully settled, subject us to risks that are substantially similar to the risks described above and due to their not being fully settled could subject us to incremental risks with respect to the forward sale transactions entered into with respect to the March 2021 Forward Sale Agreements had these past forward sale transactions been fully settled, including limiting our ability (subject to certain conditions) to elect “Cash Settlement” or “Net Settlement” with respect to the forward sale transactions entered into with respect to the March 2021 Forward Sale Agreements if there is any overlap with respect to an “Unwind Period” under the June 2020 Forward Sale Agreement. Likewise, if in the future we enter into any forward sale transactions, those forward sale transactions also may subject us to risks that are substantially similar to the risks described above.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three months ended March 31, 2021, certain employees surrendered shares of common stock owned by them to us to satisfy their statutory minimum federal and state income tax obligations associated with the vesting of shares of restricted common stock issued under our stock incentive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such common stock repurchases during the three months ended March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 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Of Shares That</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As Part Of</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May Yet Be Purchased</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Under The Plans Or</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i w:val="1"/>
                <w:iCs w:val="1"/>
                <w:color w:val="auto"/>
                <w:w w:val="88"/>
                <w:vertAlign w:val="superscript"/>
              </w:rPr>
              <w:t>(1)</w:t>
            </w: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Plans Or Programs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2021 through January 31, 2021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February 1, 2021 through February 28, 2021</w:t>
            </w:r>
          </w:p>
        </w:tc>
        <w:tc>
          <w:tcPr>
            <w:tcW w:w="1620" w:type="dxa"/>
            <w:vAlign w:val="bottom"/>
          </w:tcPr>
          <w:p>
            <w:pPr>
              <w:jc w:val="right"/>
              <w:spacing w:after="0"/>
              <w:rPr>
                <w:sz w:val="20"/>
                <w:szCs w:val="20"/>
                <w:color w:val="auto"/>
              </w:rPr>
            </w:pPr>
            <w:r>
              <w:rPr>
                <w:rFonts w:ascii="Arial" w:cs="Arial" w:eastAsia="Arial" w:hAnsi="Arial"/>
                <w:sz w:val="18"/>
                <w:szCs w:val="18"/>
                <w:color w:val="auto"/>
              </w:rPr>
              <w:t>52,743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through March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60,330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27.33</w:t>
            </w:r>
          </w:p>
        </w:tc>
        <w:tc>
          <w:tcPr>
            <w:tcW w:w="100" w:type="dxa"/>
            <w:vAlign w:val="bottom"/>
          </w:tcPr>
          <w:p>
            <w:pPr>
              <w:spacing w:after="0"/>
              <w:rPr>
                <w:sz w:val="19"/>
                <w:szCs w:val="19"/>
                <w:color w:val="auto"/>
              </w:rPr>
            </w:pPr>
          </w:p>
        </w:tc>
        <w:tc>
          <w:tcPr>
            <w:tcW w:w="178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900" w:type="dxa"/>
            <w:vAlign w:val="bottom"/>
            <w:tcBorders>
              <w:top w:val="single" w:sz="8" w:color="auto"/>
            </w:tcBorders>
          </w:tcPr>
          <w:p>
            <w:pPr>
              <w:ind w:left="1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(1) The price paid per share is based on the closing price of our common stock as of the date of the determination of the statutory minimum federal income tax.</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otherwise repurchase any equity securities registered pursuant to Section 12 of the Exchange Act during the three months ended March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26, 2021, the Company further amended the forward sale agreement, originally dated June 16, 2020 (the “June 2020 Forward Sale Agreement”) (which was further described in the Company’s Current Report on Form 8-K filed with the Securities and Exchange Commission on June 19, 2020), with Morgan Stanley &amp; Co. LLC to extend the maturity date of the June 2020 Forward Sale Agreement from June 17, 2021 to December 17, 2021. The June 2020 Forward Sale Agreement was previously amended on September 16, 2020 to extend the original maturity date from June 17, 2020 (as described in the Company’s Current Report on Form 8-K filed with the Securities and Exchange Commission on September 16, 2020). The Company intends (subject to its right to elect cash or net share settlement and subject to certain conditions) to deliver, upon physical settlement of such June 2020 Forward Sale Agreement on one or more dates specified by the Company occurring no later than December 17, 2021, an aggregate of 26,900,000 shares of the Company’s common stock, $0.01 par value per share, remaining under the June 2020 Forward Sale Agreement to the forward purchaser in exchange for cash proceeds per share equal to the applicable forward sale price as provided in the June 2020 Forward Sale Agreement, as amended.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40" w:type="dxa"/>
            <w:vAlign w:val="bottom"/>
            <w:gridSpan w:val="6"/>
          </w:tcPr>
          <w:p>
            <w:pPr>
              <w:spacing w:after="0"/>
              <w:rPr>
                <w:sz w:val="20"/>
                <w:szCs w:val="20"/>
                <w:color w:val="auto"/>
              </w:rPr>
            </w:pPr>
            <w:r>
              <w:rPr>
                <w:rFonts w:ascii="Arial" w:cs="Arial" w:eastAsia="Arial" w:hAnsi="Arial"/>
                <w:sz w:val="22"/>
                <w:szCs w:val="22"/>
                <w:b w:val="1"/>
                <w:bCs w:val="1"/>
                <w:color w:val="auto"/>
              </w:rPr>
              <w:t>Item 6.</w:t>
            </w:r>
          </w:p>
        </w:tc>
        <w:tc>
          <w:tcPr>
            <w:tcW w:w="5640" w:type="dxa"/>
            <w:vAlign w:val="bottom"/>
            <w:gridSpan w:val="13"/>
          </w:tcPr>
          <w:p>
            <w:pPr>
              <w:ind w:left="160"/>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503"/>
        </w:trPr>
        <w:tc>
          <w:tcPr>
            <w:tcW w:w="11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40" w:type="dxa"/>
            <w:vAlign w:val="bottom"/>
            <w:gridSpan w:val="11"/>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54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80" w:type="dxa"/>
            <w:vAlign w:val="bottom"/>
            <w:tcBorders>
              <w:top w:val="single" w:sz="8" w:color="auto"/>
            </w:tcBorders>
            <w:gridSpan w:val="4"/>
          </w:tcPr>
          <w:p>
            <w:pPr>
              <w:jc w:val="center"/>
              <w:ind w:left="251"/>
              <w:spacing w:after="0"/>
              <w:rPr>
                <w:rFonts w:ascii="Arial" w:cs="Arial" w:eastAsia="Arial" w:hAnsi="Arial"/>
                <w:sz w:val="18"/>
                <w:szCs w:val="18"/>
                <w:color w:val="0000FF"/>
                <w:w w:val="87"/>
              </w:rPr>
            </w:pPr>
            <w:hyperlink r:id="rId9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tcBorders>
              <w:top w:val="single" w:sz="8" w:color="auto"/>
            </w:tcBorders>
            <w:gridSpan w:val="13"/>
          </w:tcPr>
          <w:p>
            <w:pPr>
              <w:spacing w:after="0"/>
              <w:rPr>
                <w:rFonts w:ascii="Arial" w:cs="Arial" w:eastAsia="Arial" w:hAnsi="Arial"/>
                <w:sz w:val="18"/>
                <w:szCs w:val="18"/>
                <w:color w:val="0000FF"/>
                <w:w w:val="97"/>
              </w:rPr>
            </w:pPr>
            <w:hyperlink r:id="rId97">
              <w:r>
                <w:rPr>
                  <w:rFonts w:ascii="Arial" w:cs="Arial" w:eastAsia="Arial" w:hAnsi="Arial"/>
                  <w:sz w:val="18"/>
                  <w:szCs w:val="18"/>
                  <w:color w:val="0000FF"/>
                  <w:w w:val="97"/>
                </w:rPr>
                <w:t>Articles of Amendment to the Articles of Amendment and Restatement of</w:t>
              </w:r>
            </w:hyperlink>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0000FF"/>
              <w:bottom w:val="single" w:sz="8" w:color="0000FF"/>
            </w:tcBorders>
          </w:tcPr>
          <w:p>
            <w:pPr>
              <w:spacing w:after="0" w:line="189"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VICI Properties Inc.</w:t>
              </w:r>
            </w:hyperlink>
          </w:p>
        </w:tc>
        <w:tc>
          <w:tcPr>
            <w:tcW w:w="3860" w:type="dxa"/>
            <w:vAlign w:val="bottom"/>
            <w:tcBorders>
              <w:top w:val="single" w:sz="8" w:color="0000FF"/>
            </w:tcBorders>
            <w:gridSpan w:val="8"/>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20" w:type="dxa"/>
            <w:vAlign w:val="bottom"/>
            <w:gridSpan w:val="5"/>
          </w:tcPr>
          <w:p>
            <w:pPr>
              <w:jc w:val="cente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2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Purchase and Sale Agreement dated as of March 2, 2021 by and among Las</w:t>
              </w:r>
            </w:hyperlink>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60" w:type="dxa"/>
            <w:vAlign w:val="bottom"/>
            <w:tcBorders>
              <w:top w:val="single" w:sz="8" w:color="0000FF"/>
            </w:tcBorders>
            <w:gridSpan w:val="11"/>
          </w:tcPr>
          <w:p>
            <w:pPr>
              <w:spacing w:after="0" w:line="189" w:lineRule="exact"/>
              <w:rPr>
                <w:rFonts w:ascii="Arial" w:cs="Arial" w:eastAsia="Arial" w:hAnsi="Arial"/>
                <w:sz w:val="18"/>
                <w:szCs w:val="18"/>
                <w:color w:val="0000FF"/>
              </w:rPr>
            </w:pPr>
            <w:hyperlink r:id="rId98">
              <w:r>
                <w:rPr>
                  <w:rFonts w:ascii="Arial" w:cs="Arial" w:eastAsia="Arial" w:hAnsi="Arial"/>
                  <w:sz w:val="18"/>
                  <w:szCs w:val="18"/>
                  <w:color w:val="0000FF"/>
                </w:rPr>
                <w:t>Vegas Sands Corp., Pioneer OpCo, LLC and VICI Properties L.P.</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jc w:val="cente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20" w:type="dxa"/>
            <w:vAlign w:val="bottom"/>
            <w:tcBorders>
              <w:right w:val="single" w:sz="8" w:color="0000FF"/>
            </w:tcBorders>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FF"/>
                <w:w w:val="89"/>
              </w:rPr>
            </w:pPr>
            <w:hyperlink r:id="rId99">
              <w:r>
                <w:rPr>
                  <w:rFonts w:ascii="Arial" w:cs="Arial" w:eastAsia="Arial" w:hAnsi="Arial"/>
                  <w:sz w:val="18"/>
                  <w:szCs w:val="18"/>
                  <w:color w:val="0000FF"/>
                  <w:w w:val="89"/>
                </w:rPr>
                <w:t>Purchase and Sale Agreement dated as of March 2, 2021 by and between Las</w:t>
              </w:r>
            </w:hyperlink>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top w:val="single" w:sz="8" w:color="0000FF"/>
              <w:bottom w:val="single" w:sz="8" w:color="0000FF"/>
            </w:tcBorders>
            <w:gridSpan w:val="3"/>
          </w:tcPr>
          <w:p>
            <w:pPr>
              <w:spacing w:after="0" w:line="189" w:lineRule="exact"/>
              <w:rPr>
                <w:rFonts w:ascii="Arial" w:cs="Arial" w:eastAsia="Arial" w:hAnsi="Arial"/>
                <w:sz w:val="18"/>
                <w:szCs w:val="18"/>
                <w:color w:val="0000FF"/>
                <w:w w:val="88"/>
              </w:rPr>
            </w:pPr>
            <w:hyperlink r:id="rId99">
              <w:r>
                <w:rPr>
                  <w:rFonts w:ascii="Arial" w:cs="Arial" w:eastAsia="Arial" w:hAnsi="Arial"/>
                  <w:sz w:val="18"/>
                  <w:szCs w:val="18"/>
                  <w:color w:val="0000FF"/>
                  <w:w w:val="88"/>
                </w:rPr>
                <w:t>Vegas Sands Corp. and VICI Properties L.P.</w:t>
              </w:r>
            </w:hyperlink>
          </w:p>
        </w:tc>
        <w:tc>
          <w:tcPr>
            <w:tcW w:w="2380" w:type="dxa"/>
            <w:vAlign w:val="bottom"/>
            <w:tcBorders>
              <w:top w:val="single" w:sz="8" w:color="0000FF"/>
            </w:tcBorders>
            <w:gridSpan w:val="9"/>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20" w:type="dxa"/>
            <w:vAlign w:val="bottom"/>
            <w:gridSpan w:val="5"/>
          </w:tcPr>
          <w:p>
            <w:pPr>
              <w:jc w:val="cente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20" w:type="dxa"/>
            <w:vAlign w:val="bottom"/>
          </w:tcPr>
          <w:p>
            <w:pPr>
              <w:spacing w:after="0"/>
              <w:rPr>
                <w:sz w:val="24"/>
                <w:szCs w:val="24"/>
                <w:color w:val="auto"/>
              </w:rPr>
            </w:pPr>
          </w:p>
        </w:tc>
        <w:tc>
          <w:tcPr>
            <w:tcW w:w="5640" w:type="dxa"/>
            <w:vAlign w:val="bottom"/>
            <w:gridSpan w:val="13"/>
          </w:tcPr>
          <w:p>
            <w:pPr>
              <w:spacing w:after="0"/>
              <w:rPr>
                <w:rFonts w:ascii="Arial" w:cs="Arial" w:eastAsia="Arial" w:hAnsi="Arial"/>
                <w:sz w:val="18"/>
                <w:szCs w:val="18"/>
                <w:color w:val="0000FF"/>
              </w:rPr>
            </w:pPr>
            <w:hyperlink r:id="rId100">
              <w:r>
                <w:rPr>
                  <w:rFonts w:ascii="Arial" w:cs="Arial" w:eastAsia="Arial" w:hAnsi="Arial"/>
                  <w:sz w:val="18"/>
                  <w:szCs w:val="18"/>
                  <w:color w:val="0000FF"/>
                </w:rPr>
                <w:t>Commitment Letter, dated as of March 2, 2021, by and between VICI</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2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Properties 1 LLC, Deutsche Bank Securities Inc., Deutsche Bank AG</w:t>
              </w:r>
            </w:hyperlink>
          </w:p>
        </w:tc>
        <w:tc>
          <w:tcPr>
            <w:tcW w:w="2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Cayman Islands Branch and Morgan Stanley Senior Funding, Inc.</w:t>
              </w:r>
            </w:hyperlink>
          </w:p>
        </w:tc>
        <w:tc>
          <w:tcPr>
            <w:tcW w:w="240" w:type="dxa"/>
            <w:vAlign w:val="bottom"/>
            <w:tcBorders>
              <w:top w:val="single" w:sz="8" w:color="0000FF"/>
            </w:tcBorders>
          </w:tcPr>
          <w:p>
            <w:pPr>
              <w:spacing w:after="0"/>
              <w:rPr>
                <w:sz w:val="13"/>
                <w:szCs w:val="13"/>
                <w:color w:val="auto"/>
              </w:rPr>
            </w:pPr>
          </w:p>
        </w:tc>
        <w:tc>
          <w:tcPr>
            <w:tcW w:w="3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gridSpan w:val="5"/>
          </w:tcPr>
          <w:p>
            <w:pPr>
              <w:jc w:val="cente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20" w:type="dxa"/>
            <w:vAlign w:val="bottom"/>
          </w:tcPr>
          <w:p>
            <w:pPr>
              <w:spacing w:after="0"/>
              <w:rPr>
                <w:sz w:val="22"/>
                <w:szCs w:val="22"/>
                <w:color w:val="auto"/>
              </w:rPr>
            </w:pPr>
          </w:p>
        </w:tc>
        <w:tc>
          <w:tcPr>
            <w:tcW w:w="5640" w:type="dxa"/>
            <w:vAlign w:val="bottom"/>
            <w:gridSpan w:val="13"/>
          </w:tcPr>
          <w:p>
            <w:pPr>
              <w:spacing w:after="0"/>
              <w:rPr>
                <w:rFonts w:ascii="Arial" w:cs="Arial" w:eastAsia="Arial" w:hAnsi="Arial"/>
                <w:sz w:val="18"/>
                <w:szCs w:val="18"/>
                <w:color w:val="0000FF"/>
                <w:w w:val="97"/>
              </w:rPr>
            </w:pPr>
            <w:hyperlink w:anchor="page71">
              <w:r>
                <w:rPr>
                  <w:rFonts w:ascii="Arial" w:cs="Arial" w:eastAsia="Arial" w:hAnsi="Arial"/>
                  <w:sz w:val="18"/>
                  <w:szCs w:val="18"/>
                  <w:color w:val="0000FF"/>
                  <w:w w:val="97"/>
                </w:rPr>
                <w:t>Certification of Principal Executive Officer Pursuant to Section 302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Sarbanes-Oxley Act of 2002.</w:t>
              </w:r>
            </w:hyperlink>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gridSpan w:val="5"/>
          </w:tcPr>
          <w:p>
            <w:pPr>
              <w:jc w:val="cente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20" w:type="dxa"/>
            <w:vAlign w:val="bottom"/>
          </w:tcPr>
          <w:p>
            <w:pPr>
              <w:spacing w:after="0"/>
              <w:rPr>
                <w:sz w:val="22"/>
                <w:szCs w:val="22"/>
                <w:color w:val="auto"/>
              </w:rPr>
            </w:pPr>
          </w:p>
        </w:tc>
        <w:tc>
          <w:tcPr>
            <w:tcW w:w="5640" w:type="dxa"/>
            <w:vAlign w:val="bottom"/>
            <w:gridSpan w:val="13"/>
          </w:tcPr>
          <w:p>
            <w:pPr>
              <w:spacing w:after="0"/>
              <w:rPr>
                <w:rFonts w:ascii="Arial" w:cs="Arial" w:eastAsia="Arial" w:hAnsi="Arial"/>
                <w:sz w:val="18"/>
                <w:szCs w:val="18"/>
                <w:color w:val="0000FF"/>
                <w:w w:val="98"/>
              </w:rPr>
            </w:pPr>
            <w:hyperlink w:anchor="page72">
              <w:r>
                <w:rPr>
                  <w:rFonts w:ascii="Arial" w:cs="Arial" w:eastAsia="Arial" w:hAnsi="Arial"/>
                  <w:sz w:val="18"/>
                  <w:szCs w:val="18"/>
                  <w:color w:val="0000FF"/>
                  <w:w w:val="98"/>
                </w:rPr>
                <w:t>Certification of Principal Financial Officer Pursuant to Section 302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Sarbanes-Oxley Act of 2002.</w:t>
              </w:r>
            </w:hyperlink>
          </w:p>
        </w:tc>
        <w:tc>
          <w:tcPr>
            <w:tcW w:w="3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5"/>
          </w:tcPr>
          <w:p>
            <w:pPr>
              <w:jc w:val="cente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20" w:type="dxa"/>
            <w:vAlign w:val="bottom"/>
          </w:tcPr>
          <w:p>
            <w:pPr>
              <w:spacing w:after="0"/>
              <w:rPr>
                <w:sz w:val="22"/>
                <w:szCs w:val="22"/>
                <w:color w:val="auto"/>
              </w:rPr>
            </w:pPr>
          </w:p>
        </w:tc>
        <w:tc>
          <w:tcPr>
            <w:tcW w:w="5640" w:type="dxa"/>
            <w:vAlign w:val="bottom"/>
            <w:gridSpan w:val="13"/>
          </w:tcPr>
          <w:p>
            <w:pPr>
              <w:spacing w:after="0"/>
              <w:rPr>
                <w:rFonts w:ascii="Arial" w:cs="Arial" w:eastAsia="Arial" w:hAnsi="Arial"/>
                <w:sz w:val="18"/>
                <w:szCs w:val="18"/>
                <w:color w:val="0000FF"/>
                <w:w w:val="97"/>
              </w:rPr>
            </w:pPr>
            <w:hyperlink w:anchor="page73">
              <w:r>
                <w:rPr>
                  <w:rFonts w:ascii="Arial" w:cs="Arial" w:eastAsia="Arial" w:hAnsi="Arial"/>
                  <w:sz w:val="18"/>
                  <w:szCs w:val="18"/>
                  <w:color w:val="0000FF"/>
                  <w:w w:val="97"/>
                </w:rPr>
                <w:t>Certification of Principal Executive Officer Pursuant to Section 906 of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Sarbanes-Oxley Act of 2002.</w:t>
              </w:r>
            </w:hyperlink>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gridSpan w:val="5"/>
          </w:tcPr>
          <w:p>
            <w:pPr>
              <w:jc w:val="cente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20" w:type="dxa"/>
            <w:vAlign w:val="bottom"/>
          </w:tcPr>
          <w:p>
            <w:pPr>
              <w:spacing w:after="0"/>
              <w:rPr>
                <w:sz w:val="22"/>
                <w:szCs w:val="22"/>
                <w:color w:val="auto"/>
              </w:rPr>
            </w:pPr>
          </w:p>
        </w:tc>
        <w:tc>
          <w:tcPr>
            <w:tcW w:w="5640" w:type="dxa"/>
            <w:vAlign w:val="bottom"/>
            <w:gridSpan w:val="13"/>
          </w:tcPr>
          <w:p>
            <w:pPr>
              <w:spacing w:after="0"/>
              <w:rPr>
                <w:rFonts w:ascii="Arial" w:cs="Arial" w:eastAsia="Arial" w:hAnsi="Arial"/>
                <w:sz w:val="18"/>
                <w:szCs w:val="18"/>
                <w:color w:val="0000FF"/>
                <w:w w:val="98"/>
              </w:rPr>
            </w:pPr>
            <w:hyperlink w:anchor="page74">
              <w:r>
                <w:rPr>
                  <w:rFonts w:ascii="Arial" w:cs="Arial" w:eastAsia="Arial" w:hAnsi="Arial"/>
                  <w:sz w:val="18"/>
                  <w:szCs w:val="18"/>
                  <w:color w:val="0000FF"/>
                  <w:w w:val="98"/>
                </w:rPr>
                <w:t>Certification of Principal Financial Officer Pursuant to Section 906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Sarbanes-Oxley Act of 2002.</w:t>
              </w:r>
            </w:hyperlink>
          </w:p>
        </w:tc>
        <w:tc>
          <w:tcPr>
            <w:tcW w:w="3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gridSpan w:val="6"/>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101.INS</w:t>
            </w:r>
          </w:p>
        </w:tc>
        <w:tc>
          <w:tcPr>
            <w:tcW w:w="5640" w:type="dxa"/>
            <w:vAlign w:val="bottom"/>
            <w:gridSpan w:val="13"/>
          </w:tcPr>
          <w:p>
            <w:pPr>
              <w:spacing w:after="0"/>
              <w:rPr>
                <w:sz w:val="20"/>
                <w:szCs w:val="20"/>
                <w:color w:val="auto"/>
              </w:rPr>
            </w:pPr>
            <w:r>
              <w:rPr>
                <w:rFonts w:ascii="Arial" w:cs="Arial" w:eastAsia="Arial" w:hAnsi="Arial"/>
                <w:sz w:val="18"/>
                <w:szCs w:val="18"/>
                <w:color w:val="auto"/>
                <w:w w:val="95"/>
              </w:rPr>
              <w:t>XBRL Instance Document - the instance document does not appear in the</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13"/>
          </w:tcPr>
          <w:p>
            <w:pPr>
              <w:spacing w:after="0" w:line="176" w:lineRule="exact"/>
              <w:rPr>
                <w:sz w:val="20"/>
                <w:szCs w:val="20"/>
                <w:color w:val="auto"/>
              </w:rPr>
            </w:pPr>
            <w:r>
              <w:rPr>
                <w:rFonts w:ascii="Arial" w:cs="Arial" w:eastAsia="Arial" w:hAnsi="Arial"/>
                <w:sz w:val="18"/>
                <w:szCs w:val="18"/>
                <w:color w:val="auto"/>
                <w:w w:val="94"/>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gridSpan w:val="13"/>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83"/>
        </w:trPr>
        <w:tc>
          <w:tcPr>
            <w:tcW w:w="114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101.SCH</w:t>
            </w:r>
          </w:p>
        </w:tc>
        <w:tc>
          <w:tcPr>
            <w:tcW w:w="56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140" w:type="dxa"/>
            <w:vAlign w:val="bottom"/>
            <w:gridSpan w:val="6"/>
          </w:tcPr>
          <w:p>
            <w:pPr>
              <w:jc w:val="center"/>
              <w:ind w:right="100"/>
              <w:spacing w:after="0"/>
              <w:rPr>
                <w:sz w:val="20"/>
                <w:szCs w:val="20"/>
                <w:color w:val="auto"/>
              </w:rPr>
            </w:pPr>
            <w:r>
              <w:rPr>
                <w:rFonts w:ascii="Arial" w:cs="Arial" w:eastAsia="Arial" w:hAnsi="Arial"/>
                <w:sz w:val="18"/>
                <w:szCs w:val="18"/>
                <w:color w:val="auto"/>
                <w:w w:val="97"/>
              </w:rPr>
              <w:t>101.CAL</w:t>
            </w:r>
          </w:p>
        </w:tc>
        <w:tc>
          <w:tcPr>
            <w:tcW w:w="56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14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101.DEF</w:t>
            </w:r>
          </w:p>
        </w:tc>
        <w:tc>
          <w:tcPr>
            <w:tcW w:w="56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140" w:type="dxa"/>
            <w:vAlign w:val="bottom"/>
            <w:gridSpan w:val="6"/>
          </w:tcPr>
          <w:p>
            <w:pPr>
              <w:jc w:val="center"/>
              <w:ind w:right="100"/>
              <w:spacing w:after="0"/>
              <w:rPr>
                <w:sz w:val="20"/>
                <w:szCs w:val="20"/>
                <w:color w:val="auto"/>
              </w:rPr>
            </w:pPr>
            <w:r>
              <w:rPr>
                <w:rFonts w:ascii="Arial" w:cs="Arial" w:eastAsia="Arial" w:hAnsi="Arial"/>
                <w:sz w:val="18"/>
                <w:szCs w:val="18"/>
                <w:color w:val="auto"/>
                <w:w w:val="98"/>
              </w:rPr>
              <w:t>101.LAB</w:t>
            </w:r>
          </w:p>
        </w:tc>
        <w:tc>
          <w:tcPr>
            <w:tcW w:w="56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14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101.PRE</w:t>
            </w:r>
          </w:p>
        </w:tc>
        <w:tc>
          <w:tcPr>
            <w:tcW w:w="56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40" w:right="60" w:hanging="761"/>
        <w:spacing w:after="0" w:line="235"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2"/>
        </w:trPr>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7"/>
              </w:rPr>
              <w:t>Filed</w:t>
            </w:r>
          </w:p>
        </w:tc>
        <w:tc>
          <w:tcPr>
            <w:tcW w:w="76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0"/>
                <w:szCs w:val="10"/>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4"/>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4"/>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r>
        <w:trPr>
          <w:trHeight w:val="51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4"/>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4"/>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r>
        <w:trPr>
          <w:trHeight w:val="51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4"/>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4"/>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r>
        <w:trPr>
          <w:trHeight w:val="58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4"/>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74"/>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3/3/2021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780" w:space="120"/>
            <w:col w:w="4340"/>
          </w:cols>
          <w:pgMar w:left="320" w:top="530"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VICI PROPERTIES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EDWARD B. PITONIAK</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April 29, 2021</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 Pitoniak</w:t>
            </w:r>
          </w:p>
        </w:tc>
        <w:tc>
          <w:tcPr>
            <w:tcW w:w="10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April 29, 2021</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Kieske</w:t>
            </w:r>
          </w:p>
        </w:tc>
        <w:tc>
          <w:tcPr>
            <w:tcW w:w="10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April 29, 2021</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0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53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29, 2021</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29, 2021</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right="20" w:firstLine="413"/>
        <w:spacing w:after="0" w:line="277"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2021 (the “Report”) fully complies with the requirements of Section 13(a) or Section 15(d), as applicable, of the Securities Exchange Act of 1934, as amended; and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29, 2021</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right="20" w:firstLine="413"/>
        <w:spacing w:after="0" w:line="27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2021 (the “Report”) fully complies with the requirements of Section 13(a) or Section 15(d), as applicable, of the Securities Exchange Act of 1934, as amended; and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29, 2021</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5"/>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lowerRoman"/>
      <w:start w:val="3"/>
    </w:lvl>
  </w:abstractNum>
  <w:abstractNum w:abstractNumId="21">
    <w:nsid w:val="5577F8E1"/>
    <w:multiLevelType w:val="hybridMultilevel"/>
    <w:lvl w:ilvl="0">
      <w:lvlJc w:val="left"/>
      <w:lvlText w:val="(%1)"/>
      <w:numFmt w:val="lowerRoman"/>
      <w:start w:val="8"/>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2"/>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lvl w:ilvl="1">
      <w:lvlJc w:val="left"/>
      <w:lvlText w:val="%2"/>
      <w:numFmt w:val="decimal"/>
      <w:start w:val="10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jpe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8" Type="http://schemas.openxmlformats.org/officeDocument/2006/relationships/hyperlink" Target="http://www.sec.gov/ix?doc=/Archives/edgar/data/0001705696/000170569621000030/vici-20201231.htm" TargetMode="External"/><Relationship Id="rId69" Type="http://schemas.openxmlformats.org/officeDocument/2006/relationships/hyperlink" Target="http://www.sec.gov/Archives/edgar/data/0001705696/000170569621000030/vici-20201231.htm" TargetMode="External"/><Relationship Id="rId70" Type="http://schemas.openxmlformats.org/officeDocument/2006/relationships/hyperlink" Target="https://www.sec.gov/Archives/edgar/data/0001705696/000170569621000030/vici-20201231.htm" TargetMode="External"/><Relationship Id="rId97" Type="http://schemas.openxmlformats.org/officeDocument/2006/relationships/hyperlink" Target="http://www.sec.gov/Archives/edgar/data/1705696/000170569621000050/vici-articlesofamendment20.htm" TargetMode="External"/><Relationship Id="rId98" Type="http://schemas.openxmlformats.org/officeDocument/2006/relationships/hyperlink" Target="http://www.sec.gov/Archives/edgar/data/1705696/000170569621000050/exhibit101.htm" TargetMode="External"/><Relationship Id="rId99" Type="http://schemas.openxmlformats.org/officeDocument/2006/relationships/hyperlink" Target="http://www.sec.gov/Archives/edgar/data/1705696/000170569621000050/exhibit102.htm" TargetMode="External"/><Relationship Id="rId100" Type="http://schemas.openxmlformats.org/officeDocument/2006/relationships/hyperlink" Target="http://www.sec.gov/Archives/edgar/data/1705696/000170569621000050/exhibit103pioneer-commit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2021-04-29T16:34:40Z</dcterms:created>
  <dcterms:modified xsi:type="dcterms:W3CDTF">2021-04-29T16:34:40Z</dcterms:modified>
</cp:coreProperties>
</file>